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50/2022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23069.156365/2022-12)</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b/>
          <w:bCs/>
          <w:color w:val="auto"/>
          <w:szCs w:val="20"/>
          <w:lang w:val="pt-BR"/>
        </w:rPr>
      </w:pPr>
      <w:r>
        <w:rPr>
          <w:rFonts w:ascii="Verdana" w:hAnsi="Verdana" w:cs="Arial"/>
          <w:szCs w:val="20"/>
        </w:rPr>
        <w:t xml:space="preserve">Data da sessão: </w:t>
      </w:r>
      <w:r>
        <w:rPr>
          <w:rFonts w:hint="default" w:ascii="Verdana" w:hAnsi="Verdana" w:cs="Arial"/>
          <w:b/>
          <w:bCs/>
          <w:color w:val="auto"/>
          <w:szCs w:val="20"/>
          <w:lang w:val="pt-BR"/>
        </w:rPr>
        <w:t>30/05/2022</w:t>
      </w:r>
    </w:p>
    <w:p>
      <w:pPr>
        <w:pStyle w:val="73"/>
        <w:keepNext w:val="0"/>
        <w:widowControl/>
        <w:shd w:val="clear" w:color="auto" w:fill="auto"/>
        <w:spacing w:before="120" w:after="120"/>
        <w:ind w:firstLine="0"/>
        <w:jc w:val="center"/>
        <w:rPr>
          <w:rFonts w:hint="default" w:ascii="Verdana" w:hAnsi="Verdana" w:cs="Arial"/>
          <w:b/>
          <w:bCs/>
          <w:color w:val="auto"/>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w:t>
      </w:r>
      <w:r>
        <w:rPr>
          <w:rFonts w:ascii="Verdana" w:hAnsi="Verdana"/>
          <w:szCs w:val="20"/>
        </w:rPr>
        <w:t>reforma e adequação de ambientes no Centro de Atenção à Saúde do Idoso e seus Cuidadores (CASIC), no Campus Mequinho, em Niterói, da Universidade Federal Fluminense</w:t>
      </w:r>
      <w:r>
        <w:rPr>
          <w:rFonts w:ascii="Verdana" w:hAnsi="Verdana" w:cs="Arial"/>
          <w:szCs w:val="20"/>
        </w:rPr>
        <w:t>, com fornecimento de materiais,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Localização da obra: Campus Mequinho, Av. Jansen de Mello, 174, Centro, Niterói/RJ - CEP: 24.030-220;</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pelo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Sendo o critério de julgamento o de </w:t>
      </w:r>
      <w:r>
        <w:rPr>
          <w:rFonts w:ascii="Verdana" w:hAnsi="Verdana" w:cs="Arial"/>
          <w:szCs w:val="20"/>
          <w:u w:val="single"/>
        </w:rPr>
        <w:t>maior desconto</w:t>
      </w:r>
      <w:r>
        <w:rPr>
          <w:rFonts w:ascii="Verdana" w:hAnsi="Verdana" w:cs="Arial"/>
          <w:szCs w:val="20"/>
        </w:rPr>
        <w:t>, este percentual de desconto oferecido pelo licitante, além de incidir sobre o preço global fixado, incidirá igualmente sobre o preço unitário de cada item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 xml:space="preserve">O percentual de desconto proposto, resultado da fase de lances, </w:t>
      </w:r>
      <w:r>
        <w:rPr>
          <w:rFonts w:ascii="Verdana" w:hAnsi="Verdana" w:cs="Arial"/>
          <w:sz w:val="18"/>
          <w:szCs w:val="18"/>
          <w:u w:val="single"/>
        </w:rPr>
        <w:t>deverá incidir igualmente</w:t>
      </w:r>
      <w:r>
        <w:rPr>
          <w:rFonts w:ascii="Verdana" w:hAnsi="Verdana" w:cs="Arial"/>
          <w:sz w:val="18"/>
          <w:szCs w:val="18"/>
        </w:rPr>
        <w:t xml:space="preserve"> sobre todos os preços unitários constantes da planilha de orçamento (Anexo III-B), que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desconto proposto, de todos os itens que a compõem, na conformidade da planilha contida no Anexo III-B.</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hint="default" w:ascii="Verdana" w:hAnsi="Verdana" w:cs="Arial"/>
          <w:szCs w:val="20"/>
          <w:highlight w:val="none"/>
          <w:lang w:val="pt-BR"/>
        </w:rPr>
      </w:pPr>
      <w:bookmarkStart w:id="2" w:name="_Hlk97023241"/>
      <w:r>
        <w:rPr>
          <w:rFonts w:ascii="Verdana" w:hAnsi="Verdana" w:cs="Arial"/>
          <w:szCs w:val="20"/>
          <w:highlight w:val="none"/>
        </w:rPr>
        <w:t xml:space="preserve">As despesas para atender a esta licitação </w:t>
      </w:r>
      <w:r>
        <w:rPr>
          <w:rFonts w:hint="default" w:ascii="Verdana" w:hAnsi="Verdana" w:cs="Arial"/>
          <w:szCs w:val="20"/>
          <w:highlight w:val="none"/>
          <w:lang w:val="pt-BR"/>
        </w:rPr>
        <w:t>serão indicadas quando da homologação do procedimento licitatório, conforme despacho PLOR/PLAN SEI nº 0769806 (https://sei.uff.br/sei/controlador.php?acao=procedimento_trabalhar&amp;id_procedimento=810047&amp;id_documento=839845).</w:t>
      </w:r>
      <w:bookmarkEnd w:id="2"/>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b/>
          <w:bCs/>
          <w:sz w:val="20"/>
          <w:szCs w:val="20"/>
        </w:rPr>
      </w:pPr>
      <w:r>
        <w:rPr>
          <w:rFonts w:ascii="Verdana" w:hAnsi="Verdana" w:cs="TTE4E87780t00"/>
          <w:b/>
          <w:bCs/>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rPr>
        <w:t>, que deverá incidir igualmente sobre todos os preços unitários orçados pela UFF e constantes da planilha de orçamento (Anexo III-A) conforme definido neste Edital e seus anexos.</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rPr>
        <w:t xml:space="preserve">Não será admitido a incidência sobre os preços unitários referidos anteriormente, de valor(es) de percentual(is) diferente(s) do valor proposto e considerado vencedor na fase final de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i w:val="0"/>
          <w:iCs w:val="0"/>
          <w:color w:val="000000"/>
          <w:sz w:val="20"/>
          <w:szCs w:val="20"/>
          <w:u w:val="none"/>
          <w:shd w:val="clear" w:fill="FFFFFF"/>
          <w:vertAlign w:val="baseline"/>
        </w:rPr>
        <w:t xml:space="preserve">ou também por meio do e-mail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0"/>
          <w:rFonts w:hint="default" w:ascii="Arial" w:hAnsi="Arial" w:eastAsia="SimSun" w:cs="Arial"/>
          <w:b/>
          <w:bCs/>
          <w:i w:val="0"/>
          <w:iCs w:val="0"/>
          <w:color w:val="1155CC"/>
          <w:sz w:val="20"/>
          <w:szCs w:val="20"/>
          <w:u w:val="single"/>
          <w:shd w:val="clear" w:fill="FFFFFF"/>
          <w:vertAlign w:val="baseline"/>
        </w:rPr>
        <w:t>cpl@id.uff.b</w:t>
      </w:r>
      <w:r>
        <w:rPr>
          <w:rStyle w:val="10"/>
          <w:rFonts w:hint="default" w:ascii="Arial" w:hAnsi="Arial" w:eastAsia="SimSun" w:cs="Arial"/>
          <w:i w:val="0"/>
          <w:iCs w:val="0"/>
          <w:color w:val="1155CC"/>
          <w:sz w:val="20"/>
          <w:szCs w:val="20"/>
          <w:u w:val="single"/>
          <w:shd w:val="clear" w:fill="FFFFFF"/>
          <w:vertAlign w:val="baseline"/>
        </w:rPr>
        <w:t>r</w:t>
      </w:r>
      <w:r>
        <w:rPr>
          <w:rFonts w:ascii="SimSun" w:hAnsi="SimSun" w:eastAsia="SimSun" w:cs="SimSun"/>
          <w:b w:val="0"/>
          <w:bCs w:val="0"/>
          <w:sz w:val="24"/>
          <w:szCs w:val="24"/>
          <w:u w:val="none"/>
        </w:rPr>
        <w:fldChar w:fldCharType="end"/>
      </w:r>
      <w:r>
        <w:rPr>
          <w:rFonts w:hint="default" w:ascii="SimSun" w:hAnsi="SimSun" w:eastAsia="SimSun" w:cs="SimSun"/>
          <w:b w:val="0"/>
          <w:bCs w:val="0"/>
          <w:sz w:val="24"/>
          <w:szCs w:val="24"/>
          <w:u w:val="none"/>
          <w:lang w:val="pt-BR"/>
        </w:rPr>
        <w:t xml:space="preserve"> </w:t>
      </w:r>
      <w:r>
        <w:rPr>
          <w:rFonts w:ascii="Verdana" w:hAnsi="Verdana" w:eastAsia="Arial" w:cs="Arial"/>
          <w:sz w:val="20"/>
          <w:szCs w:val="20"/>
        </w:rPr>
        <w:t>pelo licitante, antes de findo o prazo.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grupos em que a empresa foi considerada vencedora, conforme modelo do Anexo VI;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grupo,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grupo,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dos preços unitários calculados pela UFF; se tal ocorrência for constatada será motivo de desclassificação da proposta; seus valores estão bloqueados para edição no Anexo III-B.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número do seu CREA/CAU e pelo representante legal da empresa e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 xml:space="preserve">Planilha Resumo do Orçamento, </w:t>
      </w:r>
      <w:r>
        <w:rPr>
          <w:rFonts w:ascii="Verdana" w:hAnsi="Verdana" w:cs="Arial"/>
          <w:sz w:val="18"/>
          <w:szCs w:val="18"/>
        </w:rPr>
        <w:t xml:space="preserve">conforme modelo da planilha do Anexo III-A; </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 A e B;</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 do Anexo V;</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Fonts w:ascii="Verdana" w:hAnsi="Verdana" w:cs="Times-Roman"/>
          <w:sz w:val="16"/>
          <w:szCs w:val="16"/>
        </w:rPr>
        <w:t xml:space="preserve">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III-B) percentual(is) de desconto(s) diferente(s) do valor do lance final proposto;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indicac</w:t>
      </w:r>
      <w:r>
        <w:rPr>
          <w:rFonts w:ascii="Arial" w:hAnsi="Arial" w:cs="Arial"/>
          <w:color w:val="000000"/>
          <w:sz w:val="18"/>
          <w:szCs w:val="18"/>
          <w:lang w:eastAsia="en-US"/>
        </w:rPr>
        <w:t>̧</w:t>
      </w:r>
      <w:r>
        <w:rPr>
          <w:rFonts w:ascii="Verdana" w:hAnsi="Verdana" w:cs="Arial"/>
          <w:color w:val="000000"/>
          <w:sz w:val="18"/>
          <w:szCs w:val="18"/>
          <w:lang w:eastAsia="en-US"/>
        </w:rPr>
        <w:t>ão de recolhimento de impostos e contribuic</w:t>
      </w:r>
      <w:r>
        <w:rPr>
          <w:rFonts w:ascii="Arial" w:hAnsi="Arial" w:cs="Arial"/>
          <w:color w:val="000000"/>
          <w:sz w:val="18"/>
          <w:szCs w:val="18"/>
          <w:lang w:eastAsia="en-US"/>
        </w:rPr>
        <w:t>̧</w:t>
      </w:r>
      <w:r>
        <w:rPr>
          <w:rFonts w:ascii="Verdana" w:hAnsi="Verdana" w:cs="Arial"/>
          <w:color w:val="000000"/>
          <w:sz w:val="18"/>
          <w:szCs w:val="18"/>
          <w:lang w:eastAsia="en-US"/>
        </w:rPr>
        <w:t>ões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5" w:name="_Hlk88838545"/>
      <w:r>
        <w:rPr>
          <w:rFonts w:ascii="Verdana" w:hAnsi="Verdana" w:cs="Arial"/>
          <w:b/>
          <w:szCs w:val="20"/>
        </w:rPr>
        <w:t>HABILITAÇÃO JURÍDICA, REGULARIDADE FISCAL E QUALIFICAÇÃO ECÔNOMICA</w:t>
      </w:r>
      <w:bookmarkEnd w:id="5"/>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do Termo de Referência (Anexo I).</w:t>
      </w:r>
    </w:p>
    <w:p>
      <w:pPr>
        <w:pStyle w:val="73"/>
        <w:keepNext w:val="0"/>
        <w:widowControl/>
        <w:spacing w:before="120" w:after="120"/>
        <w:ind w:left="2847" w:firstLine="0"/>
        <w:textAlignment w:val="auto"/>
        <w:rPr>
          <w:rFonts w:ascii="Verdana" w:hAnsi="Verdana" w:cs="Arial"/>
          <w:sz w:val="18"/>
          <w:szCs w:val="18"/>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6"/>
        </w:numPr>
        <w:spacing w:before="120" w:after="120"/>
        <w:textAlignment w:val="auto"/>
        <w:rPr>
          <w:rFonts w:ascii="Verdana" w:hAnsi="Verdana" w:cs="Arial"/>
          <w:b/>
          <w:bCs/>
          <w:szCs w:val="20"/>
          <w:lang w:eastAsia="ar-SA"/>
        </w:rPr>
      </w:pPr>
      <w:r>
        <w:rPr>
          <w:rFonts w:ascii="Verdana" w:hAnsi="Verdana" w:cs="Arial"/>
          <w:b/>
          <w:bCs/>
          <w:szCs w:val="20"/>
          <w:lang w:eastAsia="ar-SA"/>
        </w:rPr>
        <w:t>DA DOCUMENTAÇÃO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 planilha de orçamento de preços do grupo, devidamente ajustada ao lance vencedor, em conformidade com o modelo anexo III-B a este instrumento convocatório, juntamente com a planilha resumo e o cronograma físico financeiro (Anexo III-A e III-C) correspondente;</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IV-A e B; e </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73"/>
        <w:keepNext w:val="0"/>
        <w:widowControl/>
        <w:numPr>
          <w:ilvl w:val="0"/>
          <w:numId w:val="6"/>
        </w:numPr>
        <w:shd w:val="clear" w:color="auto" w:fill="FFFFFF"/>
        <w:spacing w:before="120" w:after="120"/>
        <w:textAlignment w:val="auto"/>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b/>
          <w:szCs w:val="20"/>
        </w:rPr>
      </w:pPr>
      <w:r>
        <w:rPr>
          <w:rFonts w:ascii="Verdana" w:hAnsi="Verdana" w:cs="Arial"/>
          <w:b/>
          <w:szCs w:val="20"/>
        </w:rPr>
        <w:t>DA REABERTURA DA SESSÃO PÚBLICA</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 sessão pública poderá ser reaberta: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6"/>
        </w:numPr>
        <w:shd w:val="clear" w:color="auto" w:fill="FFFFFF"/>
        <w:spacing w:before="120" w:after="120"/>
        <w:textAlignment w:val="auto"/>
        <w:rPr>
          <w:rFonts w:ascii="Verdana" w:hAnsi="Verdana" w:cs="Arial"/>
          <w:szCs w:val="20"/>
        </w:rPr>
      </w:pPr>
      <w:r>
        <w:rPr>
          <w:rFonts w:ascii="Verdana" w:hAnsi="Verdana" w:cs="Arial"/>
          <w:sz w:val="18"/>
          <w:szCs w:val="18"/>
        </w:rPr>
        <w:t>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6"/>
        </w:numPr>
        <w:shd w:val="clear" w:color="auto" w:fill="FFFFFF"/>
        <w:spacing w:before="120" w:after="120"/>
        <w:textAlignment w:val="auto"/>
        <w:rPr>
          <w:rFonts w:ascii="Verdana" w:hAnsi="Verdana" w:cs="Arial"/>
          <w:color w:val="000000"/>
          <w:szCs w:val="20"/>
        </w:rPr>
      </w:pPr>
      <w:r>
        <w:rPr>
          <w:rFonts w:ascii="Verdana" w:hAnsi="Verdana" w:cs="Arial"/>
          <w:b/>
          <w:szCs w:val="20"/>
        </w:rPr>
        <w:t>DA GARANTIA DE EXECUÇÃO</w:t>
      </w:r>
    </w:p>
    <w:p>
      <w:pPr>
        <w:pStyle w:val="73"/>
        <w:keepNext w:val="0"/>
        <w:widowControl/>
        <w:numPr>
          <w:ilvl w:val="1"/>
          <w:numId w:val="6"/>
        </w:numPr>
        <w:shd w:val="clear" w:color="auto" w:fill="FFFFFF"/>
        <w:spacing w:before="120" w:after="120"/>
        <w:textAlignment w:val="auto"/>
        <w:rPr>
          <w:rFonts w:ascii="Verdana" w:hAnsi="Verdana" w:cs="Arial"/>
          <w:color w:val="auto"/>
          <w:sz w:val="20"/>
          <w:szCs w:val="20"/>
        </w:rPr>
      </w:pPr>
      <w:r>
        <w:rPr>
          <w:rFonts w:ascii="Verdana" w:hAnsi="Verdana" w:cs="Arial"/>
          <w:color w:val="000000"/>
          <w:szCs w:val="20"/>
        </w:rPr>
        <w:t xml:space="preserve">Será </w:t>
      </w:r>
      <w:r>
        <w:rPr>
          <w:rFonts w:ascii="Verdana" w:hAnsi="Verdana" w:cs="Arial"/>
          <w:color w:val="auto"/>
          <w:sz w:val="20"/>
          <w:szCs w:val="20"/>
        </w:rPr>
        <w:t>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pStyle w:val="73"/>
        <w:keepNext w:val="0"/>
        <w:widowControl/>
        <w:numPr>
          <w:ilvl w:val="1"/>
          <w:numId w:val="6"/>
        </w:numPr>
        <w:shd w:val="clear" w:color="auto" w:fill="FFFFFF"/>
        <w:spacing w:before="120" w:after="120"/>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pStyle w:val="73"/>
        <w:keepNext w:val="0"/>
        <w:widowControl/>
        <w:numPr>
          <w:ilvl w:val="2"/>
          <w:numId w:val="6"/>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pStyle w:val="73"/>
        <w:keepNext w:val="0"/>
        <w:widowControl/>
        <w:numPr>
          <w:ilvl w:val="2"/>
          <w:numId w:val="6"/>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pStyle w:val="73"/>
        <w:keepNext w:val="0"/>
        <w:widowControl/>
        <w:numPr>
          <w:ilvl w:val="1"/>
          <w:numId w:val="6"/>
        </w:numPr>
        <w:shd w:val="clear" w:color="auto" w:fill="FFFFFF"/>
        <w:spacing w:before="120" w:after="120"/>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pStyle w:val="73"/>
        <w:keepNext w:val="0"/>
        <w:widowControl/>
        <w:numPr>
          <w:ilvl w:val="2"/>
          <w:numId w:val="6"/>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pStyle w:val="73"/>
        <w:keepNext w:val="0"/>
        <w:widowControl/>
        <w:numPr>
          <w:ilvl w:val="2"/>
          <w:numId w:val="6"/>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pStyle w:val="73"/>
        <w:keepNext w:val="0"/>
        <w:widowControl/>
        <w:numPr>
          <w:ilvl w:val="2"/>
          <w:numId w:val="6"/>
        </w:numPr>
        <w:shd w:val="clear" w:color="auto" w:fill="FFFFFF"/>
        <w:spacing w:before="120" w:after="120"/>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73"/>
        <w:keepNext w:val="0"/>
        <w:widowControl/>
        <w:numPr>
          <w:ilvl w:val="1"/>
          <w:numId w:val="6"/>
        </w:numPr>
        <w:shd w:val="clear" w:color="auto" w:fill="FFFFFF"/>
        <w:spacing w:before="120" w:after="120"/>
        <w:textAlignment w:val="auto"/>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73"/>
        <w:keepNext w:val="0"/>
        <w:widowControl/>
        <w:numPr>
          <w:ilvl w:val="1"/>
          <w:numId w:val="6"/>
        </w:numPr>
        <w:shd w:val="clear" w:color="auto" w:fill="FFFFFF"/>
        <w:spacing w:before="120" w:after="120"/>
        <w:textAlignment w:val="auto"/>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73"/>
        <w:keepNext w:val="0"/>
        <w:widowControl/>
        <w:numPr>
          <w:ilvl w:val="2"/>
          <w:numId w:val="6"/>
        </w:numPr>
        <w:shd w:val="clear" w:color="auto" w:fill="FFFFFF"/>
        <w:spacing w:before="120" w:after="120"/>
        <w:textAlignment w:val="auto"/>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73"/>
        <w:keepNext w:val="0"/>
        <w:widowControl/>
        <w:numPr>
          <w:ilvl w:val="2"/>
          <w:numId w:val="6"/>
        </w:numPr>
        <w:shd w:val="clear" w:color="auto" w:fill="FFFFFF"/>
        <w:spacing w:before="120" w:after="120"/>
        <w:textAlignment w:val="auto"/>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73"/>
        <w:keepNext w:val="0"/>
        <w:widowControl/>
        <w:numPr>
          <w:ilvl w:val="1"/>
          <w:numId w:val="6"/>
        </w:numPr>
        <w:shd w:val="clear" w:color="auto" w:fill="FFFFFF"/>
        <w:spacing w:before="120" w:after="120"/>
        <w:textAlignment w:val="auto"/>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73"/>
        <w:keepNext w:val="0"/>
        <w:widowControl/>
        <w:numPr>
          <w:ilvl w:val="1"/>
          <w:numId w:val="6"/>
        </w:numPr>
        <w:shd w:val="clear" w:color="auto" w:fill="FFFFFF"/>
        <w:spacing w:before="120" w:after="120"/>
        <w:textAlignment w:val="auto"/>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73"/>
        <w:keepNext w:val="0"/>
        <w:widowControl/>
        <w:numPr>
          <w:ilvl w:val="0"/>
          <w:numId w:val="6"/>
        </w:numPr>
        <w:shd w:val="clear" w:color="auto" w:fill="FFFFFF"/>
        <w:spacing w:before="120" w:after="120"/>
        <w:textAlignment w:val="auto"/>
        <w:rPr>
          <w:rFonts w:ascii="Verdana" w:hAnsi="Verdana" w:cs="Arial"/>
          <w:b/>
          <w:bCs/>
          <w:sz w:val="20"/>
          <w:szCs w:val="20"/>
        </w:rPr>
      </w:pPr>
      <w:r>
        <w:rPr>
          <w:rFonts w:ascii="Verdana" w:hAnsi="Verdana" w:cs="Arial"/>
          <w:b/>
          <w:bCs/>
          <w:sz w:val="20"/>
          <w:szCs w:val="20"/>
        </w:rPr>
        <w:t>DA ACEITAÇÃO DO OBJETO E DA FISCALIZAÇÃO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DO PAGAMENTO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6"/>
        </w:numPr>
        <w:shd w:val="clear" w:color="auto" w:fill="FFFFFF"/>
        <w:spacing w:before="120" w:after="120"/>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73"/>
        <w:keepNext w:val="0"/>
        <w:widowControl/>
        <w:numPr>
          <w:ilvl w:val="2"/>
          <w:numId w:val="6"/>
        </w:numPr>
        <w:shd w:val="clear" w:color="auto" w:fill="FFFFFF"/>
        <w:spacing w:before="120" w:after="120"/>
        <w:textAlignment w:val="auto"/>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6"/>
        </w:numPr>
        <w:shd w:val="clear" w:color="auto" w:fill="FFFFFF"/>
        <w:spacing w:before="120" w:after="120"/>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6"/>
        </w:numPr>
        <w:shd w:val="clear" w:color="auto" w:fill="FFFFFF"/>
        <w:spacing w:before="120" w:after="120"/>
        <w:textAlignment w:val="auto"/>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hint="default" w:ascii="Verdana" w:hAnsi="Verdana" w:eastAsia="Times New Roman" w:cs="Arial"/>
          <w:szCs w:val="20"/>
          <w:lang w:val="pt-BR"/>
        </w:rPr>
        <w:t>.</w:t>
      </w:r>
    </w:p>
    <w:p>
      <w:pPr>
        <w:pStyle w:val="73"/>
        <w:keepNext w:val="0"/>
        <w:widowControl/>
        <w:numPr>
          <w:ilvl w:val="1"/>
          <w:numId w:val="6"/>
        </w:numPr>
        <w:shd w:val="clear" w:color="auto" w:fill="FFFFFF"/>
        <w:spacing w:before="120" w:after="120"/>
        <w:textAlignment w:val="auto"/>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 w:val="20"/>
          <w:szCs w:val="20"/>
        </w:rPr>
        <w:t xml:space="preserve"> </w:t>
      </w:r>
      <w:r>
        <w:rPr>
          <w:rFonts w:ascii="Verdana" w:hAnsi="Verdana" w:cs="Arial"/>
          <w:color w:val="000000"/>
          <w:sz w:val="20"/>
          <w:szCs w:val="20"/>
        </w:rPr>
        <w:t>.</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73"/>
        <w:keepNext w:val="0"/>
        <w:widowControl/>
        <w:numPr>
          <w:ilvl w:val="2"/>
          <w:numId w:val="6"/>
        </w:numPr>
        <w:shd w:val="clear" w:color="auto" w:fill="FFFFFF"/>
        <w:spacing w:before="120" w:after="120"/>
        <w:textAlignment w:val="auto"/>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6"/>
        </w:numPr>
        <w:shd w:val="clear" w:color="auto" w:fill="FFFFFF"/>
        <w:spacing w:before="120" w:after="120"/>
        <w:textAlignment w:val="auto"/>
        <w:rPr>
          <w:rFonts w:ascii="Verdana" w:hAnsi="Verdana" w:cs="Arial"/>
          <w:b/>
          <w:szCs w:val="20"/>
        </w:rPr>
      </w:pPr>
      <w:r>
        <w:rPr>
          <w:rFonts w:ascii="Verdana" w:hAnsi="Verdana" w:cs="Arial"/>
          <w:b/>
          <w:color w:val="000000"/>
          <w:szCs w:val="20"/>
        </w:rPr>
        <w:t>DAS DISPOSIÇÕES GERAIS</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pStyle w:val="73"/>
        <w:keepNext w:val="0"/>
        <w:widowControl/>
        <w:numPr>
          <w:ilvl w:val="1"/>
          <w:numId w:val="6"/>
        </w:numPr>
        <w:shd w:val="clear" w:color="auto" w:fill="FFFFFF"/>
        <w:spacing w:before="120" w:after="120"/>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e</w:t>
      </w:r>
      <w:r>
        <w:rPr>
          <w:rFonts w:ascii="Verdana" w:hAnsi="Verdana" w:cs="Arial"/>
          <w:szCs w:val="20"/>
        </w:rPr>
        <w:t xml:space="preserve">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6"/>
        </w:numPr>
        <w:shd w:val="clear" w:color="auto" w:fill="FFFFFF"/>
        <w:spacing w:before="120" w:after="120"/>
        <w:textAlignment w:val="auto"/>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 – Termo de Referência;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 – Memorial Descritivo;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III-A – Planilha Resumo do Orçamento;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 xml:space="preserve">Anexo III-B – Planilha de Orçamento; </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III-C – Cronograma Físico e Financeiro;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IV A e B - Modelo de planilha de Composição de BDI;</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 – Modelo de planilha de Composição de Encargos Sociais;</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IX - Modelo de Declaração de Responsabilidade; e</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Anexo X - Minuta de Termo de Contrato;</w:t>
      </w:r>
    </w:p>
    <w:p>
      <w:pPr>
        <w:pStyle w:val="73"/>
        <w:keepNext w:val="0"/>
        <w:widowControl/>
        <w:numPr>
          <w:ilvl w:val="2"/>
          <w:numId w:val="6"/>
        </w:numPr>
        <w:shd w:val="clear" w:color="auto" w:fill="FFFFFF"/>
        <w:spacing w:before="120" w:after="120"/>
        <w:textAlignment w:val="auto"/>
        <w:rPr>
          <w:rFonts w:ascii="Verdana" w:hAnsi="Verdana" w:cs="Arial"/>
          <w:sz w:val="18"/>
          <w:szCs w:val="18"/>
        </w:rPr>
      </w:pPr>
      <w:r>
        <w:rPr>
          <w:rFonts w:ascii="Verdana" w:hAnsi="Verdana" w:cs="Arial"/>
          <w:color w:val="000000"/>
          <w:sz w:val="18"/>
          <w:szCs w:val="18"/>
        </w:rPr>
        <w:t xml:space="preserve">Anexo XI – Projetos Executivos (11 </w:t>
      </w:r>
      <w:bookmarkStart w:id="6" w:name="_GoBack"/>
      <w:bookmarkEnd w:id="6"/>
      <w:r>
        <w:rPr>
          <w:rFonts w:ascii="Verdana" w:hAnsi="Verdana" w:cs="Arial"/>
          <w:color w:val="000000"/>
          <w:sz w:val="18"/>
          <w:szCs w:val="18"/>
        </w:rPr>
        <w:t>arquivos)</w:t>
      </w:r>
      <w:r>
        <w:rPr>
          <w:rFonts w:hint="default" w:ascii="Verdana" w:hAnsi="Verdana" w:cs="Arial"/>
          <w:color w:val="000000"/>
          <w:sz w:val="18"/>
          <w:szCs w:val="18"/>
          <w:lang w:val="pt-BR"/>
        </w:rPr>
        <w:t xml:space="preserve"> - link(</w:t>
      </w:r>
      <w:r>
        <w:rPr>
          <w:rFonts w:hint="default" w:ascii="Verdana" w:hAnsi="Verdana"/>
          <w:b/>
          <w:bCs/>
          <w:color w:val="000000"/>
          <w:sz w:val="20"/>
          <w:szCs w:val="20"/>
          <w:lang w:val="pt-BR"/>
        </w:rPr>
        <w:t>https://drive.google.com/file/d/1IM1B80i9-QPYAYGZYDf83nUC4V3QyT0n/view?usp=sharing</w:t>
      </w:r>
      <w:r>
        <w:rPr>
          <w:rFonts w:hint="default" w:ascii="Verdana" w:hAnsi="Verdana"/>
          <w:color w:val="000000"/>
          <w:sz w:val="18"/>
          <w:szCs w:val="18"/>
          <w:lang w:val="pt-BR"/>
        </w:rPr>
        <w:t>)</w:t>
      </w:r>
      <w:r>
        <w:rPr>
          <w:rFonts w:ascii="Verdana" w:hAnsi="Verdana" w:cs="Arial"/>
          <w:color w:val="000000"/>
          <w:sz w:val="18"/>
          <w:szCs w:val="18"/>
        </w:rPr>
        <w:t>:</w:t>
      </w:r>
    </w:p>
    <w:p>
      <w:pPr>
        <w:pStyle w:val="114"/>
        <w:numPr>
          <w:ilvl w:val="0"/>
          <w:numId w:val="8"/>
        </w:numPr>
        <w:spacing w:after="13"/>
        <w:rPr>
          <w:sz w:val="20"/>
          <w:szCs w:val="20"/>
        </w:rPr>
      </w:pPr>
      <w:r>
        <w:rPr>
          <w:sz w:val="20"/>
          <w:szCs w:val="20"/>
        </w:rPr>
        <w:t xml:space="preserve">Projeto de Arquitetura (plantas, cortes e fachadas, detalhes, perspectivas e caderno de esquadrias; </w:t>
      </w:r>
    </w:p>
    <w:p>
      <w:pPr>
        <w:pStyle w:val="114"/>
        <w:numPr>
          <w:ilvl w:val="0"/>
          <w:numId w:val="8"/>
        </w:numPr>
        <w:spacing w:after="13"/>
        <w:rPr>
          <w:sz w:val="20"/>
          <w:szCs w:val="20"/>
        </w:rPr>
      </w:pPr>
      <w:r>
        <w:rPr>
          <w:sz w:val="20"/>
          <w:szCs w:val="20"/>
        </w:rPr>
        <w:t xml:space="preserve">Projeto de Urbanização; </w:t>
      </w:r>
    </w:p>
    <w:p>
      <w:pPr>
        <w:pStyle w:val="114"/>
        <w:numPr>
          <w:ilvl w:val="0"/>
          <w:numId w:val="8"/>
        </w:numPr>
        <w:spacing w:after="13"/>
        <w:rPr>
          <w:sz w:val="20"/>
          <w:szCs w:val="20"/>
        </w:rPr>
      </w:pPr>
      <w:r>
        <w:rPr>
          <w:sz w:val="20"/>
          <w:szCs w:val="20"/>
        </w:rPr>
        <w:t xml:space="preserve">Projeto de Comunicação Visual Tátil e Sonora; </w:t>
      </w:r>
    </w:p>
    <w:p>
      <w:pPr>
        <w:pStyle w:val="114"/>
        <w:numPr>
          <w:ilvl w:val="0"/>
          <w:numId w:val="8"/>
        </w:numPr>
        <w:spacing w:after="13"/>
        <w:rPr>
          <w:sz w:val="20"/>
          <w:szCs w:val="20"/>
        </w:rPr>
      </w:pPr>
      <w:r>
        <w:rPr>
          <w:sz w:val="20"/>
          <w:szCs w:val="20"/>
        </w:rPr>
        <w:t xml:space="preserve">Projeto de Fundações e Estruturas; </w:t>
      </w:r>
    </w:p>
    <w:p>
      <w:pPr>
        <w:pStyle w:val="114"/>
        <w:numPr>
          <w:ilvl w:val="0"/>
          <w:numId w:val="8"/>
        </w:numPr>
        <w:spacing w:after="13"/>
        <w:rPr>
          <w:sz w:val="20"/>
          <w:szCs w:val="20"/>
        </w:rPr>
      </w:pPr>
      <w:r>
        <w:rPr>
          <w:sz w:val="20"/>
          <w:szCs w:val="20"/>
        </w:rPr>
        <w:t xml:space="preserve">Projeto de Instalações Hidrossanitárias e Pluvial; </w:t>
      </w:r>
    </w:p>
    <w:p>
      <w:pPr>
        <w:pStyle w:val="114"/>
        <w:numPr>
          <w:ilvl w:val="0"/>
          <w:numId w:val="8"/>
        </w:numPr>
        <w:spacing w:after="13"/>
        <w:rPr>
          <w:sz w:val="20"/>
          <w:szCs w:val="20"/>
        </w:rPr>
      </w:pPr>
      <w:r>
        <w:rPr>
          <w:sz w:val="20"/>
          <w:szCs w:val="20"/>
        </w:rPr>
        <w:t xml:space="preserve">Projeto de Instalações Elétricas; </w:t>
      </w:r>
    </w:p>
    <w:p>
      <w:pPr>
        <w:pStyle w:val="114"/>
        <w:numPr>
          <w:ilvl w:val="0"/>
          <w:numId w:val="8"/>
        </w:numPr>
        <w:spacing w:after="13"/>
        <w:rPr>
          <w:sz w:val="20"/>
          <w:szCs w:val="20"/>
        </w:rPr>
      </w:pPr>
      <w:r>
        <w:rPr>
          <w:sz w:val="20"/>
          <w:szCs w:val="20"/>
        </w:rPr>
        <w:t xml:space="preserve">Projeto de Cabeamento Estruturado e VSS-CFTV; </w:t>
      </w:r>
    </w:p>
    <w:p>
      <w:pPr>
        <w:pStyle w:val="114"/>
        <w:numPr>
          <w:ilvl w:val="0"/>
          <w:numId w:val="8"/>
        </w:numPr>
        <w:spacing w:after="13"/>
        <w:rPr>
          <w:sz w:val="20"/>
          <w:szCs w:val="20"/>
        </w:rPr>
      </w:pPr>
      <w:r>
        <w:rPr>
          <w:sz w:val="20"/>
          <w:szCs w:val="20"/>
        </w:rPr>
        <w:t xml:space="preserve">Projeto de SPDA; </w:t>
      </w:r>
    </w:p>
    <w:p>
      <w:pPr>
        <w:pStyle w:val="114"/>
        <w:numPr>
          <w:ilvl w:val="0"/>
          <w:numId w:val="8"/>
        </w:numPr>
        <w:spacing w:after="13"/>
        <w:rPr>
          <w:sz w:val="20"/>
          <w:szCs w:val="20"/>
        </w:rPr>
      </w:pPr>
      <w:r>
        <w:rPr>
          <w:sz w:val="20"/>
          <w:szCs w:val="20"/>
        </w:rPr>
        <w:t xml:space="preserve">Projeto de Climatização e Renovação de Ar; </w:t>
      </w:r>
    </w:p>
    <w:p>
      <w:pPr>
        <w:pStyle w:val="114"/>
        <w:numPr>
          <w:ilvl w:val="0"/>
          <w:numId w:val="8"/>
        </w:numPr>
        <w:spacing w:after="13"/>
        <w:rPr>
          <w:sz w:val="20"/>
          <w:szCs w:val="20"/>
        </w:rPr>
      </w:pPr>
      <w:r>
        <w:rPr>
          <w:sz w:val="20"/>
          <w:szCs w:val="20"/>
        </w:rPr>
        <w:t xml:space="preserve">Projeto de Instalações Mecânicas; </w:t>
      </w:r>
    </w:p>
    <w:p>
      <w:pPr>
        <w:pStyle w:val="114"/>
        <w:numPr>
          <w:ilvl w:val="0"/>
          <w:numId w:val="8"/>
        </w:numPr>
        <w:spacing w:after="13"/>
        <w:rPr>
          <w:sz w:val="20"/>
          <w:szCs w:val="20"/>
        </w:rPr>
      </w:pPr>
      <w:r>
        <w:rPr>
          <w:sz w:val="20"/>
          <w:szCs w:val="20"/>
        </w:rPr>
        <w:t xml:space="preserve">Projeto de Instalações de Combate a Incêndio e Pânico. </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09 de maio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Mangal">
    <w:panose1 w:val="02040503050203030202"/>
    <w:charset w:val="00"/>
    <w:family w:val="roman"/>
    <w:pitch w:val="default"/>
    <w:sig w:usb0="00008003" w:usb1="00000000" w:usb2="00000000" w:usb3="00000000" w:csb0="00000001" w:csb1="00000000"/>
  </w:font>
  <w:font w:name="Liberation Serif">
    <w:panose1 w:val="02020603050405020304"/>
    <w:charset w:val="00"/>
    <w:family w:val="roman"/>
    <w:pitch w:val="default"/>
    <w:sig w:usb0="E0000AFF" w:usb1="500078FF" w:usb2="00000021" w:usb3="00000000" w:csb0="600001BF" w:csb1="DFF70000"/>
  </w:font>
  <w:font w:name="MS Mincho">
    <w:panose1 w:val="02020609040205080304"/>
    <w:charset w:val="80"/>
    <w:family w:val="modern"/>
    <w:pitch w:val="default"/>
    <w:sig w:usb0="E00002FF" w:usb1="6AC7FDFB" w:usb2="00000012" w:usb3="00000000" w:csb0="4002009F" w:csb1="DFD70000"/>
  </w:font>
  <w:font w:name="Segoe UI">
    <w:panose1 w:val="020B0502040204020203"/>
    <w:charset w:val="00"/>
    <w:family w:val="swiss"/>
    <w:pitch w:val="default"/>
    <w:sig w:usb0="E10022FF" w:usb1="C000E47F" w:usb2="00000029" w:usb3="00000000" w:csb0="200001DF" w:csb1="2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Ecofont_Spranq_eco_Sans,Lohit H">
    <w:altName w:val="Times New Roman"/>
    <w:panose1 w:val="00000000000000000000"/>
    <w:charset w:val="00"/>
    <w:family w:val="roman"/>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23069.15636550/20222-12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3" w:hanging="720"/>
      </w:pPr>
      <w:rPr>
        <w:rFonts w:hint="default"/>
        <w:color w:val="auto"/>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2">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3">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5">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6">
    <w:nsid w:val="6EC66869"/>
    <w:multiLevelType w:val="multilevel"/>
    <w:tmpl w:val="6EC66869"/>
    <w:lvl w:ilvl="0" w:tentative="0">
      <w:start w:val="1"/>
      <w:numFmt w:val="bullet"/>
      <w:lvlText w:val="o"/>
      <w:lvlJc w:val="left"/>
      <w:pPr>
        <w:ind w:left="1380" w:hanging="360"/>
      </w:pPr>
      <w:rPr>
        <w:rFonts w:hint="default" w:ascii="Courier New" w:hAnsi="Courier New" w:cs="Courier New"/>
      </w:rPr>
    </w:lvl>
    <w:lvl w:ilvl="1" w:tentative="0">
      <w:start w:val="1"/>
      <w:numFmt w:val="bullet"/>
      <w:lvlText w:val="o"/>
      <w:lvlJc w:val="left"/>
      <w:pPr>
        <w:ind w:left="2100" w:hanging="360"/>
      </w:pPr>
      <w:rPr>
        <w:rFonts w:hint="default" w:ascii="Courier New" w:hAnsi="Courier New" w:cs="Courier New"/>
      </w:rPr>
    </w:lvl>
    <w:lvl w:ilvl="2" w:tentative="0">
      <w:start w:val="1"/>
      <w:numFmt w:val="bullet"/>
      <w:lvlText w:val=""/>
      <w:lvlJc w:val="left"/>
      <w:pPr>
        <w:ind w:left="2820" w:hanging="360"/>
      </w:pPr>
      <w:rPr>
        <w:rFonts w:hint="default" w:ascii="Wingdings" w:hAnsi="Wingdings"/>
      </w:rPr>
    </w:lvl>
    <w:lvl w:ilvl="3" w:tentative="0">
      <w:start w:val="1"/>
      <w:numFmt w:val="bullet"/>
      <w:lvlText w:val=""/>
      <w:lvlJc w:val="left"/>
      <w:pPr>
        <w:ind w:left="3540" w:hanging="360"/>
      </w:pPr>
      <w:rPr>
        <w:rFonts w:hint="default" w:ascii="Symbol" w:hAnsi="Symbol"/>
      </w:rPr>
    </w:lvl>
    <w:lvl w:ilvl="4" w:tentative="0">
      <w:start w:val="1"/>
      <w:numFmt w:val="bullet"/>
      <w:lvlText w:val="o"/>
      <w:lvlJc w:val="left"/>
      <w:pPr>
        <w:ind w:left="4260" w:hanging="360"/>
      </w:pPr>
      <w:rPr>
        <w:rFonts w:hint="default" w:ascii="Courier New" w:hAnsi="Courier New" w:cs="Courier New"/>
      </w:rPr>
    </w:lvl>
    <w:lvl w:ilvl="5" w:tentative="0">
      <w:start w:val="1"/>
      <w:numFmt w:val="bullet"/>
      <w:lvlText w:val=""/>
      <w:lvlJc w:val="left"/>
      <w:pPr>
        <w:ind w:left="4980" w:hanging="360"/>
      </w:pPr>
      <w:rPr>
        <w:rFonts w:hint="default" w:ascii="Wingdings" w:hAnsi="Wingdings"/>
      </w:rPr>
    </w:lvl>
    <w:lvl w:ilvl="6" w:tentative="0">
      <w:start w:val="1"/>
      <w:numFmt w:val="bullet"/>
      <w:lvlText w:val=""/>
      <w:lvlJc w:val="left"/>
      <w:pPr>
        <w:ind w:left="5700" w:hanging="360"/>
      </w:pPr>
      <w:rPr>
        <w:rFonts w:hint="default" w:ascii="Symbol" w:hAnsi="Symbol"/>
      </w:rPr>
    </w:lvl>
    <w:lvl w:ilvl="7" w:tentative="0">
      <w:start w:val="1"/>
      <w:numFmt w:val="bullet"/>
      <w:lvlText w:val="o"/>
      <w:lvlJc w:val="left"/>
      <w:pPr>
        <w:ind w:left="6420" w:hanging="360"/>
      </w:pPr>
      <w:rPr>
        <w:rFonts w:hint="default" w:ascii="Courier New" w:hAnsi="Courier New" w:cs="Courier New"/>
      </w:rPr>
    </w:lvl>
    <w:lvl w:ilvl="8" w:tentative="0">
      <w:start w:val="1"/>
      <w:numFmt w:val="bullet"/>
      <w:lvlText w:val=""/>
      <w:lvlJc w:val="left"/>
      <w:pPr>
        <w:ind w:left="7140" w:hanging="360"/>
      </w:pPr>
      <w:rPr>
        <w:rFonts w:hint="default" w:ascii="Wingdings" w:hAnsi="Wingdings"/>
      </w:rPr>
    </w:lvl>
  </w:abstractNum>
  <w:abstractNum w:abstractNumId="7">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0"/>
  </w:num>
  <w:num w:numId="2">
    <w:abstractNumId w:val="3"/>
  </w:num>
  <w:num w:numId="3">
    <w:abstractNumId w:val="2"/>
  </w:num>
  <w:num w:numId="4">
    <w:abstractNumId w:val="5"/>
  </w:num>
  <w:num w:numId="5">
    <w:abstractNumId w:val="4"/>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91358"/>
    <w:rsid w:val="00092281"/>
    <w:rsid w:val="00094592"/>
    <w:rsid w:val="000B02B7"/>
    <w:rsid w:val="000B2ECB"/>
    <w:rsid w:val="000B79B0"/>
    <w:rsid w:val="000C2DFC"/>
    <w:rsid w:val="000C633E"/>
    <w:rsid w:val="000C78AD"/>
    <w:rsid w:val="000D1118"/>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7D80"/>
    <w:rsid w:val="0015089E"/>
    <w:rsid w:val="001537E3"/>
    <w:rsid w:val="00156910"/>
    <w:rsid w:val="00161EFF"/>
    <w:rsid w:val="001701E5"/>
    <w:rsid w:val="001718F3"/>
    <w:rsid w:val="00186725"/>
    <w:rsid w:val="00195DD6"/>
    <w:rsid w:val="001B64FC"/>
    <w:rsid w:val="001C6CF6"/>
    <w:rsid w:val="001D054A"/>
    <w:rsid w:val="001D2FF2"/>
    <w:rsid w:val="001D63EC"/>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4744"/>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408DA"/>
    <w:rsid w:val="00440DB9"/>
    <w:rsid w:val="004432FD"/>
    <w:rsid w:val="0044340A"/>
    <w:rsid w:val="00445448"/>
    <w:rsid w:val="00446E0B"/>
    <w:rsid w:val="00447F9F"/>
    <w:rsid w:val="00447FA8"/>
    <w:rsid w:val="0045174B"/>
    <w:rsid w:val="004534F6"/>
    <w:rsid w:val="00453712"/>
    <w:rsid w:val="00460E8B"/>
    <w:rsid w:val="00464C98"/>
    <w:rsid w:val="00465F78"/>
    <w:rsid w:val="00471933"/>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114F"/>
    <w:rsid w:val="00512D1A"/>
    <w:rsid w:val="00520B75"/>
    <w:rsid w:val="00522713"/>
    <w:rsid w:val="00524B89"/>
    <w:rsid w:val="0052574A"/>
    <w:rsid w:val="0052759B"/>
    <w:rsid w:val="00530EC4"/>
    <w:rsid w:val="005472B5"/>
    <w:rsid w:val="005625A5"/>
    <w:rsid w:val="005653E2"/>
    <w:rsid w:val="00581604"/>
    <w:rsid w:val="00596404"/>
    <w:rsid w:val="005A46CA"/>
    <w:rsid w:val="005B3CD9"/>
    <w:rsid w:val="005B55B2"/>
    <w:rsid w:val="005C3AD0"/>
    <w:rsid w:val="005C555B"/>
    <w:rsid w:val="005D3BC2"/>
    <w:rsid w:val="005E2AE4"/>
    <w:rsid w:val="005E32AA"/>
    <w:rsid w:val="005F2397"/>
    <w:rsid w:val="005F5338"/>
    <w:rsid w:val="005F56B2"/>
    <w:rsid w:val="005F6F2E"/>
    <w:rsid w:val="005F78D2"/>
    <w:rsid w:val="0060190D"/>
    <w:rsid w:val="00604296"/>
    <w:rsid w:val="00611FA3"/>
    <w:rsid w:val="00616CBB"/>
    <w:rsid w:val="0062031E"/>
    <w:rsid w:val="006204FB"/>
    <w:rsid w:val="006213C2"/>
    <w:rsid w:val="00621D2C"/>
    <w:rsid w:val="00630EFD"/>
    <w:rsid w:val="00635C6A"/>
    <w:rsid w:val="00650692"/>
    <w:rsid w:val="00656EB6"/>
    <w:rsid w:val="00657A30"/>
    <w:rsid w:val="00657CE1"/>
    <w:rsid w:val="00657EF1"/>
    <w:rsid w:val="0066165D"/>
    <w:rsid w:val="0066797A"/>
    <w:rsid w:val="00667AEF"/>
    <w:rsid w:val="00683576"/>
    <w:rsid w:val="00684822"/>
    <w:rsid w:val="0069666A"/>
    <w:rsid w:val="006A56ED"/>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EA1"/>
    <w:rsid w:val="007D2BF7"/>
    <w:rsid w:val="007D6248"/>
    <w:rsid w:val="007D6BFA"/>
    <w:rsid w:val="007D7EE1"/>
    <w:rsid w:val="007E2177"/>
    <w:rsid w:val="007E239F"/>
    <w:rsid w:val="007F5F14"/>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770D"/>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471F3"/>
    <w:rsid w:val="0095178B"/>
    <w:rsid w:val="0095353A"/>
    <w:rsid w:val="00956DD0"/>
    <w:rsid w:val="009627CA"/>
    <w:rsid w:val="00964980"/>
    <w:rsid w:val="00965748"/>
    <w:rsid w:val="00967922"/>
    <w:rsid w:val="009700A4"/>
    <w:rsid w:val="00973804"/>
    <w:rsid w:val="00977174"/>
    <w:rsid w:val="0098026A"/>
    <w:rsid w:val="009809A2"/>
    <w:rsid w:val="0098333E"/>
    <w:rsid w:val="009840DF"/>
    <w:rsid w:val="009857D1"/>
    <w:rsid w:val="009871CC"/>
    <w:rsid w:val="00993C17"/>
    <w:rsid w:val="009A2C12"/>
    <w:rsid w:val="009A3A2E"/>
    <w:rsid w:val="009A5162"/>
    <w:rsid w:val="009B10FA"/>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7B3"/>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5F79"/>
    <w:rsid w:val="00BE7F4C"/>
    <w:rsid w:val="00C01226"/>
    <w:rsid w:val="00C033F4"/>
    <w:rsid w:val="00C0561B"/>
    <w:rsid w:val="00C06917"/>
    <w:rsid w:val="00C17FDA"/>
    <w:rsid w:val="00C22716"/>
    <w:rsid w:val="00C22CC7"/>
    <w:rsid w:val="00C23F17"/>
    <w:rsid w:val="00C30648"/>
    <w:rsid w:val="00C327E3"/>
    <w:rsid w:val="00C34869"/>
    <w:rsid w:val="00C35203"/>
    <w:rsid w:val="00C40376"/>
    <w:rsid w:val="00C41722"/>
    <w:rsid w:val="00C43FC5"/>
    <w:rsid w:val="00C45F43"/>
    <w:rsid w:val="00C46991"/>
    <w:rsid w:val="00C50C7B"/>
    <w:rsid w:val="00C53F93"/>
    <w:rsid w:val="00C561E1"/>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5913"/>
    <w:rsid w:val="00DD60B8"/>
    <w:rsid w:val="00DE0DFB"/>
    <w:rsid w:val="00DE608C"/>
    <w:rsid w:val="00DE772C"/>
    <w:rsid w:val="00DF2542"/>
    <w:rsid w:val="00DF6C2C"/>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40564"/>
    <w:rsid w:val="00E525E5"/>
    <w:rsid w:val="00E609CA"/>
    <w:rsid w:val="00E675C7"/>
    <w:rsid w:val="00E723A0"/>
    <w:rsid w:val="00E72627"/>
    <w:rsid w:val="00E802FA"/>
    <w:rsid w:val="00E80A0F"/>
    <w:rsid w:val="00E81226"/>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EF4724"/>
    <w:rsid w:val="00EF4C77"/>
    <w:rsid w:val="00F06811"/>
    <w:rsid w:val="00F248FE"/>
    <w:rsid w:val="00F2643D"/>
    <w:rsid w:val="00F265E3"/>
    <w:rsid w:val="00F371C9"/>
    <w:rsid w:val="00F42EE6"/>
    <w:rsid w:val="00F45D1D"/>
    <w:rsid w:val="00F47CC6"/>
    <w:rsid w:val="00F510B3"/>
    <w:rsid w:val="00F5519E"/>
    <w:rsid w:val="00F55E47"/>
    <w:rsid w:val="00F61072"/>
    <w:rsid w:val="00F61A35"/>
    <w:rsid w:val="00F61AFA"/>
    <w:rsid w:val="00F66D01"/>
    <w:rsid w:val="00F716B7"/>
    <w:rsid w:val="00F71FFD"/>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4D767A"/>
    <w:rsid w:val="1ED0382D"/>
    <w:rsid w:val="1F6FCC30"/>
    <w:rsid w:val="1FFEA7A4"/>
    <w:rsid w:val="221E1ADB"/>
    <w:rsid w:val="234110F7"/>
    <w:rsid w:val="244E1F36"/>
    <w:rsid w:val="26E71322"/>
    <w:rsid w:val="2701BBCF"/>
    <w:rsid w:val="2B5CB754"/>
    <w:rsid w:val="2CE41E6C"/>
    <w:rsid w:val="2DCCFC28"/>
    <w:rsid w:val="2F7EF4F6"/>
    <w:rsid w:val="31D431B3"/>
    <w:rsid w:val="322B78EA"/>
    <w:rsid w:val="327B69C8"/>
    <w:rsid w:val="32EC8777"/>
    <w:rsid w:val="33EDD487"/>
    <w:rsid w:val="3466878E"/>
    <w:rsid w:val="34E5C65A"/>
    <w:rsid w:val="365304A7"/>
    <w:rsid w:val="39DE6FB2"/>
    <w:rsid w:val="3A612B6C"/>
    <w:rsid w:val="3A73173A"/>
    <w:rsid w:val="3C15D3EA"/>
    <w:rsid w:val="3D5415FC"/>
    <w:rsid w:val="3EB07F14"/>
    <w:rsid w:val="4017BF77"/>
    <w:rsid w:val="411B7F00"/>
    <w:rsid w:val="425A78EE"/>
    <w:rsid w:val="42644E04"/>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0C942A8"/>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 w:type="paragraph" w:customStyle="1" w:styleId="114">
    <w:name w:val="Default"/>
    <w:qFormat/>
    <w:uiPriority w:val="0"/>
    <w:pPr>
      <w:autoSpaceDE w:val="0"/>
      <w:autoSpaceDN w:val="0"/>
      <w:adjustRightInd w:val="0"/>
      <w:textAlignment w:val="auto"/>
    </w:pPr>
    <w:rPr>
      <w:rFonts w:ascii="Calibri" w:hAnsi="Calibri" w:eastAsia="WenQuanYi Micro Hei" w:cs="Calibri"/>
      <w:color w:val="000000"/>
      <w:sz w:val="24"/>
      <w:szCs w:val="24"/>
      <w:lang w:val="pt-BR"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FD8ED6-DC5C-4AC2-A75D-A7D1347451F0}">
  <ds:schemaRefs/>
</ds:datastoreItem>
</file>

<file path=customXml/itemProps2.xml><?xml version="1.0" encoding="utf-8"?>
<ds:datastoreItem xmlns:ds="http://schemas.openxmlformats.org/officeDocument/2006/customXml" ds:itemID="{04619D80-AE0E-4FC5-8646-B7029223346D}">
  <ds:schemaRefs/>
</ds:datastoreItem>
</file>

<file path=customXml/itemProps3.xml><?xml version="1.0" encoding="utf-8"?>
<ds:datastoreItem xmlns:ds="http://schemas.openxmlformats.org/officeDocument/2006/customXml" ds:itemID="{D0FA922B-301D-4229-A9FF-8B2F047859B0}">
  <ds:schemaRefs/>
</ds:datastoreItem>
</file>

<file path=customXml/itemProps4.xml><?xml version="1.0" encoding="utf-8"?>
<ds:datastoreItem xmlns:ds="http://schemas.openxmlformats.org/officeDocument/2006/customXml" ds:itemID="{552F9D9B-A10A-4DD0-9B11-62F741C79D1E}">
  <ds:schemaRefs/>
</ds:datastoreItem>
</file>

<file path=docProps/app.xml><?xml version="1.0" encoding="utf-8"?>
<Properties xmlns="http://schemas.openxmlformats.org/officeDocument/2006/extended-properties" xmlns:vt="http://schemas.openxmlformats.org/officeDocument/2006/docPropsVTypes">
  <Template>Normal</Template>
  <Pages>24</Pages>
  <Words>10448</Words>
  <Characters>56425</Characters>
  <Lines>470</Lines>
  <Paragraphs>133</Paragraphs>
  <TotalTime>32</TotalTime>
  <ScaleCrop>false</ScaleCrop>
  <LinksUpToDate>false</LinksUpToDate>
  <CharactersWithSpaces>66740</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Juliana Borsoi</cp:lastModifiedBy>
  <cp:lastPrinted>2020-05-06T13:48:00Z</cp:lastPrinted>
  <dcterms:modified xsi:type="dcterms:W3CDTF">2022-05-16T22:12:00Z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1046-11.2.0.11074</vt:lpwstr>
  </property>
  <property fmtid="{D5CDD505-2E9C-101B-9397-08002B2CF9AE}" pid="4" name="ICV">
    <vt:lpwstr>DF2BD85B10474901B31C150A96564B55</vt:lpwstr>
  </property>
</Properties>
</file>