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auto"/>
          <w:sz w:val="20"/>
          <w:szCs w:val="20"/>
          <w:lang w:val="pt-BR"/>
        </w:rPr>
        <w:t>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31/2022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23069.159760/2020-95)</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sua Comissão de Licitação da Pró-Reitoria de Administração, instituída pela Portaria n.º 57.050 de 01 de setembro de 2016</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maior desconto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w:t>
      </w:r>
      <w:bookmarkStart w:id="6" w:name="_GoBack"/>
      <w:bookmarkEnd w:id="6"/>
      <w:r>
        <w:rPr>
          <w:rFonts w:ascii="Verdana" w:hAnsi="Verdana" w:cs="Arial"/>
          <w:color w:val="000000" w:themeColor="text1"/>
          <w:sz w:val="20"/>
          <w:szCs w:val="20"/>
        </w:rPr>
        <w:t xml:space="preserv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3"/>
        <w:keepNext w:val="0"/>
        <w:shd w:val="clear" w:color="auto" w:fill="auto"/>
        <w:ind w:firstLine="0"/>
        <w:jc w:val="center"/>
        <w:rPr>
          <w:rFonts w:hint="default" w:ascii="Verdana" w:hAnsi="Verdana" w:cs="Arial"/>
          <w:b/>
          <w:bCs/>
          <w:szCs w:val="20"/>
          <w:lang w:val="pt-BR"/>
        </w:rPr>
      </w:pPr>
      <w:r>
        <w:rPr>
          <w:rFonts w:ascii="Verdana" w:hAnsi="Verdana" w:cs="Arial"/>
          <w:szCs w:val="20"/>
        </w:rPr>
        <w:t>Data da sessão:</w:t>
      </w:r>
      <w:r>
        <w:rPr>
          <w:rFonts w:hint="default" w:ascii="Verdana" w:hAnsi="Verdana" w:cs="Arial"/>
          <w:szCs w:val="20"/>
          <w:lang w:val="pt-BR"/>
        </w:rPr>
        <w:t xml:space="preserve"> </w:t>
      </w:r>
      <w:r>
        <w:rPr>
          <w:rFonts w:hint="default" w:ascii="Verdana" w:hAnsi="Verdana" w:cs="Arial"/>
          <w:b/>
          <w:bCs/>
          <w:szCs w:val="20"/>
          <w:lang w:val="pt-BR"/>
        </w:rPr>
        <w:t>06/ABR/2022</w:t>
      </w:r>
    </w:p>
    <w:p>
      <w:pPr>
        <w:pStyle w:val="73"/>
        <w:keepNext w:val="0"/>
        <w:widowControl/>
        <w:shd w:val="clear" w:color="auto" w:fill="auto"/>
        <w:spacing w:before="120" w:after="120"/>
        <w:ind w:firstLine="0"/>
        <w:jc w:val="center"/>
        <w:rPr>
          <w:rFonts w:hint="default" w:ascii="Verdana" w:hAnsi="Verdana" w:cs="Arial"/>
          <w:color w:val="FF0000"/>
          <w:szCs w:val="20"/>
          <w:lang w:val="pt-BR"/>
        </w:rPr>
      </w:pPr>
      <w:r>
        <w:rPr>
          <w:rFonts w:ascii="Verdana" w:hAnsi="Verdana" w:cs="Arial"/>
          <w:szCs w:val="20"/>
        </w:rPr>
        <w:t xml:space="preserve">Horário: </w:t>
      </w:r>
      <w:r>
        <w:rPr>
          <w:rFonts w:hint="default" w:ascii="Verdana" w:hAnsi="Verdana" w:cs="Arial"/>
          <w:color w:val="auto"/>
          <w:szCs w:val="20"/>
          <w:lang w:val="pt-BR"/>
        </w:rPr>
        <w:t>10h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bCs/>
          <w:szCs w:val="20"/>
          <w:shd w:val="clear" w:color="auto" w:fill="FFFFFF"/>
        </w:rPr>
        <w:t xml:space="preserve">contratação de </w:t>
      </w:r>
      <w:bookmarkStart w:id="0" w:name="_Hlk85032038"/>
      <w:r>
        <w:rPr>
          <w:rFonts w:ascii="Verdana" w:hAnsi="Verdana"/>
          <w:bCs/>
          <w:szCs w:val="20"/>
          <w:shd w:val="clear" w:color="auto" w:fill="FFFFFF"/>
        </w:rPr>
        <w:t>execução de serviço de engenharia, para</w:t>
      </w:r>
      <w:bookmarkEnd w:id="0"/>
      <w:r>
        <w:rPr>
          <w:rFonts w:ascii="Verdana" w:hAnsi="Verdana"/>
          <w:bCs/>
          <w:szCs w:val="20"/>
          <w:shd w:val="clear" w:color="auto" w:fill="FFFFFF"/>
        </w:rPr>
        <w:t xml:space="preserve"> </w:t>
      </w:r>
      <w:r>
        <w:rPr>
          <w:rFonts w:ascii="Verdana" w:hAnsi="Verdana"/>
          <w:szCs w:val="20"/>
        </w:rPr>
        <w:t>reforma de salas para instalação de laboratório e microscópio eletrônico na Faculdade de Veterinária da Universidade Federal Fluminense</w:t>
      </w:r>
      <w:r>
        <w:rPr>
          <w:rFonts w:ascii="Verdana" w:hAnsi="Verdana" w:cs="Arial"/>
          <w:szCs w:val="20"/>
        </w:rPr>
        <w:t>,</w:t>
      </w:r>
      <w:r>
        <w:rPr>
          <w:rFonts w:ascii="Verdana" w:hAnsi="Verdana"/>
          <w:szCs w:val="20"/>
        </w:rPr>
        <w:t xml:space="preserve"> com fornecimento de materiais e mão-de-obra,</w:t>
      </w:r>
      <w:r>
        <w:rPr>
          <w:rFonts w:ascii="Verdana" w:hAnsi="Verdana" w:cs="Arial"/>
          <w:szCs w:val="20"/>
        </w:rPr>
        <w:t xml:space="preserve"> conforme condições, quantidades e exigências estabelecidas neste edital e seus anexos.</w:t>
      </w:r>
    </w:p>
    <w:p>
      <w:pPr>
        <w:pStyle w:val="73"/>
        <w:keepNext w:val="0"/>
        <w:widowControl/>
        <w:numPr>
          <w:ilvl w:val="2"/>
          <w:numId w:val="3"/>
        </w:numPr>
        <w:shd w:val="clear" w:color="auto" w:fill="auto"/>
        <w:spacing w:before="120" w:after="120" w:line="240" w:lineRule="auto"/>
        <w:ind w:left="1225" w:hanging="505"/>
        <w:rPr>
          <w:rFonts w:ascii="Verdana" w:hAnsi="Verdana" w:cs="Arial"/>
          <w:szCs w:val="20"/>
        </w:rPr>
      </w:pPr>
      <w:r>
        <w:rPr>
          <w:rFonts w:ascii="Verdana" w:hAnsi="Verdana" w:eastAsia="Calibri" w:cstheme="minorHAnsi"/>
          <w:bCs/>
          <w:sz w:val="18"/>
          <w:szCs w:val="18"/>
        </w:rPr>
        <w:t xml:space="preserve">Localização da obra: </w:t>
      </w:r>
      <w:r>
        <w:rPr>
          <w:szCs w:val="20"/>
        </w:rPr>
        <w:t>Faculdade de Veterinária, Avenida Almirante Ary Parreiras, nº 503, bairro Vital Brazil, cidade de Niterói, estado do Rio de Janeiro.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 xml:space="preserve">A licitação será realizada em 01 (um) </w:t>
      </w:r>
      <w:r>
        <w:rPr>
          <w:rFonts w:hint="default" w:ascii="Verdana" w:hAnsi="Verdana" w:cs="Arial"/>
          <w:iCs/>
          <w:szCs w:val="20"/>
          <w:lang w:val="pt-BR"/>
        </w:rPr>
        <w:t>item</w:t>
      </w:r>
      <w:r>
        <w:rPr>
          <w:rFonts w:ascii="Verdana" w:hAnsi="Verdana" w:cs="Arial"/>
          <w:iCs/>
          <w:szCs w:val="20"/>
        </w:rPr>
        <w:t xml:space="preserve">, formado por vários </w:t>
      </w:r>
      <w:r>
        <w:rPr>
          <w:rFonts w:hint="default" w:ascii="Verdana" w:hAnsi="Verdana" w:cs="Arial"/>
          <w:iCs/>
          <w:szCs w:val="20"/>
          <w:lang w:val="pt-BR"/>
        </w:rPr>
        <w:t>sub</w:t>
      </w:r>
      <w:r>
        <w:rPr>
          <w:rFonts w:ascii="Verdana" w:hAnsi="Verdana" w:cs="Arial"/>
          <w:iCs/>
          <w:szCs w:val="20"/>
        </w:rPr>
        <w:t>itens, conforme planilha de Orçamento constante no Anexo III-B.</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critério de julgamento adotado será o de </w:t>
      </w:r>
      <w:r>
        <w:rPr>
          <w:rFonts w:ascii="Verdana" w:hAnsi="Verdana" w:cs="Arial"/>
          <w:iCs/>
          <w:szCs w:val="20"/>
          <w:u w:val="single"/>
        </w:rPr>
        <w:t>maior desconto</w:t>
      </w:r>
      <w:r>
        <w:rPr>
          <w:rFonts w:ascii="Verdana" w:hAnsi="Verdana" w:cs="Arial"/>
          <w:szCs w:val="20"/>
        </w:rPr>
        <w:t>, para a execução de todos os serviços relacionados nos itens da planilha de Orçamento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O percentual de desconto proposto, resultado da fase de lances, deverá incidir igualmente sobre todos os preços unitários constantes da planilha de orçamento (Anexo III-B), que irá resultar no valor total da proposta da licitante vencedora.</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w:t>
      </w:r>
      <w:r>
        <w:rPr>
          <w:rFonts w:hint="default" w:ascii="Verdana" w:hAnsi="Verdana" w:cs="Arial"/>
          <w:szCs w:val="20"/>
          <w:lang w:val="pt-BR"/>
        </w:rPr>
        <w:t xml:space="preserve">subitens </w:t>
      </w:r>
      <w:r>
        <w:rPr>
          <w:rFonts w:ascii="Verdana" w:hAnsi="Verdana" w:cs="Arial"/>
          <w:szCs w:val="20"/>
        </w:rPr>
        <w:t xml:space="preserve"> do </w:t>
      </w:r>
      <w:r>
        <w:rPr>
          <w:rFonts w:hint="default" w:ascii="Verdana" w:hAnsi="Verdana" w:cs="Arial"/>
          <w:szCs w:val="20"/>
          <w:lang w:val="pt-BR"/>
        </w:rPr>
        <w:t>item</w:t>
      </w:r>
      <w:r>
        <w:rPr>
          <w:rFonts w:ascii="Verdana" w:hAnsi="Verdana" w:cs="Arial"/>
          <w:szCs w:val="20"/>
        </w:rPr>
        <w:t>.</w:t>
      </w:r>
      <w:r>
        <w:rPr>
          <w:rFonts w:ascii="Verdana" w:hAnsi="Verdana" w:cs="Arial"/>
          <w:iCs/>
          <w:szCs w:val="20"/>
        </w:rPr>
        <w:t xml:space="preserve"> Quando for considerado vencedor da licitação, será convocado a apresentar planilha de orçamento contendo os preços unitários para todos os </w:t>
      </w:r>
      <w:r>
        <w:rPr>
          <w:rFonts w:hint="default" w:ascii="Verdana" w:hAnsi="Verdana" w:cs="Arial"/>
          <w:iCs/>
          <w:szCs w:val="20"/>
          <w:lang w:val="pt-BR"/>
        </w:rPr>
        <w:t>sub</w:t>
      </w:r>
      <w:r>
        <w:rPr>
          <w:rFonts w:ascii="Verdana" w:hAnsi="Verdana" w:cs="Arial"/>
          <w:iCs/>
          <w:szCs w:val="20"/>
        </w:rPr>
        <w:t xml:space="preserve">itens que compõem o </w:t>
      </w:r>
      <w:r>
        <w:rPr>
          <w:rFonts w:hint="default" w:ascii="Verdana" w:hAnsi="Verdana" w:cs="Arial"/>
          <w:iCs/>
          <w:szCs w:val="20"/>
          <w:lang w:val="pt-BR"/>
        </w:rPr>
        <w:t>item</w:t>
      </w:r>
      <w:r>
        <w:rPr>
          <w:rFonts w:ascii="Verdana" w:hAnsi="Verdana" w:cs="Arial"/>
          <w:iCs/>
          <w:szCs w:val="20"/>
        </w:rPr>
        <w:t>, na conformidade da planilha contida no Anexo III-B.</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critério de julgamento adotado será o de maior desconto percentual do </w:t>
      </w:r>
      <w:r>
        <w:rPr>
          <w:rFonts w:hint="default" w:ascii="Verdana" w:hAnsi="Verdana" w:cs="Arial"/>
          <w:szCs w:val="20"/>
          <w:lang w:val="pt-BR"/>
        </w:rPr>
        <w:t>item</w:t>
      </w:r>
      <w:r>
        <w:rPr>
          <w:rFonts w:ascii="Verdana" w:hAnsi="Verdana" w:cs="Arial"/>
          <w:szCs w:val="20"/>
        </w:rPr>
        <w:t>, observadas as exigências contidas neste Edital e seus Anexos quanto às especificações do objeto, sagrando-se vencedora a licitante que ofertar o maior desconto.</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 w:val="18"/>
          <w:szCs w:val="18"/>
          <w:u w:val="single"/>
        </w:rPr>
        <w:t>O percentual de desconto proposto</w:t>
      </w:r>
      <w:r>
        <w:rPr>
          <w:rFonts w:ascii="Verdana" w:hAnsi="Verdana" w:cs="Arial"/>
          <w:sz w:val="18"/>
          <w:szCs w:val="18"/>
        </w:rPr>
        <w:t xml:space="preserve">, resultado da fase de lances, </w:t>
      </w:r>
      <w:r>
        <w:rPr>
          <w:rFonts w:ascii="Verdana" w:hAnsi="Verdana" w:cs="Arial"/>
          <w:sz w:val="18"/>
          <w:szCs w:val="18"/>
          <w:u w:val="single"/>
        </w:rPr>
        <w:t>deverá incidir igualmente sobre todos os preços unitários constantes da planilha de orçamento</w:t>
      </w:r>
      <w:r>
        <w:rPr>
          <w:rFonts w:ascii="Verdana" w:hAnsi="Verdana" w:cs="Arial"/>
          <w:sz w:val="18"/>
          <w:szCs w:val="18"/>
        </w:rPr>
        <w:t xml:space="preserve"> (Anexo III-B), que irá resultar no valor total da proposta da licitante.</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ascii="Verdana" w:hAnsi="Verdana" w:cs="Arial"/>
          <w:szCs w:val="20"/>
          <w:highlight w:val="none"/>
        </w:rPr>
      </w:pPr>
      <w:bookmarkStart w:id="2" w:name="_Hlk97023241"/>
      <w:r>
        <w:rPr>
          <w:rFonts w:ascii="Verdana" w:hAnsi="Verdana" w:cs="Arial"/>
          <w:szCs w:val="20"/>
          <w:highlight w:val="none"/>
        </w:rPr>
        <w:t>As despesas para atender a esta licitação estão programadas em dotação orçamentária própria, prevista no orçamento da União para o exercício de 2022</w:t>
      </w:r>
      <w:r>
        <w:rPr>
          <w:rFonts w:ascii="Verdana" w:hAnsi="Verdana" w:eastAsia="Times New Roman" w:cs="Arial"/>
          <w:szCs w:val="20"/>
          <w:highlight w:val="none"/>
        </w:rPr>
        <w:t>,</w:t>
      </w:r>
      <w:r>
        <w:rPr>
          <w:rFonts w:ascii="Verdana" w:hAnsi="Verdana" w:cs="Arial"/>
          <w:szCs w:val="20"/>
          <w:highlight w:val="none"/>
        </w:rPr>
        <w:t xml:space="preserve"> conforme conforme documento PLOR/PLAN</w:t>
      </w:r>
      <w:r>
        <w:rPr>
          <w:rFonts w:hint="default" w:ascii="Verdana" w:hAnsi="Verdana" w:cs="Arial"/>
          <w:szCs w:val="20"/>
          <w:highlight w:val="none"/>
          <w:lang w:val="pt-BR"/>
        </w:rPr>
        <w:t xml:space="preserve"> (SEI nº 0712946 - </w:t>
      </w:r>
      <w:r>
        <w:rPr>
          <w:rFonts w:hint="default" w:ascii="Verdana" w:hAnsi="Verdana"/>
          <w:szCs w:val="20"/>
          <w:highlight w:val="none"/>
          <w:lang w:val="pt-BR"/>
        </w:rPr>
        <w:t>https://sei.uff.br/sei/controlador.php?acao=procedimento_trabalhar&amp;id_procedimento=298400&amp;id_documento=776973)</w:t>
      </w:r>
      <w:r>
        <w:rPr>
          <w:rFonts w:ascii="Verdana" w:hAnsi="Verdana" w:cs="Arial"/>
          <w:szCs w:val="20"/>
          <w:highlight w:val="none"/>
        </w:rPr>
        <w:t>.</w:t>
      </w:r>
      <w:bookmarkEnd w:id="2"/>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3"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RDC</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RDC.</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RDC,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suppressAutoHyphens w:val="0"/>
        <w:spacing w:before="120"/>
        <w:jc w:val="both"/>
        <w:rPr>
          <w:rFonts w:ascii="Verdana" w:hAnsi="Verdana"/>
          <w:sz w:val="20"/>
        </w:rPr>
      </w:pPr>
      <w:r>
        <w:rPr>
          <w:rFonts w:ascii="Verdana" w:hAnsi="Verdana" w:cs="TTE4E87780t00"/>
          <w:sz w:val="20"/>
        </w:rPr>
        <w:t xml:space="preserve">Informações sobre o local da obra para a realização da vistoria ou outras, poderão ser obtidas no preâmbulo deste edital ou junto </w:t>
      </w:r>
      <w:r>
        <w:rPr>
          <w:rFonts w:ascii="Verdana" w:hAnsi="Verdana"/>
          <w:sz w:val="20"/>
        </w:rPr>
        <w:t>a Coordenadoria de Arquitetura e Engenharia/CEA da Superintendência de Arquitetura, Engenharia e Patrimônio/SAEP</w:t>
      </w:r>
      <w:r>
        <w:rPr>
          <w:rFonts w:ascii="Verdana" w:hAnsi="Verdana" w:cs="TTE4E87780t00"/>
          <w:sz w:val="20"/>
        </w:rPr>
        <w:t>, através do</w:t>
      </w:r>
      <w:r>
        <w:rPr>
          <w:rFonts w:ascii="Verdana" w:hAnsi="Verdana"/>
          <w:sz w:val="20"/>
        </w:rPr>
        <w:t xml:space="preserve"> e-mail: </w:t>
      </w:r>
      <w:r>
        <w:fldChar w:fldCharType="begin"/>
      </w:r>
      <w:r>
        <w:instrText xml:space="preserve"> HYPERLINK "mailto:saep.ret@id.uff.br" </w:instrText>
      </w:r>
      <w:r>
        <w:fldChar w:fldCharType="separate"/>
      </w:r>
      <w:r>
        <w:rPr>
          <w:rStyle w:val="10"/>
          <w:rFonts w:ascii="Verdana" w:hAnsi="Verdana"/>
          <w:sz w:val="20"/>
        </w:rPr>
        <w:t>saep.ret@id.uff.br</w:t>
      </w:r>
      <w:r>
        <w:rPr>
          <w:rStyle w:val="10"/>
          <w:rFonts w:ascii="Verdana" w:hAnsi="Verdana"/>
          <w:sz w:val="20"/>
        </w:rPr>
        <w:fldChar w:fldCharType="end"/>
      </w:r>
      <w:r>
        <w:rPr>
          <w:rFonts w:ascii="Verdana" w:hAnsi="Verdana"/>
          <w:sz w:val="20"/>
        </w:rPr>
        <w:t xml:space="preserve"> ou ainda no local e horário indicado abaixo:</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às 17h00m, com a mesma Coordenadoria citada.</w:t>
      </w:r>
      <w:r>
        <w:rPr>
          <w:rFonts w:ascii="Verdana" w:hAnsi="Verdana" w:cs="TTE4E87780t00"/>
          <w:sz w:val="18"/>
          <w:szCs w:val="18"/>
        </w:rPr>
        <w:t xml:space="preserve"> </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desconto percentual a incidir sobre o valor estimado pela Administração, utilizando até 04 (quatro) casas decimais para evitar correções futuras na PROPOSTA DE PREÇOS;</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III-A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line="276" w:lineRule="auto"/>
        <w:contextualSpacing/>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ind w:left="851" w:hanging="357"/>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6"/>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3"/>
        <w:keepNext w:val="0"/>
        <w:widowControl/>
        <w:numPr>
          <w:ilvl w:val="1"/>
          <w:numId w:val="6"/>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6"/>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6"/>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6"/>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desconto percentual que irá incidir sobre o total do orçamento, quando da escolha definitiva da proposta vencedora.</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0,10 % (um décimo percentual).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maior desconto percentual</w:t>
      </w:r>
      <w:r>
        <w:rPr>
          <w:rFonts w:ascii="Verdana" w:hAnsi="Verdana" w:cs="Arial"/>
          <w:color w:val="000000" w:themeColor="text1"/>
          <w:sz w:val="20"/>
          <w:szCs w:val="20"/>
        </w:rPr>
        <w:t>, que deverá incidir igualmente sobre todos os preços unitários orçados pela UFF e constantes da planilha de orçamento (Anexo III-A) conforme definido neste Edital e seus anexos.</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cs="Arial"/>
          <w:color w:val="000000" w:themeColor="text1"/>
          <w:sz w:val="18"/>
          <w:szCs w:val="18"/>
        </w:rPr>
        <w:t xml:space="preserve">Não será admitido a incidência sobre os preços unitários referidos anteriormente, de valor(es) de percentual(is) diferente(s) do valor proposto e considerado vencedor na fase final de lances. </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melhor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6"/>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É facultado ao pregoeiro prorrogar o prazo estabelecido, a partir de solicitação fundamentada feita no chat pelo licitante, antes de findo o prazo.</w:t>
      </w:r>
    </w:p>
    <w:p>
      <w:pPr>
        <w:pStyle w:val="64"/>
        <w:keepNext w:val="0"/>
        <w:numPr>
          <w:ilvl w:val="1"/>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 proposta a ser encaminhada deverá ser composta e conterem:</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identificando os </w:t>
      </w:r>
      <w:r>
        <w:rPr>
          <w:rFonts w:hint="default" w:ascii="Verdana" w:hAnsi="Verdana" w:cs="Arial"/>
          <w:sz w:val="18"/>
          <w:szCs w:val="18"/>
          <w:lang w:val="pt-BR"/>
        </w:rPr>
        <w:t>itens</w:t>
      </w:r>
      <w:r>
        <w:rPr>
          <w:rFonts w:ascii="Verdana" w:hAnsi="Verdana" w:cs="Arial"/>
          <w:sz w:val="18"/>
          <w:szCs w:val="18"/>
        </w:rPr>
        <w:t xml:space="preserve"> em que a empresa foi considerada vencedora, conforme modelo do Anexo V;</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percentual de desconto proposto e o seu correspondente valor monetário, discriminados também por extenso.</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6"/>
        </w:numPr>
        <w:spacing w:before="120" w:after="120"/>
        <w:textAlignment w:val="auto"/>
        <w:rPr>
          <w:rFonts w:ascii="Verdana" w:hAnsi="Verdana" w:eastAsia="Times New Roman" w:cs="Arial"/>
          <w:szCs w:val="20"/>
        </w:rPr>
      </w:pPr>
      <w:r>
        <w:rPr>
          <w:rFonts w:ascii="Verdana" w:hAnsi="Verdana" w:eastAsia="Times New Roman" w:cs="Arial"/>
          <w:szCs w:val="20"/>
        </w:rPr>
        <w:t>Anexo à Carta Proposta deverá apresentar os seguintes documentos, todos conforme modelos anexos a este edital:</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de cada </w:t>
      </w:r>
      <w:r>
        <w:rPr>
          <w:rFonts w:hint="default" w:ascii="Verdana" w:hAnsi="Verdana" w:cs="Arial"/>
          <w:sz w:val="18"/>
          <w:szCs w:val="18"/>
          <w:lang w:val="pt-BR"/>
        </w:rPr>
        <w:t>item</w:t>
      </w:r>
      <w:r>
        <w:rPr>
          <w:rFonts w:ascii="Verdana" w:hAnsi="Verdana" w:cs="Arial"/>
          <w:sz w:val="18"/>
          <w:szCs w:val="18"/>
        </w:rPr>
        <w:t xml:space="preserve">, conforme Anexo VI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VIII;</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Resumo do Orçamento</w:t>
      </w:r>
      <w:r>
        <w:rPr>
          <w:rFonts w:ascii="Verdana" w:hAnsi="Verdana" w:cs="Arial"/>
          <w:sz w:val="18"/>
          <w:szCs w:val="18"/>
        </w:rPr>
        <w:t xml:space="preserve"> conforme modelo do Anexo III-Á;</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para o </w:t>
      </w:r>
      <w:r>
        <w:rPr>
          <w:rFonts w:hint="default" w:ascii="Verdana" w:hAnsi="Verdana" w:cs="Arial"/>
          <w:sz w:val="18"/>
          <w:szCs w:val="18"/>
          <w:lang w:val="pt-BR"/>
        </w:rPr>
        <w:t>item</w:t>
      </w:r>
      <w:r>
        <w:rPr>
          <w:rFonts w:ascii="Verdana" w:hAnsi="Verdana" w:cs="Arial"/>
          <w:sz w:val="18"/>
          <w:szCs w:val="18"/>
        </w:rPr>
        <w:t>,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III-B), que tratando-se de desconto, os novos preços unitários propostos pela licitante, serão obrigatoriamente inferiores aos apresentados pela UFF;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dos preços unitários calculados pela UFF; se tal ocorrência for constatada será motivo de desclassificação da proposta; seus valores estão bloqueados para edição no Anexo III-A. </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A soma dos preços totais ajustados dos itens dos serviços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seu nome e número do seu CREA/CAU e pelo representante legal da empresa e com carimbo do CNPJ, no formato PDF:</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Todos os dados informados pelo licitante em sua planilha deverão refletir com fidelidade os custos especificados e a margem de lucro pretendida;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Não se admitirá, na proposta de preços, custos identificados mediante o uso da expressão “verba” ou de unidades genéricas.</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6"/>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6"/>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p>
    <w:p>
      <w:pPr>
        <w:pStyle w:val="73"/>
        <w:keepNext w:val="0"/>
        <w:widowControl/>
        <w:numPr>
          <w:ilvl w:val="3"/>
          <w:numId w:val="6"/>
        </w:numPr>
        <w:spacing w:before="120" w:after="120"/>
        <w:ind w:left="1701" w:hanging="567"/>
        <w:textAlignment w:val="auto"/>
        <w:rPr>
          <w:rStyle w:val="61"/>
          <w:rFonts w:ascii="Verdana" w:hAnsi="Verdana" w:eastAsia="Times New Roman"/>
          <w:color w:val="auto"/>
          <w:sz w:val="18"/>
          <w:szCs w:val="18"/>
        </w:rPr>
      </w:pPr>
      <w:r>
        <w:rPr>
          <w:rFonts w:ascii="Verdana" w:hAnsi="Verdana" w:cs="Times-Roman"/>
          <w:sz w:val="18"/>
          <w:szCs w:val="18"/>
        </w:rPr>
        <w:t xml:space="preserve">– </w:t>
      </w:r>
      <w:r>
        <w:rPr>
          <w:rFonts w:ascii="Verdana" w:hAnsi="Verdana" w:cs="Times-Roman"/>
          <w:sz w:val="16"/>
          <w:szCs w:val="16"/>
        </w:rPr>
        <w:t xml:space="preserve">Observação: 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hAnsi="Verdana" w:eastAsia="TimesNewRoman" w:cs="TimesNewRoman"/>
          <w:sz w:val="16"/>
          <w:szCs w:val="16"/>
        </w:rPr>
        <w:t>que os relatórios obtidos em sistemas referenciais de custos e em publicações técnicas especializadas devem ser arquivados nos autos da licitação. Portanto, considerando que o presente orçamento utilizou como base os custos unitários divulgados pelo SINAPI e em sistemas referenciais de custos e em publicações técnicas especializadas, deixa-se de solicitar a apresentação da planilha demonstrativa de encargos sociais das licitantes. (</w:t>
      </w:r>
      <w:r>
        <w:rPr>
          <w:rFonts w:ascii="Verdana" w:hAnsi="Verdana" w:cs="Arial"/>
          <w:sz w:val="16"/>
          <w:szCs w:val="16"/>
        </w:rPr>
        <w:t>pág. 95/96</w:t>
      </w:r>
      <w:r>
        <w:rPr>
          <w:rFonts w:ascii="Verdana" w:hAnsi="Verdana" w:eastAsia="TimesNewRoman" w:cs="TimesNewRoman"/>
          <w:sz w:val="16"/>
          <w:szCs w:val="16"/>
        </w:rPr>
        <w:t xml:space="preserve"> - “Orientações para E</w:t>
      </w:r>
      <w:r>
        <w:rPr>
          <w:rFonts w:ascii="Verdana" w:hAnsi="Verdana" w:cs="Arial"/>
          <w:sz w:val="16"/>
          <w:szCs w:val="16"/>
        </w:rPr>
        <w:t>laboração de Planilhas Orçamentárias de Obras Públicas” – TCU – 2014)</w:t>
      </w:r>
    </w:p>
    <w:p>
      <w:pPr>
        <w:pStyle w:val="73"/>
        <w:keepNext w:val="0"/>
        <w:widowControl/>
        <w:numPr>
          <w:ilvl w:val="1"/>
          <w:numId w:val="6"/>
        </w:numPr>
        <w:spacing w:before="120" w:after="120"/>
        <w:textAlignment w:val="auto"/>
        <w:rPr>
          <w:rStyle w:val="61"/>
          <w:rFonts w:ascii="Verdana" w:hAnsi="Verdana" w:eastAsia="Ecofont_Spranq_eco_Sans,Lohit H"/>
          <w:color w:val="auto"/>
          <w:szCs w:val="20"/>
        </w:rPr>
      </w:pPr>
      <w:r>
        <w:rPr>
          <w:rFonts w:ascii="Verdana" w:hAnsi="Verdana" w:cs="Arial"/>
          <w:szCs w:val="20"/>
        </w:rPr>
        <w:t>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6"/>
        </w:numPr>
        <w:spacing w:before="120" w:after="120"/>
        <w:textAlignment w:val="auto"/>
        <w:rPr>
          <w:rFonts w:ascii="Verdana" w:hAnsi="Verdana" w:cs="Arial"/>
          <w:color w:val="FF0000"/>
          <w:szCs w:val="20"/>
        </w:rPr>
      </w:pPr>
      <w:r>
        <w:rPr>
          <w:rFonts w:ascii="Verdana" w:hAnsi="Verdana" w:cs="Arial"/>
          <w:szCs w:val="20"/>
        </w:rPr>
        <w:t>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III-A – Planilha Orçamentária;</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aplicado na planilha orçamentária (Anexo III-A) percentual(is) de desconto(s) diferente(s) do valor do lance final proposto;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6"/>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Quando o licitante não conseguir comprovar que possui ou possuirá recursos suficientes para executar a contento o objeto, será considerada inexequível a proposta de preços ou menor lance que:</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O exame da inexequibilidade observará a fórmula prevista no art. 48, §§ 1º e 2º, da Lei nº 8.666, de 1993.</w:t>
      </w: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6"/>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lang w:eastAsia="en-US"/>
        </w:rPr>
        <w:t xml:space="preserve">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7"/>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6"/>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6"/>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6"/>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indicação de recolhimento de impostos e contribuições na forma do Simples Nacional, quando não cabível esse regime.</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6"/>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SICAF;</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“9.1.2”, “9.1.3” e “9.1.4”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e financeira, conforme o disposto na Instrução Normativa SEGES/MP nº 03, de 2018</w:t>
      </w:r>
      <w:r>
        <w:rPr>
          <w:rFonts w:ascii="Verdana" w:hAnsi="Verdana" w:cs="Arial"/>
          <w:szCs w:val="20"/>
        </w:rPr>
        <w:t>;</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bookmarkStart w:id="5" w:name="_Hlk88838545"/>
      <w:r>
        <w:rPr>
          <w:rFonts w:ascii="Verdana" w:hAnsi="Verdana" w:cs="Arial"/>
          <w:b/>
          <w:szCs w:val="20"/>
        </w:rPr>
        <w:t>HABILITAÇÃO JURÍDICA, REGULARIDADE FISCAL E QUALIFICAÇÃO ECÔNOMICA</w:t>
      </w:r>
      <w:bookmarkEnd w:id="5"/>
      <w:r>
        <w:rPr>
          <w:rFonts w:ascii="Verdana" w:hAnsi="Verdana" w:cs="Arial"/>
          <w:b/>
          <w:szCs w:val="20"/>
        </w:rPr>
        <w:t xml:space="preserve"> E FINANCEIRA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Ressalvado o disposto no item 5.3, 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6"/>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6"/>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6"/>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6"/>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do Termo de Referência (Anexo I).</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sz w:val="18"/>
          <w:szCs w:val="18"/>
        </w:rPr>
        <w:t xml:space="preserve">– O acervo técnico de uma pessoa jurídica variará em função da alteração do acervo do seu quadro de profissionais e consultores (§ único do art. 4º da Resolução 317/86 do CONFEA); </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6"/>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 deste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 ou a declaração de não vistoria (Anexo VII);</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VIII do edital;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apresentar a planilha de orçamento de preços do </w:t>
      </w:r>
      <w:r>
        <w:rPr>
          <w:rFonts w:hint="default" w:ascii="Verdana" w:hAnsi="Verdana" w:cs="Arial"/>
          <w:sz w:val="18"/>
          <w:szCs w:val="18"/>
          <w:lang w:val="pt-BR"/>
        </w:rPr>
        <w:t>item e subitens</w:t>
      </w:r>
      <w:r>
        <w:rPr>
          <w:rFonts w:ascii="Verdana" w:hAnsi="Verdana" w:cs="Arial"/>
          <w:sz w:val="18"/>
          <w:szCs w:val="18"/>
        </w:rPr>
        <w:t>, devidamente ajustada ao lance vencedor, em conformidade com os modelos do anexo III a este instrumento convocatório (Planilha Resumo, de Orçamento e Cronograma);</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valor do percentual do lance vencedor, para se obter o valor monetário proposto;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o valor do percentual do lance final proposto deverá incidir igualmente sobre todos os preços unitários com BDI apurados pela Administração, não sendo admitida a incidência de valor diferente deste percentual.</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6"/>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6"/>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Ocorrendo divergência entre os preços unitários e o preço global, prevalecerão os primeiros; no caso de divergência entre os valores numéricos e os valores expressos por extenso, prevalecerão estes últimos.</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6"/>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8"/>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8"/>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8"/>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8"/>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8"/>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8"/>
        </w:numPr>
        <w:spacing w:before="120" w:after="120"/>
        <w:rPr>
          <w:rFonts w:ascii="Verdana" w:hAnsi="Verdana" w:cs="Arial"/>
          <w:szCs w:val="20"/>
        </w:rPr>
      </w:pPr>
      <w:r>
        <w:rPr>
          <w:rFonts w:ascii="Verdana" w:hAnsi="Verdana" w:cs="Arial"/>
          <w:sz w:val="18"/>
          <w:szCs w:val="18"/>
        </w:rPr>
        <w:t>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8"/>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8"/>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8"/>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8"/>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8"/>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9"/>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73"/>
        <w:keepNext w:val="0"/>
        <w:widowControl/>
        <w:numPr>
          <w:ilvl w:val="0"/>
          <w:numId w:val="10"/>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0"/>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0"/>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0"/>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0"/>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0"/>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0"/>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0"/>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0"/>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0"/>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0"/>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0"/>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1"/>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1"/>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1"/>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1"/>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1"/>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1"/>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1"/>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1"/>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1"/>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1"/>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rPr>
          <w:rFonts w:ascii="Verdana" w:hAnsi="Verdana" w:eastAsia="Times New Roman" w:cs="Arial"/>
          <w:szCs w:val="20"/>
        </w:rPr>
        <w:t>cpl@id.uff.br,</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1"/>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r>
        <w:rPr>
          <w:rFonts w:ascii="Verdana" w:hAnsi="Verdana" w:cs="Arial"/>
          <w:sz w:val="20"/>
          <w:szCs w:val="20"/>
        </w:rPr>
        <w:t xml:space="preserve"> </w:t>
      </w:r>
      <w:r>
        <w:rPr>
          <w:rFonts w:ascii="Verdana" w:hAnsi="Verdana" w:cs="Arial"/>
          <w:color w:val="000000"/>
          <w:sz w:val="20"/>
          <w:szCs w:val="20"/>
        </w:rPr>
        <w:t>.</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1"/>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1"/>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1"/>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1"/>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 xml:space="preserve">O Edital está disponibilizado, na íntegra, no endereço eletrônico </w:t>
      </w:r>
      <w:r>
        <w:rPr>
          <w:rFonts w:ascii="Verdana" w:hAnsi="Verdana" w:cs="Arial"/>
          <w:szCs w:val="20"/>
        </w:rPr>
        <w:t>comprasgovernamentais.gov.br</w:t>
      </w:r>
      <w:r>
        <w:rPr>
          <w:rFonts w:ascii="Verdana" w:hAnsi="Verdana" w:cs="Arial"/>
          <w:color w:val="000000"/>
          <w:szCs w:val="20"/>
        </w:rPr>
        <w:t xml:space="preserve">, e </w:t>
      </w:r>
      <w:r>
        <w:rPr>
          <w:rFonts w:ascii="Verdana" w:hAnsi="Verdana" w:cs="Arial"/>
          <w:szCs w:val="20"/>
        </w:rPr>
        <w:t xml:space="preserve">também poderão ser lidos e/ou obtidos no endereço </w:t>
      </w:r>
      <w:r>
        <w:rPr>
          <w:rFonts w:ascii="Verdana" w:hAnsi="Verdana" w:eastAsia="Times New Roman" w:cs="Arial"/>
          <w:szCs w:val="20"/>
        </w:rPr>
        <w:t>Rua Miguel de Frias n.º 09, 1º andar, sala da Coordenação de Licitação, Niterói-RJ</w:t>
      </w:r>
      <w:r>
        <w:rPr>
          <w:rFonts w:ascii="Verdana" w:hAnsi="Verdana" w:cs="Arial"/>
          <w:szCs w:val="20"/>
        </w:rPr>
        <w:t>, nos dias úteis, no horário</w:t>
      </w:r>
      <w:r>
        <w:rPr>
          <w:rFonts w:ascii="Verdana" w:hAnsi="Verdana" w:cs="Arial"/>
          <w:color w:val="000000"/>
          <w:szCs w:val="20"/>
        </w:rPr>
        <w:t xml:space="preserve"> das 09:00 horas às 17:00 horas, mesmo endereço e período no qual os autos do processo administrativo permanecerão com vista franqueada aos interessados.</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 – Termo de Referência;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 – Descrição dos serviços;</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III-B - Planilha de Orçamento;</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III-C – Cronograma Físico e Financeiro;</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 – Modelo da Carta de Apresentação da Proposta;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VI – Modelo de Declaração de Vistoria;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VII – Modelo de Declaração de não realização de Vistoria;</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VIII - Modelo de Declaração de Responsabilidade;</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IX - Minuta de Termo de Contrato; e</w:t>
      </w:r>
    </w:p>
    <w:p>
      <w:pPr>
        <w:pStyle w:val="73"/>
        <w:keepNext w:val="0"/>
        <w:numPr>
          <w:ilvl w:val="2"/>
          <w:numId w:val="11"/>
        </w:numPr>
        <w:ind w:left="1134" w:hanging="567"/>
        <w:rPr>
          <w:rFonts w:ascii="Verdana" w:hAnsi="Verdana" w:cs="Arial"/>
          <w:sz w:val="18"/>
          <w:szCs w:val="18"/>
        </w:rPr>
      </w:pPr>
      <w:r>
        <w:rPr>
          <w:rFonts w:ascii="Verdana" w:hAnsi="Verdana" w:cs="Arial"/>
          <w:color w:val="000000"/>
          <w:sz w:val="18"/>
          <w:szCs w:val="18"/>
        </w:rPr>
        <w:t>Anexo X – Projetos.</w:t>
      </w: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Niterói, 14 de março de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w:t>
      </w:r>
      <w:r>
        <w:rPr>
          <w:rFonts w:hint="default" w:ascii="Verdana" w:hAnsi="Verdana" w:cs="Arial"/>
          <w:sz w:val="16"/>
          <w:szCs w:val="16"/>
          <w:lang w:val="pt-BR"/>
        </w:rPr>
        <w:t>ção</w:t>
      </w:r>
      <w:r>
        <w:rPr>
          <w:rFonts w:ascii="Verdana" w:hAnsi="Verdana" w:cs="Arial"/>
          <w:sz w:val="16"/>
          <w:szCs w:val="16"/>
        </w:rPr>
        <w:t xml:space="preserve"> 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Ecofont_Spranq_eco_Sans">
    <w:altName w:val="Malgun Gothic"/>
    <w:panose1 w:val="00000000000000000000"/>
    <w:charset w:val="00"/>
    <w:family w:val="roman"/>
    <w:pitch w:val="default"/>
    <w:sig w:usb0="00000000" w:usb1="00000000" w:usb2="00000000" w:usb3="00000000" w:csb0="00000000" w:csb1="00000000"/>
  </w:font>
  <w:font w:name="Malgun Gothic">
    <w:panose1 w:val="020B0503020000020004"/>
    <w:charset w:val="81"/>
    <w:family w:val="auto"/>
    <w:pitch w:val="default"/>
    <w:sig w:usb0="900002AF" w:usb1="01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WenQuanYi Micro Hei">
    <w:altName w:val="SimSun"/>
    <w:panose1 w:val="00000000000000000000"/>
    <w:charset w:val="86"/>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Mangal">
    <w:panose1 w:val="02040503050203030202"/>
    <w:charset w:val="00"/>
    <w:family w:val="roman"/>
    <w:pitch w:val="default"/>
    <w:sig w:usb0="00008003" w:usb1="00000000" w:usb2="00000000" w:usb3="00000000" w:csb0="00000001" w:csb1="00000000"/>
  </w:font>
  <w:font w:name="Liberation Serif">
    <w:panose1 w:val="02020603050405020304"/>
    <w:charset w:val="00"/>
    <w:family w:val="roman"/>
    <w:pitch w:val="default"/>
    <w:sig w:usb0="E0000AFF" w:usb1="500078FF" w:usb2="00000021" w:usb3="00000000" w:csb0="600001BF" w:csb1="DFF70000"/>
  </w:font>
  <w:font w:name="MS Mincho">
    <w:panose1 w:val="02020609040205080304"/>
    <w:charset w:val="80"/>
    <w:family w:val="modern"/>
    <w:pitch w:val="default"/>
    <w:sig w:usb0="E00002FF" w:usb1="6AC7FDFB" w:usb2="00000012" w:usb3="00000000" w:csb0="4002009F" w:csb1="DFD70000"/>
  </w:font>
  <w:font w:name="Segoe UI">
    <w:panose1 w:val="020B0502040204020203"/>
    <w:charset w:val="00"/>
    <w:family w:val="swiss"/>
    <w:pitch w:val="default"/>
    <w:sig w:usb0="E10022FF" w:usb1="C000E47F" w:usb2="00000029" w:usb3="00000000" w:csb0="200001DF" w:csb1="20000000"/>
  </w:font>
  <w:font w:name="Verdana">
    <w:panose1 w:val="020B0604030504040204"/>
    <w:charset w:val="00"/>
    <w:family w:val="swiss"/>
    <w:pitch w:val="default"/>
    <w:sig w:usb0="A1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TimesNewRoman">
    <w:altName w:val="MS Mincho"/>
    <w:panose1 w:val="00000000000000000000"/>
    <w:charset w:val="80"/>
    <w:family w:val="auto"/>
    <w:pitch w:val="default"/>
    <w:sig w:usb0="00000000" w:usb1="00000000" w:usb2="00000010" w:usb3="00000000" w:csb0="00020000"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23069.159760/2020-95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1">
    <w:nsid w:val="2367722C"/>
    <w:multiLevelType w:val="multilevel"/>
    <w:tmpl w:val="2367722C"/>
    <w:lvl w:ilvl="0" w:tentative="0">
      <w:start w:val="12"/>
      <w:numFmt w:val="decimal"/>
      <w:lvlText w:val="%1."/>
      <w:lvlJc w:val="left"/>
      <w:pPr>
        <w:ind w:left="0" w:firstLine="0"/>
      </w:pPr>
      <w:rPr>
        <w:rFonts w:hint="default"/>
        <w:b/>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346250F7"/>
    <w:multiLevelType w:val="multilevel"/>
    <w:tmpl w:val="346250F7"/>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decimal"/>
      <w:lvlText w:val="%1.%2.%3"/>
      <w:lvlJc w:val="left"/>
      <w:pPr>
        <w:ind w:left="1712" w:hanging="72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b/>
        <w:sz w:val="20"/>
        <w:szCs w:val="20"/>
      </w:rPr>
    </w:lvl>
    <w:lvl w:ilvl="1" w:tentative="0">
      <w:start w:val="1"/>
      <w:numFmt w:val="decimal"/>
      <w:lvlText w:val="%1.%2."/>
      <w:lvlJc w:val="left"/>
      <w:pPr>
        <w:ind w:left="792" w:hanging="432"/>
      </w:pPr>
      <w:rPr>
        <w:b w:val="0"/>
        <w:i w:val="0"/>
        <w:color w:val="auto"/>
      </w:rPr>
    </w:lvl>
    <w:lvl w:ilvl="2" w:tentative="0">
      <w:start w:val="1"/>
      <w:numFmt w:val="decimal"/>
      <w:lvlText w:val="%1.%2.%3."/>
      <w:lvlJc w:val="left"/>
      <w:pPr>
        <w:ind w:left="1224" w:hanging="504"/>
      </w:pPr>
      <w:rPr>
        <w:b w:val="0"/>
        <w:color w:val="auto"/>
      </w:rPr>
    </w:lvl>
    <w:lvl w:ilvl="3" w:tentative="0">
      <w:start w:val="1"/>
      <w:numFmt w:val="decimal"/>
      <w:lvlText w:val="%1.%2.%3.%4."/>
      <w:lvlJc w:val="left"/>
      <w:pPr>
        <w:ind w:left="1728" w:hanging="648"/>
      </w:pPr>
      <w:rPr>
        <w:color w:val="auto"/>
      </w:rPr>
    </w:lvl>
    <w:lvl w:ilvl="4" w:tentative="0">
      <w:start w:val="1"/>
      <w:numFmt w:val="decimal"/>
      <w:lvlText w:val="%1.%2.%3.%4.%5."/>
      <w:lvlJc w:val="left"/>
      <w:pPr>
        <w:ind w:left="2232" w:hanging="792"/>
      </w:pPr>
      <w:rPr>
        <w:color w:val="auto"/>
      </w:rPr>
    </w:lvl>
    <w:lvl w:ilvl="5" w:tentative="0">
      <w:start w:val="1"/>
      <w:numFmt w:val="decimal"/>
      <w:lvlText w:val="%1.%2.%3.%4.%5.%6."/>
      <w:lvlJc w:val="left"/>
      <w:pPr>
        <w:ind w:left="2736" w:hanging="936"/>
      </w:pPr>
      <w:rPr>
        <w:color w:val="auto"/>
      </w:rPr>
    </w:lvl>
    <w:lvl w:ilvl="6" w:tentative="0">
      <w:start w:val="1"/>
      <w:numFmt w:val="decimal"/>
      <w:lvlText w:val="%1.%2.%3.%4.%5.%6.%7."/>
      <w:lvlJc w:val="left"/>
      <w:pPr>
        <w:ind w:left="3240" w:hanging="1080"/>
      </w:pPr>
      <w:rPr>
        <w:color w:val="auto"/>
      </w:rPr>
    </w:lvl>
    <w:lvl w:ilvl="7" w:tentative="0">
      <w:start w:val="1"/>
      <w:numFmt w:val="decimal"/>
      <w:lvlText w:val="%1.%2.%3.%4.%5.%6.%7.%8."/>
      <w:lvlJc w:val="left"/>
      <w:pPr>
        <w:ind w:left="3744" w:hanging="1224"/>
      </w:pPr>
      <w:rPr>
        <w:color w:val="auto"/>
      </w:rPr>
    </w:lvl>
    <w:lvl w:ilvl="8" w:tentative="0">
      <w:start w:val="1"/>
      <w:numFmt w:val="decimal"/>
      <w:lvlText w:val="%1.%2.%3.%4.%5.%6.%7.%8.%9."/>
      <w:lvlJc w:val="left"/>
      <w:pPr>
        <w:ind w:left="4320" w:hanging="1440"/>
      </w:pPr>
      <w:rPr>
        <w:color w:val="auto"/>
      </w:rPr>
    </w:lvl>
  </w:abstractNum>
  <w:abstractNum w:abstractNumId="5">
    <w:nsid w:val="43CF13EB"/>
    <w:multiLevelType w:val="multilevel"/>
    <w:tmpl w:val="43CF13EB"/>
    <w:lvl w:ilvl="0" w:tentative="0">
      <w:start w:val="12"/>
      <w:numFmt w:val="decimal"/>
      <w:lvlText w:val="%1."/>
      <w:lvlJc w:val="left"/>
      <w:pPr>
        <w:ind w:left="660" w:hanging="660"/>
      </w:pPr>
      <w:rPr>
        <w:rFonts w:hint="default"/>
        <w:b/>
      </w:rPr>
    </w:lvl>
    <w:lvl w:ilvl="1" w:tentative="0">
      <w:start w:val="1"/>
      <w:numFmt w:val="decimal"/>
      <w:lvlText w:val="%1.%2."/>
      <w:lvlJc w:val="left"/>
      <w:pPr>
        <w:ind w:left="1085" w:hanging="660"/>
      </w:pPr>
      <w:rPr>
        <w:rFonts w:hint="default"/>
      </w:rPr>
    </w:lvl>
    <w:lvl w:ilvl="2" w:tentative="0">
      <w:start w:val="1"/>
      <w:numFmt w:val="decimal"/>
      <w:lvlText w:val="%1.%2.%3."/>
      <w:lvlJc w:val="left"/>
      <w:pPr>
        <w:ind w:left="1570" w:hanging="720"/>
      </w:pPr>
      <w:rPr>
        <w:rFonts w:hint="default"/>
      </w:rPr>
    </w:lvl>
    <w:lvl w:ilvl="3" w:tentative="0">
      <w:start w:val="1"/>
      <w:numFmt w:val="decimal"/>
      <w:lvlText w:val="%1.%2.%3.%4."/>
      <w:lvlJc w:val="left"/>
      <w:pPr>
        <w:ind w:left="1995" w:hanging="720"/>
      </w:pPr>
      <w:rPr>
        <w:rFonts w:hint="default"/>
      </w:rPr>
    </w:lvl>
    <w:lvl w:ilvl="4" w:tentative="0">
      <w:start w:val="1"/>
      <w:numFmt w:val="decimal"/>
      <w:lvlText w:val="%1.%2.%3.%4.%5."/>
      <w:lvlJc w:val="left"/>
      <w:pPr>
        <w:ind w:left="2780" w:hanging="1080"/>
      </w:pPr>
      <w:rPr>
        <w:rFonts w:hint="default"/>
      </w:rPr>
    </w:lvl>
    <w:lvl w:ilvl="5" w:tentative="0">
      <w:start w:val="1"/>
      <w:numFmt w:val="decimal"/>
      <w:lvlText w:val="%1.%2.%3.%4.%5.%6."/>
      <w:lvlJc w:val="left"/>
      <w:pPr>
        <w:ind w:left="3205" w:hanging="1080"/>
      </w:pPr>
      <w:rPr>
        <w:rFonts w:hint="default"/>
      </w:rPr>
    </w:lvl>
    <w:lvl w:ilvl="6" w:tentative="0">
      <w:start w:val="1"/>
      <w:numFmt w:val="decimal"/>
      <w:lvlText w:val="%1.%2.%3.%4.%5.%6.%7."/>
      <w:lvlJc w:val="left"/>
      <w:pPr>
        <w:ind w:left="3990" w:hanging="1440"/>
      </w:pPr>
      <w:rPr>
        <w:rFonts w:hint="default"/>
      </w:rPr>
    </w:lvl>
    <w:lvl w:ilvl="7" w:tentative="0">
      <w:start w:val="1"/>
      <w:numFmt w:val="decimal"/>
      <w:lvlText w:val="%1.%2.%3.%4.%5.%6.%7.%8."/>
      <w:lvlJc w:val="left"/>
      <w:pPr>
        <w:ind w:left="4415" w:hanging="1440"/>
      </w:pPr>
      <w:rPr>
        <w:rFonts w:hint="default"/>
      </w:rPr>
    </w:lvl>
    <w:lvl w:ilvl="8" w:tentative="0">
      <w:start w:val="1"/>
      <w:numFmt w:val="decimal"/>
      <w:lvlText w:val="%1.%2.%3.%4.%5.%6.%7.%8.%9."/>
      <w:lvlJc w:val="left"/>
      <w:pPr>
        <w:ind w:left="5200"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abstractNum w:abstractNumId="9">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0">
    <w:nsid w:val="7E0E2202"/>
    <w:multiLevelType w:val="multilevel"/>
    <w:tmpl w:val="7E0E2202"/>
    <w:lvl w:ilvl="0" w:tentative="0">
      <w:start w:val="16"/>
      <w:numFmt w:val="decimal"/>
      <w:lvlText w:val="%1."/>
      <w:lvlJc w:val="left"/>
      <w:pPr>
        <w:ind w:left="0" w:firstLine="0"/>
      </w:pPr>
      <w:rPr>
        <w:rFonts w:hint="default"/>
        <w:b/>
      </w:rPr>
    </w:lvl>
    <w:lvl w:ilvl="1" w:tentative="0">
      <w:start w:val="1"/>
      <w:numFmt w:val="decimal"/>
      <w:lvlText w:val="%1.%2."/>
      <w:lvlJc w:val="left"/>
      <w:pPr>
        <w:ind w:left="426" w:firstLine="0"/>
      </w:pPr>
      <w:rPr>
        <w:rFonts w:hint="default"/>
        <w:sz w:val="20"/>
        <w:szCs w:val="20"/>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num w:numId="1">
    <w:abstractNumId w:val="0"/>
  </w:num>
  <w:num w:numId="2">
    <w:abstractNumId w:val="6"/>
  </w:num>
  <w:num w:numId="3">
    <w:abstractNumId w:val="4"/>
  </w:num>
  <w:num w:numId="4">
    <w:abstractNumId w:val="8"/>
  </w:num>
  <w:num w:numId="5">
    <w:abstractNumId w:val="7"/>
  </w:num>
  <w:num w:numId="6">
    <w:abstractNumId w:val="2"/>
  </w:num>
  <w:num w:numId="7">
    <w:abstractNumId w:val="9"/>
  </w:num>
  <w:num w:numId="8">
    <w:abstractNumId w:val="1"/>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09"/>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2"/>
  </w:compat>
  <w:rsids>
    <w:rsidRoot w:val="00D00846"/>
    <w:rsid w:val="00000CC9"/>
    <w:rsid w:val="000022E3"/>
    <w:rsid w:val="00003DC8"/>
    <w:rsid w:val="00003F6F"/>
    <w:rsid w:val="00020A23"/>
    <w:rsid w:val="0002173F"/>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91358"/>
    <w:rsid w:val="00092281"/>
    <w:rsid w:val="00094592"/>
    <w:rsid w:val="000B02B7"/>
    <w:rsid w:val="000B2ECB"/>
    <w:rsid w:val="000B79B0"/>
    <w:rsid w:val="000C2DFC"/>
    <w:rsid w:val="000C633E"/>
    <w:rsid w:val="000C78AD"/>
    <w:rsid w:val="000D1118"/>
    <w:rsid w:val="000D2F4F"/>
    <w:rsid w:val="000E0D10"/>
    <w:rsid w:val="000E47C5"/>
    <w:rsid w:val="000E4B2A"/>
    <w:rsid w:val="000F49A5"/>
    <w:rsid w:val="001003C6"/>
    <w:rsid w:val="00112A24"/>
    <w:rsid w:val="00115488"/>
    <w:rsid w:val="001224CC"/>
    <w:rsid w:val="00127D00"/>
    <w:rsid w:val="00131CE1"/>
    <w:rsid w:val="0013270F"/>
    <w:rsid w:val="001375A4"/>
    <w:rsid w:val="001421D5"/>
    <w:rsid w:val="00147D80"/>
    <w:rsid w:val="0015089E"/>
    <w:rsid w:val="001537E3"/>
    <w:rsid w:val="00156910"/>
    <w:rsid w:val="00161EFF"/>
    <w:rsid w:val="001701E5"/>
    <w:rsid w:val="001718F3"/>
    <w:rsid w:val="00186725"/>
    <w:rsid w:val="00195DD6"/>
    <w:rsid w:val="001B64FC"/>
    <w:rsid w:val="001D054A"/>
    <w:rsid w:val="001D2FF2"/>
    <w:rsid w:val="001E00F8"/>
    <w:rsid w:val="001E4BD9"/>
    <w:rsid w:val="001F3184"/>
    <w:rsid w:val="00200969"/>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91491"/>
    <w:rsid w:val="00294347"/>
    <w:rsid w:val="002960BC"/>
    <w:rsid w:val="002A0063"/>
    <w:rsid w:val="002A05D0"/>
    <w:rsid w:val="002A162E"/>
    <w:rsid w:val="002C5B60"/>
    <w:rsid w:val="002C758F"/>
    <w:rsid w:val="002D0E4D"/>
    <w:rsid w:val="002D4952"/>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72D0"/>
    <w:rsid w:val="003712CE"/>
    <w:rsid w:val="00372BD7"/>
    <w:rsid w:val="00373279"/>
    <w:rsid w:val="00386203"/>
    <w:rsid w:val="00390D62"/>
    <w:rsid w:val="0039142E"/>
    <w:rsid w:val="003A2ED5"/>
    <w:rsid w:val="003A43A2"/>
    <w:rsid w:val="003A564E"/>
    <w:rsid w:val="003A596E"/>
    <w:rsid w:val="003A7D62"/>
    <w:rsid w:val="003B0B82"/>
    <w:rsid w:val="003B6BCD"/>
    <w:rsid w:val="003C1261"/>
    <w:rsid w:val="003C1C18"/>
    <w:rsid w:val="003D0530"/>
    <w:rsid w:val="003D2368"/>
    <w:rsid w:val="003D6311"/>
    <w:rsid w:val="003D7DE4"/>
    <w:rsid w:val="003E3732"/>
    <w:rsid w:val="003E5D32"/>
    <w:rsid w:val="003F1687"/>
    <w:rsid w:val="003F39E8"/>
    <w:rsid w:val="004001C8"/>
    <w:rsid w:val="004047E5"/>
    <w:rsid w:val="0040653D"/>
    <w:rsid w:val="00416873"/>
    <w:rsid w:val="00420ED9"/>
    <w:rsid w:val="004238E9"/>
    <w:rsid w:val="00423CFC"/>
    <w:rsid w:val="004408DA"/>
    <w:rsid w:val="00440DB9"/>
    <w:rsid w:val="004432FD"/>
    <w:rsid w:val="0044340A"/>
    <w:rsid w:val="00445448"/>
    <w:rsid w:val="00446E0B"/>
    <w:rsid w:val="00447F9F"/>
    <w:rsid w:val="00447FA8"/>
    <w:rsid w:val="0045174B"/>
    <w:rsid w:val="004534F6"/>
    <w:rsid w:val="00453712"/>
    <w:rsid w:val="00460E8B"/>
    <w:rsid w:val="00464C98"/>
    <w:rsid w:val="00465F78"/>
    <w:rsid w:val="00471933"/>
    <w:rsid w:val="00473109"/>
    <w:rsid w:val="0047346C"/>
    <w:rsid w:val="00481B8F"/>
    <w:rsid w:val="004823EC"/>
    <w:rsid w:val="00483E66"/>
    <w:rsid w:val="0048473A"/>
    <w:rsid w:val="00484D9F"/>
    <w:rsid w:val="00495A10"/>
    <w:rsid w:val="004A5793"/>
    <w:rsid w:val="004B05BE"/>
    <w:rsid w:val="004B6C55"/>
    <w:rsid w:val="004B6CA4"/>
    <w:rsid w:val="004C447A"/>
    <w:rsid w:val="004C65AD"/>
    <w:rsid w:val="004C7DD8"/>
    <w:rsid w:val="004D40E6"/>
    <w:rsid w:val="004D52B0"/>
    <w:rsid w:val="004E063D"/>
    <w:rsid w:val="004E3A5C"/>
    <w:rsid w:val="004E595C"/>
    <w:rsid w:val="004F2265"/>
    <w:rsid w:val="005000A6"/>
    <w:rsid w:val="00503783"/>
    <w:rsid w:val="00510916"/>
    <w:rsid w:val="00511126"/>
    <w:rsid w:val="00512D1A"/>
    <w:rsid w:val="00520B75"/>
    <w:rsid w:val="00522713"/>
    <w:rsid w:val="00524B89"/>
    <w:rsid w:val="0052574A"/>
    <w:rsid w:val="0052759B"/>
    <w:rsid w:val="00530EC4"/>
    <w:rsid w:val="005325C7"/>
    <w:rsid w:val="005472B5"/>
    <w:rsid w:val="005653E2"/>
    <w:rsid w:val="00581604"/>
    <w:rsid w:val="0059196B"/>
    <w:rsid w:val="00596404"/>
    <w:rsid w:val="005B3CD9"/>
    <w:rsid w:val="005B55B2"/>
    <w:rsid w:val="005C3AD0"/>
    <w:rsid w:val="005C555B"/>
    <w:rsid w:val="005D3BC2"/>
    <w:rsid w:val="005E2AE4"/>
    <w:rsid w:val="005E32AA"/>
    <w:rsid w:val="005F2397"/>
    <w:rsid w:val="005F5338"/>
    <w:rsid w:val="005F56B2"/>
    <w:rsid w:val="005F6F2E"/>
    <w:rsid w:val="005F78D2"/>
    <w:rsid w:val="0060190D"/>
    <w:rsid w:val="00604296"/>
    <w:rsid w:val="00611FA3"/>
    <w:rsid w:val="00616CBB"/>
    <w:rsid w:val="0062031E"/>
    <w:rsid w:val="006204FB"/>
    <w:rsid w:val="006213C2"/>
    <w:rsid w:val="00630EFD"/>
    <w:rsid w:val="00635C6A"/>
    <w:rsid w:val="00650692"/>
    <w:rsid w:val="00656EB6"/>
    <w:rsid w:val="00657A30"/>
    <w:rsid w:val="00657CE1"/>
    <w:rsid w:val="00657EF1"/>
    <w:rsid w:val="0066165D"/>
    <w:rsid w:val="0066797A"/>
    <w:rsid w:val="00667AEF"/>
    <w:rsid w:val="00683576"/>
    <w:rsid w:val="00684822"/>
    <w:rsid w:val="0069666A"/>
    <w:rsid w:val="006A56ED"/>
    <w:rsid w:val="006B0F17"/>
    <w:rsid w:val="006B1A5C"/>
    <w:rsid w:val="006B1BFD"/>
    <w:rsid w:val="006B5CC3"/>
    <w:rsid w:val="006B6044"/>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4338"/>
    <w:rsid w:val="007C72AA"/>
    <w:rsid w:val="007D0242"/>
    <w:rsid w:val="007D1B10"/>
    <w:rsid w:val="007D1EA1"/>
    <w:rsid w:val="007D2BF7"/>
    <w:rsid w:val="007D6248"/>
    <w:rsid w:val="007D6BFA"/>
    <w:rsid w:val="007D7EE1"/>
    <w:rsid w:val="007E2177"/>
    <w:rsid w:val="007E239F"/>
    <w:rsid w:val="007F7914"/>
    <w:rsid w:val="007F7D42"/>
    <w:rsid w:val="00801E2B"/>
    <w:rsid w:val="008025B2"/>
    <w:rsid w:val="0081275A"/>
    <w:rsid w:val="008137C2"/>
    <w:rsid w:val="0081399E"/>
    <w:rsid w:val="00813B66"/>
    <w:rsid w:val="008156DF"/>
    <w:rsid w:val="00823EC4"/>
    <w:rsid w:val="00825E6C"/>
    <w:rsid w:val="0082616D"/>
    <w:rsid w:val="008266B6"/>
    <w:rsid w:val="00827FA7"/>
    <w:rsid w:val="008338EF"/>
    <w:rsid w:val="0083656A"/>
    <w:rsid w:val="00840951"/>
    <w:rsid w:val="00842C9B"/>
    <w:rsid w:val="00847300"/>
    <w:rsid w:val="00847EC9"/>
    <w:rsid w:val="00850788"/>
    <w:rsid w:val="0085770D"/>
    <w:rsid w:val="00862B8A"/>
    <w:rsid w:val="00870639"/>
    <w:rsid w:val="00873300"/>
    <w:rsid w:val="00874812"/>
    <w:rsid w:val="008763B6"/>
    <w:rsid w:val="00881364"/>
    <w:rsid w:val="00885E92"/>
    <w:rsid w:val="00890056"/>
    <w:rsid w:val="00892F25"/>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6066"/>
    <w:rsid w:val="009471F3"/>
    <w:rsid w:val="0095178B"/>
    <w:rsid w:val="0095353A"/>
    <w:rsid w:val="00956DD0"/>
    <w:rsid w:val="009627CA"/>
    <w:rsid w:val="00964980"/>
    <w:rsid w:val="00965748"/>
    <w:rsid w:val="009700A4"/>
    <w:rsid w:val="00973804"/>
    <w:rsid w:val="00977174"/>
    <w:rsid w:val="0098026A"/>
    <w:rsid w:val="009809A2"/>
    <w:rsid w:val="009840DF"/>
    <w:rsid w:val="009871CC"/>
    <w:rsid w:val="00993C17"/>
    <w:rsid w:val="009A2C12"/>
    <w:rsid w:val="009A5162"/>
    <w:rsid w:val="009B1F55"/>
    <w:rsid w:val="009B4E79"/>
    <w:rsid w:val="009B59AA"/>
    <w:rsid w:val="009B77AB"/>
    <w:rsid w:val="009B781A"/>
    <w:rsid w:val="009C0766"/>
    <w:rsid w:val="009C2B8A"/>
    <w:rsid w:val="009C4EC5"/>
    <w:rsid w:val="009D2CDE"/>
    <w:rsid w:val="009D5EBA"/>
    <w:rsid w:val="009E6F22"/>
    <w:rsid w:val="009F07ED"/>
    <w:rsid w:val="009F6420"/>
    <w:rsid w:val="00A00FED"/>
    <w:rsid w:val="00A0149C"/>
    <w:rsid w:val="00A01DC1"/>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7B3"/>
    <w:rsid w:val="00A96667"/>
    <w:rsid w:val="00AA2AA4"/>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2342A"/>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E13FA"/>
    <w:rsid w:val="00BE2449"/>
    <w:rsid w:val="00BE5F79"/>
    <w:rsid w:val="00BE7F4C"/>
    <w:rsid w:val="00C01226"/>
    <w:rsid w:val="00C033F4"/>
    <w:rsid w:val="00C0561B"/>
    <w:rsid w:val="00C06917"/>
    <w:rsid w:val="00C17FDA"/>
    <w:rsid w:val="00C22716"/>
    <w:rsid w:val="00C22CC7"/>
    <w:rsid w:val="00C23F17"/>
    <w:rsid w:val="00C30648"/>
    <w:rsid w:val="00C31740"/>
    <w:rsid w:val="00C34869"/>
    <w:rsid w:val="00C35203"/>
    <w:rsid w:val="00C40376"/>
    <w:rsid w:val="00C41722"/>
    <w:rsid w:val="00C43FC5"/>
    <w:rsid w:val="00C45F43"/>
    <w:rsid w:val="00C46991"/>
    <w:rsid w:val="00C50C7B"/>
    <w:rsid w:val="00C53F93"/>
    <w:rsid w:val="00C5707B"/>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CF6B16"/>
    <w:rsid w:val="00D00846"/>
    <w:rsid w:val="00D023D9"/>
    <w:rsid w:val="00D05B89"/>
    <w:rsid w:val="00D06427"/>
    <w:rsid w:val="00D14E39"/>
    <w:rsid w:val="00D157AD"/>
    <w:rsid w:val="00D26C4D"/>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5913"/>
    <w:rsid w:val="00DD60B8"/>
    <w:rsid w:val="00DE0DFB"/>
    <w:rsid w:val="00DE608C"/>
    <w:rsid w:val="00DE772C"/>
    <w:rsid w:val="00DF2542"/>
    <w:rsid w:val="00DF6C2C"/>
    <w:rsid w:val="00E0222E"/>
    <w:rsid w:val="00E046C1"/>
    <w:rsid w:val="00E10948"/>
    <w:rsid w:val="00E11AE7"/>
    <w:rsid w:val="00E14766"/>
    <w:rsid w:val="00E23D01"/>
    <w:rsid w:val="00E25D03"/>
    <w:rsid w:val="00E26628"/>
    <w:rsid w:val="00E3441C"/>
    <w:rsid w:val="00E34B3A"/>
    <w:rsid w:val="00E34D9B"/>
    <w:rsid w:val="00E360E5"/>
    <w:rsid w:val="00E3781E"/>
    <w:rsid w:val="00E403E0"/>
    <w:rsid w:val="00E525E5"/>
    <w:rsid w:val="00E675C7"/>
    <w:rsid w:val="00E723A0"/>
    <w:rsid w:val="00E72627"/>
    <w:rsid w:val="00E802FA"/>
    <w:rsid w:val="00E80A0F"/>
    <w:rsid w:val="00E82130"/>
    <w:rsid w:val="00E83644"/>
    <w:rsid w:val="00E85572"/>
    <w:rsid w:val="00E93103"/>
    <w:rsid w:val="00E94C2B"/>
    <w:rsid w:val="00EA5C4F"/>
    <w:rsid w:val="00EA5D4B"/>
    <w:rsid w:val="00EA79D5"/>
    <w:rsid w:val="00EB2D4E"/>
    <w:rsid w:val="00EB7E76"/>
    <w:rsid w:val="00EC036E"/>
    <w:rsid w:val="00EC4479"/>
    <w:rsid w:val="00EC5B38"/>
    <w:rsid w:val="00EC695E"/>
    <w:rsid w:val="00EE6854"/>
    <w:rsid w:val="00EF3FAE"/>
    <w:rsid w:val="00EF4C77"/>
    <w:rsid w:val="00F06811"/>
    <w:rsid w:val="00F2643D"/>
    <w:rsid w:val="00F265E3"/>
    <w:rsid w:val="00F371C9"/>
    <w:rsid w:val="00F42EE6"/>
    <w:rsid w:val="00F45D1D"/>
    <w:rsid w:val="00F47CC6"/>
    <w:rsid w:val="00F510B3"/>
    <w:rsid w:val="00F5519E"/>
    <w:rsid w:val="00F61072"/>
    <w:rsid w:val="00F61A35"/>
    <w:rsid w:val="00F61AFA"/>
    <w:rsid w:val="00F66D01"/>
    <w:rsid w:val="00F716B7"/>
    <w:rsid w:val="00F71FFD"/>
    <w:rsid w:val="00F808A0"/>
    <w:rsid w:val="00F82A83"/>
    <w:rsid w:val="00F9390C"/>
    <w:rsid w:val="00F96052"/>
    <w:rsid w:val="00F974C2"/>
    <w:rsid w:val="00FA1115"/>
    <w:rsid w:val="00FA5124"/>
    <w:rsid w:val="00FB13C7"/>
    <w:rsid w:val="00FB4721"/>
    <w:rsid w:val="00FC182D"/>
    <w:rsid w:val="00FC2087"/>
    <w:rsid w:val="00FC3CB0"/>
    <w:rsid w:val="00FD0CFA"/>
    <w:rsid w:val="00FD3823"/>
    <w:rsid w:val="00FE3C50"/>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AA53103"/>
    <w:rsid w:val="2B5CB754"/>
    <w:rsid w:val="2CE41E6C"/>
    <w:rsid w:val="2DCCFC28"/>
    <w:rsid w:val="2F7EF4F6"/>
    <w:rsid w:val="31521D13"/>
    <w:rsid w:val="31D431B3"/>
    <w:rsid w:val="322B78EA"/>
    <w:rsid w:val="32EC8777"/>
    <w:rsid w:val="33EDD487"/>
    <w:rsid w:val="3466878E"/>
    <w:rsid w:val="34E5C65A"/>
    <w:rsid w:val="365304A7"/>
    <w:rsid w:val="39DE6FB2"/>
    <w:rsid w:val="3A612B6C"/>
    <w:rsid w:val="3A73173A"/>
    <w:rsid w:val="3C15D3EA"/>
    <w:rsid w:val="3D5415FC"/>
    <w:rsid w:val="3EB07F14"/>
    <w:rsid w:val="3FBE0435"/>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90339FC"/>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uiPriority w:val="0"/>
    <w:rPr>
      <w:color w:val="0000FF"/>
    </w:rPr>
  </w:style>
  <w:style w:type="character" w:customStyle="1" w:styleId="40">
    <w:name w:val="ListLabel 6"/>
    <w:qFormat/>
    <w:uiPriority w:val="0"/>
    <w:rPr>
      <w:b/>
    </w:rPr>
  </w:style>
  <w:style w:type="character" w:customStyle="1" w:styleId="41">
    <w:name w:val="ListLabel 7"/>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qFormat/>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uiPriority w:val="0"/>
  </w:style>
  <w:style w:type="character" w:customStyle="1" w:styleId="99">
    <w:name w:val="spellingerror"/>
    <w:basedOn w:val="7"/>
    <w:uiPriority w:val="0"/>
  </w:style>
  <w:style w:type="paragraph" w:customStyle="1" w:styleId="100">
    <w:name w:val="Citação2"/>
    <w:basedOn w:val="1"/>
    <w:next w:val="1"/>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uiPriority w:val="0"/>
  </w:style>
  <w:style w:type="paragraph" w:customStyle="1" w:styleId="112">
    <w:name w:val="Título do Conteúdo"/>
    <w:basedOn w:val="109"/>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 w:type="paragraph" w:customStyle="1" w:styleId="114">
    <w:name w:val="Default"/>
    <w:uiPriority w:val="0"/>
    <w:pPr>
      <w:autoSpaceDE w:val="0"/>
      <w:autoSpaceDN w:val="0"/>
      <w:adjustRightInd w:val="0"/>
      <w:textAlignment w:val="auto"/>
    </w:pPr>
    <w:rPr>
      <w:rFonts w:ascii="Calibri" w:hAnsi="Calibri" w:eastAsia="WenQuanYi Micro Hei" w:cs="Calibri"/>
      <w:color w:val="000000"/>
      <w:sz w:val="24"/>
      <w:szCs w:val="24"/>
      <w:lang w:val="pt-BR"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619D80-AE0E-4FC5-8646-B7029223346D}">
  <ds:schemaRefs/>
</ds:datastoreItem>
</file>

<file path=customXml/itemProps2.xml><?xml version="1.0" encoding="utf-8"?>
<ds:datastoreItem xmlns:ds="http://schemas.openxmlformats.org/officeDocument/2006/customXml" ds:itemID="{D0FA922B-301D-4229-A9FF-8B2F047859B0}">
  <ds:schemaRefs/>
</ds:datastoreItem>
</file>

<file path=customXml/itemProps3.xml><?xml version="1.0" encoding="utf-8"?>
<ds:datastoreItem xmlns:ds="http://schemas.openxmlformats.org/officeDocument/2006/customXml" ds:itemID="{552F9D9B-A10A-4DD0-9B11-62F741C79D1E}">
  <ds:schemaRefs/>
</ds:datastoreItem>
</file>

<file path=customXml/itemProps4.xml><?xml version="1.0" encoding="utf-8"?>
<ds:datastoreItem xmlns:ds="http://schemas.openxmlformats.org/officeDocument/2006/customXml" ds:itemID="{BBFD8ED6-DC5C-4AC2-A75D-A7D1347451F0}">
  <ds:schemaRefs/>
</ds:datastoreItem>
</file>

<file path=docProps/app.xml><?xml version="1.0" encoding="utf-8"?>
<Properties xmlns="http://schemas.openxmlformats.org/officeDocument/2006/extended-properties" xmlns:vt="http://schemas.openxmlformats.org/officeDocument/2006/docPropsVTypes">
  <Template>Normal</Template>
  <Pages>24</Pages>
  <Words>10026</Words>
  <Characters>56480</Characters>
  <Lines>472</Lines>
  <Paragraphs>134</Paragraphs>
  <TotalTime>108</TotalTime>
  <ScaleCrop>false</ScaleCrop>
  <LinksUpToDate>false</LinksUpToDate>
  <CharactersWithSpaces>66166</CharactersWithSpaces>
  <Application>WPS Office_11.2.0.11029_F1E327BC-269C-435d-A152-05C5408002CA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Juliana Borsoi</cp:lastModifiedBy>
  <cp:lastPrinted>2020-05-06T13:48:00Z</cp:lastPrinted>
  <dcterms:modified xsi:type="dcterms:W3CDTF">2022-03-24T17:34:27Z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1046-11.2.0.11029</vt:lpwstr>
  </property>
  <property fmtid="{D5CDD505-2E9C-101B-9397-08002B2CF9AE}" pid="4" name="ICV">
    <vt:lpwstr>4FC72892E9FC45E9AC387F682B6CCB0B</vt:lpwstr>
  </property>
</Properties>
</file>