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hint="default" w:ascii="Verdana" w:hAnsi="Verdana" w:cs="Arial"/>
          <w:b/>
          <w:bCs/>
          <w:color w:val="FF0000"/>
          <w:sz w:val="20"/>
          <w:szCs w:val="20"/>
          <w:lang w:val="pt-BR"/>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EDITAL DE LICITAÇÃO</w:t>
      </w:r>
    </w:p>
    <w:p>
      <w:pPr>
        <w:keepNext w:val="0"/>
        <w:spacing w:after="120"/>
        <w:ind w:right="-17"/>
        <w:jc w:val="center"/>
        <w:rPr>
          <w:rFonts w:ascii="Verdana" w:hAnsi="Verdana" w:cs="Arial"/>
          <w:color w:val="auto"/>
          <w:sz w:val="20"/>
          <w:szCs w:val="20"/>
        </w:rPr>
      </w:pPr>
      <w:r>
        <w:rPr>
          <w:rFonts w:ascii="Verdana" w:hAnsi="Verdana" w:cs="Arial"/>
          <w:b/>
          <w:bCs/>
          <w:color w:val="auto"/>
          <w:sz w:val="20"/>
          <w:szCs w:val="20"/>
        </w:rPr>
        <w:t>PREGÃO ELETRÔNICO Nº 26/2022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23069.159759/2020-61)</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Torna-se público que 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eastAsia="Arial" w:cs="Arial"/>
          <w:color w:val="auto"/>
          <w:sz w:val="20"/>
          <w:szCs w:val="20"/>
        </w:rPr>
        <w:t>Universidade Federal Flum</w:t>
      </w:r>
      <w:r>
        <w:rPr>
          <w:rFonts w:hint="default" w:ascii="Verdana" w:hAnsi="Verdana" w:eastAsia="Arial" w:cs="Arial"/>
          <w:color w:val="auto"/>
          <w:sz w:val="20"/>
          <w:szCs w:val="20"/>
          <w:lang w:val="pt-BR"/>
        </w:rPr>
        <w:t>m</w:t>
      </w:r>
      <w:r>
        <w:rPr>
          <w:rFonts w:ascii="Verdana" w:hAnsi="Verdana" w:eastAsia="Arial" w:cs="Arial"/>
          <w:color w:val="auto"/>
          <w:sz w:val="20"/>
          <w:szCs w:val="20"/>
        </w:rPr>
        <w:t>inense</w:t>
      </w:r>
      <w:r>
        <w:rPr>
          <w:rFonts w:ascii="Verdana" w:hAnsi="Verdana" w:cs="Arial"/>
          <w:color w:val="000000" w:themeColor="text1"/>
          <w:sz w:val="20"/>
          <w:szCs w:val="20"/>
          <w14:textFill>
            <w14:solidFill>
              <w14:schemeClr w14:val="tx1"/>
            </w14:solidFill>
          </w14:textFill>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14:textFill>
            <w14:solidFill>
              <w14:schemeClr w14:val="tx1"/>
            </w14:solidFill>
          </w14:textFill>
        </w:rPr>
        <w:t>por meio 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14:textFill>
            <w14:solidFill>
              <w14:schemeClr w14:val="tx1"/>
            </w14:solidFill>
          </w14:textFill>
        </w:rPr>
        <w:t>, sediada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à Rua Miguel de Frias n.º 9, Icaraí, Niterói – RJ,</w:t>
      </w:r>
      <w:r>
        <w:rPr>
          <w:rFonts w:ascii="Verdana" w:hAnsi="Verdana" w:cs="Arial"/>
          <w:color w:val="000000" w:themeColor="text1"/>
          <w:sz w:val="20"/>
          <w:szCs w:val="20"/>
          <w14:textFill>
            <w14:solidFill>
              <w14:schemeClr w14:val="tx1"/>
            </w14:solidFill>
          </w14:textFill>
        </w:rPr>
        <w:t>, realizará licitação,</w:t>
      </w:r>
      <w:r>
        <w:rPr>
          <w:rFonts w:ascii="Verdana" w:hAnsi="Verdana" w:cs="Arial"/>
          <w:i/>
          <w:color w:val="FF0000"/>
          <w:sz w:val="20"/>
          <w:szCs w:val="20"/>
        </w:rPr>
        <w:t xml:space="preserve"> </w:t>
      </w:r>
      <w:r>
        <w:rPr>
          <w:rFonts w:ascii="Verdana" w:hAnsi="Verdana" w:cs="Arial"/>
          <w:color w:val="000000" w:themeColor="text1"/>
          <w:sz w:val="20"/>
          <w:szCs w:val="20"/>
          <w14:textFill>
            <w14:solidFill>
              <w14:schemeClr w14:val="tx1"/>
            </w14:solidFill>
          </w14:textFill>
        </w:rPr>
        <w:t xml:space="preserve">na modalidade PREGÃO, na forma ELETRÔNICA, </w:t>
      </w:r>
      <w:r>
        <w:rPr>
          <w:rFonts w:ascii="Verdana" w:hAnsi="Verdana" w:cs="Arial"/>
          <w:b/>
          <w:bCs/>
          <w:color w:val="000000" w:themeColor="text1"/>
          <w:sz w:val="20"/>
          <w:szCs w:val="20"/>
          <w14:textFill>
            <w14:solidFill>
              <w14:schemeClr w14:val="tx1"/>
            </w14:solidFill>
          </w14:textFill>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14:textFill>
            <w14:solidFill>
              <w14:schemeClr w14:val="tx1"/>
            </w14:solidFill>
          </w14:textFill>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14:textFill>
            <w14:solidFill>
              <w14:schemeClr w14:val="tx1"/>
            </w14:solidFill>
          </w14:textFill>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14:textFill>
            <w14:solidFill>
              <w14:schemeClr w14:val="tx1"/>
            </w14:solidFill>
          </w14:textFill>
        </w:rPr>
      </w:pPr>
    </w:p>
    <w:p>
      <w:pPr>
        <w:pStyle w:val="73"/>
        <w:keepNext w:val="0"/>
        <w:shd w:val="clear" w:color="auto" w:fill="auto"/>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color w:val="auto"/>
          <w:szCs w:val="20"/>
          <w:lang w:val="pt-BR"/>
        </w:rPr>
        <w:t>30/MAR/2022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r</w:t>
      </w:r>
      <w:r>
        <w:rPr>
          <w:rFonts w:ascii="Verdana" w:hAnsi="Verdana" w:eastAsia="Calibri" w:cstheme="minorHAnsi"/>
          <w:bCs/>
          <w:szCs w:val="20"/>
        </w:rPr>
        <w:t xml:space="preserve">eforma </w:t>
      </w:r>
      <w:r>
        <w:rPr>
          <w:rFonts w:ascii="Verdana" w:hAnsi="Verdana" w:eastAsia="Calibri" w:cs="Calibri"/>
          <w:bCs/>
          <w:szCs w:val="20"/>
        </w:rPr>
        <w:t xml:space="preserve">dos vestiários e espaços de apoio do colégio COLUNI, </w:t>
      </w:r>
      <w:r>
        <w:rPr>
          <w:rFonts w:ascii="Verdana" w:hAnsi="Verdana" w:eastAsia="Calibri" w:cstheme="minorHAnsi"/>
          <w:bCs/>
          <w:color w:val="000000"/>
          <w:szCs w:val="20"/>
        </w:rPr>
        <w:t>com fornecimento de projeto executivo, materiais e mão de obra</w:t>
      </w:r>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eastAsia="Calibri" w:cstheme="minorHAnsi"/>
          <w:bCs/>
          <w:sz w:val="18"/>
          <w:szCs w:val="18"/>
        </w:rPr>
        <w:t xml:space="preserve">Local: </w:t>
      </w:r>
      <w:r>
        <w:rPr>
          <w:rFonts w:ascii="Verdana" w:hAnsi="Verdana" w:cs="Calibri"/>
          <w:sz w:val="18"/>
          <w:szCs w:val="18"/>
        </w:rPr>
        <w:t>Colégio Universitário Geraldo Reis - COLUNI, localizado à Rua Alexandre Moura, 8, bairro de São Domingos, Niterói/RJ, CEP: 24210-200.</w:t>
      </w:r>
      <w:r>
        <w:rPr>
          <w:rFonts w:ascii="Verdana" w:hAnsi="Verdana" w:eastAsia="Calibri" w:cstheme="minorHAnsi"/>
          <w:bCs/>
          <w:sz w:val="18"/>
          <w:szCs w:val="18"/>
        </w:rPr>
        <w:t xml:space="preserve"> </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 xml:space="preserve">A licitação será realizada em 01 (um) </w:t>
      </w:r>
      <w:r>
        <w:rPr>
          <w:rFonts w:hint="default" w:ascii="Verdana" w:hAnsi="Verdana" w:cs="Arial"/>
          <w:iCs/>
          <w:szCs w:val="20"/>
          <w:lang w:val="pt-BR"/>
        </w:rPr>
        <w:t>único item</w:t>
      </w:r>
      <w:r>
        <w:rPr>
          <w:rFonts w:ascii="Verdana" w:hAnsi="Verdana" w:cs="Arial"/>
          <w:iCs/>
          <w:szCs w:val="20"/>
        </w:rPr>
        <w:t xml:space="preserve">, formado por vários </w:t>
      </w:r>
      <w:r>
        <w:rPr>
          <w:rFonts w:hint="default" w:ascii="Verdana" w:hAnsi="Verdana" w:cs="Arial"/>
          <w:iCs/>
          <w:szCs w:val="20"/>
          <w:lang w:val="pt-BR"/>
        </w:rPr>
        <w:t>sub</w:t>
      </w:r>
      <w:r>
        <w:rPr>
          <w:rFonts w:ascii="Verdana" w:hAnsi="Verdana" w:cs="Arial"/>
          <w:iCs/>
          <w:szCs w:val="20"/>
        </w:rPr>
        <w:t>itens, conforme planilhas de Orçamento, Resumo e Cronograma constante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critério de julgamento adotado será o de </w:t>
      </w:r>
      <w:r>
        <w:rPr>
          <w:rFonts w:ascii="Verdana" w:hAnsi="Verdana" w:cs="Arial"/>
          <w:iCs/>
          <w:szCs w:val="20"/>
          <w:u w:val="single"/>
        </w:rPr>
        <w:t>maior desconto</w:t>
      </w:r>
      <w:r>
        <w:rPr>
          <w:rFonts w:ascii="Verdana" w:hAnsi="Verdana" w:cs="Arial"/>
          <w:szCs w:val="20"/>
        </w:rPr>
        <w:t>, para a execução de todos os serviços relacionados nos itens da planilha de Orçamento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O percentual de desconto proposto, resultado da fase de lances, deverá incidir igualmente sobre todos os preços unitários constantes da planilha de orçamento (Anexo III-B), que irá resultar no valor total da proposta da licitante vencedora.</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w:t>
      </w:r>
      <w:r>
        <w:rPr>
          <w:rFonts w:hint="default" w:ascii="Verdana" w:hAnsi="Verdana" w:cs="Arial"/>
          <w:szCs w:val="20"/>
          <w:lang w:val="pt-BR"/>
        </w:rPr>
        <w:t>sub</w:t>
      </w:r>
      <w:r>
        <w:rPr>
          <w:rFonts w:ascii="Verdana" w:hAnsi="Verdana" w:cs="Arial"/>
          <w:szCs w:val="20"/>
        </w:rPr>
        <w:t xml:space="preserve">itens do </w:t>
      </w:r>
      <w:r>
        <w:rPr>
          <w:rFonts w:hint="default" w:ascii="Verdana" w:hAnsi="Verdana" w:cs="Arial"/>
          <w:szCs w:val="20"/>
          <w:lang w:val="pt-BR"/>
        </w:rPr>
        <w:t>item 01</w:t>
      </w:r>
      <w:r>
        <w:rPr>
          <w:rFonts w:ascii="Verdana" w:hAnsi="Verdana" w:cs="Arial"/>
          <w:szCs w:val="20"/>
        </w:rPr>
        <w:t>.</w:t>
      </w:r>
      <w:r>
        <w:rPr>
          <w:rFonts w:ascii="Verdana" w:hAnsi="Verdana" w:cs="Arial"/>
          <w:iCs/>
          <w:szCs w:val="20"/>
        </w:rPr>
        <w:t xml:space="preserve"> Quando for considerado vencedor da licitação, será convocado a apresentar planilha de orçamento contendo os preços unitários para todos os </w:t>
      </w:r>
      <w:r>
        <w:rPr>
          <w:rFonts w:hint="default" w:ascii="Verdana" w:hAnsi="Verdana" w:cs="Arial"/>
          <w:iCs/>
          <w:szCs w:val="20"/>
          <w:lang w:val="pt-BR"/>
        </w:rPr>
        <w:t>sub</w:t>
      </w:r>
      <w:r>
        <w:rPr>
          <w:rFonts w:ascii="Verdana" w:hAnsi="Verdana" w:cs="Arial"/>
          <w:iCs/>
          <w:szCs w:val="20"/>
        </w:rPr>
        <w:t xml:space="preserve">itens que compõem o </w:t>
      </w:r>
      <w:r>
        <w:rPr>
          <w:rFonts w:hint="default" w:ascii="Verdana" w:hAnsi="Verdana" w:cs="Arial"/>
          <w:iCs/>
          <w:szCs w:val="20"/>
          <w:lang w:val="pt-BR"/>
        </w:rPr>
        <w:t>item</w:t>
      </w:r>
      <w:r>
        <w:rPr>
          <w:rFonts w:ascii="Verdana" w:hAnsi="Verdana" w:cs="Arial"/>
          <w:iCs/>
          <w:szCs w:val="20"/>
        </w:rPr>
        <w:t>, na conformidade das planilhas contidas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critério de julgamento adotado será o de maior desconto percentual do </w:t>
      </w:r>
      <w:r>
        <w:rPr>
          <w:rFonts w:hint="default" w:ascii="Verdana" w:hAnsi="Verdana" w:cs="Arial"/>
          <w:szCs w:val="20"/>
          <w:lang w:val="pt-BR"/>
        </w:rPr>
        <w:t>item</w:t>
      </w:r>
      <w:r>
        <w:rPr>
          <w:rFonts w:ascii="Verdana" w:hAnsi="Verdana" w:cs="Arial"/>
          <w:szCs w:val="20"/>
        </w:rPr>
        <w:t>, observadas as exigências contidas neste Edital e seus Anexos quanto às especificações do objeto, sagrando-se vencedora a licitante que ofertar o maior desconto.</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 w:val="18"/>
          <w:szCs w:val="18"/>
          <w:u w:val="single"/>
        </w:rPr>
        <w:t>O percentual de desconto proposto</w:t>
      </w:r>
      <w:r>
        <w:rPr>
          <w:rFonts w:ascii="Verdana" w:hAnsi="Verdana" w:cs="Arial"/>
          <w:sz w:val="18"/>
          <w:szCs w:val="18"/>
        </w:rPr>
        <w:t xml:space="preserve">, resultado da fase de lances, </w:t>
      </w:r>
      <w:r>
        <w:rPr>
          <w:rFonts w:ascii="Verdana" w:hAnsi="Verdana" w:cs="Arial"/>
          <w:sz w:val="18"/>
          <w:szCs w:val="18"/>
          <w:u w:val="single"/>
        </w:rPr>
        <w:t>deverá incidir igualmente sobre todos os preços unitários constantes da planilha de orçamento</w:t>
      </w:r>
      <w:r>
        <w:rPr>
          <w:rFonts w:ascii="Verdana" w:hAnsi="Verdana" w:cs="Arial"/>
          <w:sz w:val="18"/>
          <w:szCs w:val="18"/>
        </w:rPr>
        <w:t xml:space="preserve"> (Anexo III-B), que irá resultar no valor total da proposta da licitante.</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shd w:val="clear" w:color="auto" w:fill="auto"/>
        <w:spacing w:before="120" w:after="120"/>
        <w:ind w:left="2919" w:firstLine="626"/>
        <w:rPr>
          <w:rFonts w:ascii="Verdana" w:hAnsi="Verdana" w:cs="Arial"/>
          <w:b/>
          <w:bCs/>
          <w:szCs w:val="20"/>
          <w:u w:val="single"/>
        </w:rPr>
      </w:pPr>
    </w:p>
    <w:p>
      <w:pPr>
        <w:pStyle w:val="73"/>
        <w:keepNext w:val="0"/>
        <w:widowControl/>
        <w:numPr>
          <w:ilvl w:val="1"/>
          <w:numId w:val="4"/>
        </w:numPr>
        <w:spacing w:before="120" w:after="120"/>
        <w:ind w:left="851" w:hanging="284"/>
        <w:rPr>
          <w:rFonts w:ascii="Verdana" w:hAnsi="Verdana" w:cs="Arial"/>
          <w:szCs w:val="20"/>
          <w:highlight w:val="yellow"/>
        </w:rPr>
      </w:pPr>
      <w:r>
        <w:rPr>
          <w:rFonts w:ascii="Verdana" w:hAnsi="Verdana" w:cs="Arial"/>
          <w:color w:val="000000"/>
          <w:szCs w:val="20"/>
          <w:highlight w:val="none"/>
        </w:rPr>
        <w:t>As despesas despesas para atender a esta licitação estão programadas em dotação orçamentária própria, prevista no orçamento da União para o exercício de 20</w:t>
      </w:r>
      <w:r>
        <w:rPr>
          <w:rFonts w:hint="default" w:ascii="Verdana" w:hAnsi="Verdana" w:cs="Arial"/>
          <w:color w:val="000000"/>
          <w:szCs w:val="20"/>
          <w:highlight w:val="none"/>
          <w:lang w:val="pt-BR"/>
        </w:rPr>
        <w:t>22</w:t>
      </w:r>
      <w:r>
        <w:rPr>
          <w:rFonts w:ascii="Verdana" w:hAnsi="Verdana" w:cs="Arial"/>
          <w:color w:val="000000"/>
          <w:szCs w:val="20"/>
          <w:highlight w:val="none"/>
        </w:rPr>
        <w:t xml:space="preserve">, conforme </w:t>
      </w:r>
      <w:r>
        <w:rPr>
          <w:rFonts w:hint="default" w:ascii="Verdana" w:hAnsi="Verdana" w:cs="Arial"/>
          <w:color w:val="000000"/>
          <w:szCs w:val="20"/>
          <w:highlight w:val="none"/>
          <w:lang w:val="pt-BR"/>
        </w:rPr>
        <w:t xml:space="preserve">documento PLOR/PLAN (SEI nº 0701314 - </w:t>
      </w:r>
      <w:r>
        <w:rPr>
          <w:rFonts w:hint="default" w:ascii="Verdana" w:hAnsi="Verdana"/>
          <w:color w:val="000000"/>
          <w:szCs w:val="20"/>
          <w:highlight w:val="none"/>
          <w:lang w:val="pt-BR"/>
        </w:rPr>
        <w:t>https://sei.uff.br/sei/controlador.php?acao=procedimento_trabalhar&amp;id_procedimento=298397&amp;id_documento=764277)</w:t>
      </w: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14:textFill>
            <w14:solidFill>
              <w14:schemeClr w14:val="tx1"/>
            </w14:solidFill>
          </w14:textFill>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14:textFill>
            <w14:solidFill>
              <w14:schemeClr w14:val="tx1"/>
            </w14:solidFill>
          </w14:textFill>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lang w:eastAsia="en-US"/>
          <w14:textFill>
            <w14:solidFill>
              <w14:schemeClr w14:val="tx1"/>
            </w14:solidFill>
          </w14:textFill>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Não poderão participar desta licitação os interessados:</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proibidos de participar de licitações e celebrar contratos administrativos, na forma da legislação vigente;</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atendam às condições deste Edital e seu(s) anexo(s);</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estrangeiros que não tenham representação legal no Brasil com poderes expressos para receber citação e responder administrativa ou judicialmente;</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eastAsia="Arial Unicode MS" w:cs="Arial"/>
          <w:color w:val="000000" w:themeColor="text1"/>
          <w:sz w:val="18"/>
          <w:szCs w:val="18"/>
          <w14:textFill>
            <w14:solidFill>
              <w14:schemeClr w14:val="tx1"/>
            </w14:solidFill>
          </w14:textFill>
        </w:rPr>
        <w:t>que se enquadrem nas vedações previstas no artigo 9º da Lei nº 8.666, de 1993;</w:t>
      </w:r>
      <w:bookmarkStart w:id="2" w:name="_Hlk519667653"/>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estejam sob falência, concurso de credores ou insolvência, em processo de dissolução ou liquidação;</w:t>
      </w:r>
      <w:bookmarkEnd w:id="2"/>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entidades empresariais que estejam reunidas em consórcio;</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organizações da Sociedade Civil de Interesse Público - OSCIP, atuando nessa condição (Acórdão nº 746/2014-TCU-Plenário); </w:t>
      </w:r>
      <w:bookmarkStart w:id="3" w:name="_Hlk519667815"/>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sz w:val="18"/>
          <w:szCs w:val="18"/>
        </w:rPr>
        <w:t>sociedades cooperativas, considerando a vedação contida no art. 10 da Instrução Normativa SEGES/MP nº 5, de 2017.</w:t>
      </w:r>
    </w:p>
    <w:bookmarkEnd w:id="3"/>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color w:val="000000" w:themeColor="text1"/>
          <w:sz w:val="18"/>
          <w:szCs w:val="18"/>
          <w14:textFill>
            <w14:solidFill>
              <w14:schemeClr w14:val="tx1"/>
            </w14:solidFill>
          </w14:textFill>
        </w:rPr>
        <w:t>que a proposta foi elaborada de forma independente, nos termos d</w:t>
      </w:r>
      <w:r>
        <w:rPr>
          <w:rFonts w:ascii="Verdana" w:hAnsi="Verdana" w:cs="Arial"/>
          <w:color w:val="000000" w:themeColor="text1"/>
          <w:sz w:val="18"/>
          <w:szCs w:val="18"/>
          <w14:textFill>
            <w14:solidFill>
              <w14:schemeClr w14:val="tx1"/>
            </w14:solidFill>
          </w14:textFill>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suppressAutoHyphens w:val="0"/>
        <w:spacing w:before="120"/>
        <w:jc w:val="both"/>
        <w:rPr>
          <w:rFonts w:ascii="Verdana" w:hAnsi="Verdana"/>
          <w:sz w:val="20"/>
        </w:rPr>
      </w:pPr>
      <w:r>
        <w:rPr>
          <w:rFonts w:ascii="Verdana" w:hAnsi="Verdana" w:cs="TTE4E87780t00"/>
          <w:sz w:val="20"/>
        </w:rPr>
        <w:t xml:space="preserve">Informações sobre o local da obra para a realização da vistoria ou outras, poderão ser obtidas no preâmbulo deste edital ou junto </w:t>
      </w:r>
      <w:r>
        <w:rPr>
          <w:rFonts w:ascii="Verdana" w:hAnsi="Verdana"/>
          <w:sz w:val="20"/>
        </w:rPr>
        <w:t>a Coordenadoria de Arquitetura e Engenharia/CEA da Superintendência de Arquitetura, Engenharia e Patrimônio/SAEP</w:t>
      </w:r>
      <w:r>
        <w:rPr>
          <w:rFonts w:ascii="Verdana" w:hAnsi="Verdana" w:cs="TTE4E87780t00"/>
          <w:sz w:val="20"/>
        </w:rPr>
        <w:t>, através do</w:t>
      </w:r>
      <w:r>
        <w:rPr>
          <w:rFonts w:ascii="Verdana" w:hAnsi="Verdana"/>
          <w:sz w:val="20"/>
        </w:rPr>
        <w:t xml:space="preserve"> e-mail: </w:t>
      </w:r>
      <w:r>
        <w:fldChar w:fldCharType="begin"/>
      </w:r>
      <w:r>
        <w:instrText xml:space="preserve"> HYPERLINK "mailto:saep.ret@id.uff.br" </w:instrText>
      </w:r>
      <w:r>
        <w:fldChar w:fldCharType="separate"/>
      </w:r>
      <w:r>
        <w:rPr>
          <w:rStyle w:val="10"/>
          <w:rFonts w:ascii="Verdana" w:hAnsi="Verdana"/>
          <w:sz w:val="20"/>
        </w:rPr>
        <w:t>saep.ret@id.uff.br</w:t>
      </w:r>
      <w:r>
        <w:rPr>
          <w:rStyle w:val="10"/>
          <w:rFonts w:ascii="Verdana" w:hAnsi="Verdana"/>
          <w:sz w:val="20"/>
        </w:rPr>
        <w:fldChar w:fldCharType="end"/>
      </w:r>
      <w:r>
        <w:rPr>
          <w:rFonts w:ascii="Verdana" w:hAnsi="Verdana"/>
          <w:sz w:val="20"/>
        </w:rPr>
        <w:t xml:space="preserve"> ou ainda no local e horário indicado abaixo:</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às 17h00m, com a mesma Coordenadoria citada.</w:t>
      </w:r>
      <w:r>
        <w:rPr>
          <w:rFonts w:ascii="Verdana" w:hAnsi="Verdana" w:cs="TTE4E87780t00"/>
          <w:sz w:val="18"/>
          <w:szCs w:val="18"/>
        </w:rPr>
        <w:t xml:space="preserve"> </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14:textFill>
            <w14:solidFill>
              <w14:schemeClr w14:val="tx1"/>
            </w14:solidFill>
          </w14:textFill>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14:textFill>
            <w14:solidFill>
              <w14:schemeClr w14:val="tx1"/>
            </w14:solidFill>
          </w14:textFill>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III-A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14:textFill>
            <w14:solidFill>
              <w14:schemeClr w14:val="tx1"/>
            </w14:solidFill>
          </w14:textFill>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14:textFill>
            <w14:solidFill>
              <w14:schemeClr w14:val="tx1"/>
            </w14:solidFill>
          </w14:textFill>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14:textFill>
            <w14:solidFill>
              <w14:schemeClr w14:val="tx1"/>
            </w14:solidFill>
          </w14:textFill>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14:textFill>
            <w14:solidFill>
              <w14:schemeClr w14:val="tx1"/>
            </w14:solidFill>
          </w14:textFill>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7"/>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1"/>
          <w:numId w:val="7"/>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14:textFill>
            <w14:solidFill>
              <w14:schemeClr w14:val="tx1"/>
            </w14:solidFill>
          </w14:textFill>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14:textFill>
            <w14:solidFill>
              <w14:schemeClr w14:val="tx1"/>
            </w14:solidFill>
          </w14:textFill>
        </w:rPr>
        <w:t xml:space="preserve">Também será desclassificada a proposta que </w:t>
      </w:r>
      <w:r>
        <w:rPr>
          <w:rFonts w:ascii="Verdana" w:hAnsi="Verdana" w:cs="Arial"/>
          <w:b/>
          <w:bCs/>
          <w:color w:val="000000" w:themeColor="text1"/>
          <w:szCs w:val="20"/>
          <w:lang w:eastAsia="en-US"/>
          <w14:textFill>
            <w14:solidFill>
              <w14:schemeClr w14:val="tx1"/>
            </w14:solidFill>
          </w14:textFill>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Durante o transcurso </w:t>
      </w:r>
      <w:r>
        <w:rPr>
          <w:rFonts w:ascii="Verdana" w:hAnsi="Verdana" w:cs="Arial"/>
          <w:sz w:val="20"/>
          <w:szCs w:val="20"/>
        </w:rPr>
        <w:t>da</w:t>
      </w:r>
      <w:r>
        <w:rPr>
          <w:rFonts w:ascii="Verdana" w:hAnsi="Verdana" w:cs="Arial"/>
          <w:color w:val="000000" w:themeColor="text1"/>
          <w:sz w:val="20"/>
          <w:szCs w:val="20"/>
          <w14:textFill>
            <w14:solidFill>
              <w14:schemeClr w14:val="tx1"/>
            </w14:solidFill>
          </w14:textFill>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14:textFill>
            <w14:solidFill>
              <w14:schemeClr w14:val="tx1"/>
            </w14:solidFill>
          </w14:textFill>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14:textFill>
            <w14:solidFill>
              <w14:schemeClr w14:val="tx1"/>
            </w14:solidFill>
          </w14:textFill>
        </w:rPr>
        <w:t>, que deverá incidir igualmente sobre todos os preços unitários orçados pela UFF e constantes da planilha de orçamento (Anexo III-B) conforme definido neste Edital e seus anexos.</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Não será admitido a incidência sobre os preços unitários referidos anteriormente, de valor(es) de percentual(is) diferente(s) do valor proposto e considerado vencedor na fase final de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Caso o licitante não apresente lances, concorrerá com o valor de sua proposta.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14:textFill>
            <w14:solidFill>
              <w14:schemeClr w14:val="tx1"/>
            </w14:solidFill>
          </w14:textFill>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Nessas condições, as propostas de </w:t>
      </w:r>
      <w:r>
        <w:rPr>
          <w:rFonts w:ascii="Verdana" w:hAnsi="Verdana" w:eastAsia="Zurich BT" w:cs="Arial"/>
          <w:color w:val="000000" w:themeColor="text1"/>
          <w:sz w:val="20"/>
          <w:szCs w:val="20"/>
          <w14:textFill>
            <w14:solidFill>
              <w14:schemeClr w14:val="tx1"/>
            </w14:solidFill>
          </w14:textFill>
        </w:rPr>
        <w:t xml:space="preserve">microempresas e empresas de pequeno porte </w:t>
      </w:r>
      <w:r>
        <w:rPr>
          <w:rFonts w:ascii="Verdana" w:hAnsi="Verdana" w:cs="Arial"/>
          <w:color w:val="000000" w:themeColor="text1"/>
          <w:sz w:val="20"/>
          <w:szCs w:val="20"/>
          <w14:textFill>
            <w14:solidFill>
              <w14:schemeClr w14:val="tx1"/>
            </w14:solidFill>
          </w14:textFill>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14:textFill>
            <w14:solidFill>
              <w14:schemeClr w14:val="tx1"/>
            </w14:solidFill>
          </w14:textFill>
        </w:rPr>
        <w:t xml:space="preserve"> melhor classificado</w:t>
      </w:r>
      <w:r>
        <w:rPr>
          <w:rFonts w:ascii="Verdana" w:hAnsi="Verdana" w:cs="Arial"/>
          <w:color w:val="000000"/>
          <w:sz w:val="20"/>
          <w:szCs w:val="20"/>
        </w:rPr>
        <w:t xml:space="preserve"> que,</w:t>
      </w:r>
      <w:r>
        <w:rPr>
          <w:rFonts w:ascii="Verdana" w:hAnsi="Verdana" w:cs="Arial"/>
          <w:color w:val="000000" w:themeColor="text1"/>
          <w:sz w:val="20"/>
          <w:szCs w:val="20"/>
          <w14:textFill>
            <w14:solidFill>
              <w14:schemeClr w14:val="tx1"/>
            </w14:solidFill>
          </w14:textFill>
        </w:rPr>
        <w:t xml:space="preserve"> no prazo </w:t>
      </w:r>
      <w:r>
        <w:rPr>
          <w:rFonts w:ascii="Verdana" w:hAnsi="Verdana" w:cs="Arial"/>
          <w:color w:val="000000" w:themeColor="text1"/>
          <w:sz w:val="20"/>
          <w:szCs w:val="20"/>
          <w:u w:val="single"/>
          <w14:textFill>
            <w14:solidFill>
              <w14:schemeClr w14:val="tx1"/>
            </w14:solidFill>
          </w14:textFill>
        </w:rPr>
        <w:t>mínimo de 02 (duas) horas</w:t>
      </w:r>
      <w:r>
        <w:rPr>
          <w:rFonts w:ascii="Verdana" w:hAnsi="Verdana" w:cs="Arial"/>
          <w:color w:val="000000" w:themeColor="text1"/>
          <w:sz w:val="20"/>
          <w:szCs w:val="20"/>
          <w14:textFill>
            <w14:solidFill>
              <w14:schemeClr w14:val="tx1"/>
            </w14:solidFill>
          </w14:textFill>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É facultado ao pregoeiro prorrogar o prazo estabelecido, a partir de solicitação fundamentada feita no chat 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grupo,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grupo,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dos preços unitários calculados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14:textFill>
            <w14:solidFill>
              <w14:schemeClr w14:val="tx1"/>
            </w14:solidFill>
          </w14:textFill>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no presente orçamento, utilizou-se como base os custos unitários divulgados pelo SINAPI e sistemas referenciais de custos e em publicações técnicas especializadas, deixa-se de solicitar a apresentação da planilha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III-B) percentual(is) de desconto(s) diferente(s) do valor do lance final proposto;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14:textFill>
            <w14:solidFill>
              <w14:schemeClr w14:val="tx1"/>
            </w14:solidFill>
          </w14:textFill>
        </w:rPr>
        <w:t xml:space="preserve"> preço final superior ao preço máximo fixado </w:t>
      </w:r>
      <w:r>
        <w:rPr>
          <w:rFonts w:ascii="Verdana" w:hAnsi="Verdana" w:cs="Arial"/>
          <w:color w:val="000000" w:themeColor="text1"/>
          <w:sz w:val="18"/>
          <w:szCs w:val="18"/>
          <w14:textFill>
            <w14:solidFill>
              <w14:schemeClr w14:val="tx1"/>
            </w14:solidFill>
          </w14:textFill>
        </w:rPr>
        <w:t xml:space="preserve">(Acórdão nº 1455/2018 -TCU - Plenário), tanto </w:t>
      </w:r>
      <w:r>
        <w:rPr>
          <w:rFonts w:ascii="Verdana" w:hAnsi="Verdana" w:cs="Arial"/>
          <w:color w:val="000000" w:themeColor="text1"/>
          <w:sz w:val="18"/>
          <w:szCs w:val="18"/>
          <w:lang w:eastAsia="en-US"/>
          <w14:textFill>
            <w14:solidFill>
              <w14:schemeClr w14:val="tx1"/>
            </w14:solidFill>
          </w14:textFill>
        </w:rPr>
        <w:t>em custos unitários como no valor global, ou que apresentar preço manifestamente inexequível</w:t>
      </w:r>
      <w:r>
        <w:rPr>
          <w:rFonts w:ascii="Verdana" w:hAnsi="Verdana" w:cs="Arial"/>
          <w:color w:val="000000" w:themeColor="text1"/>
          <w:sz w:val="18"/>
          <w:szCs w:val="18"/>
          <w14:textFill>
            <w14:solidFill>
              <w14:schemeClr w14:val="tx1"/>
            </w14:solidFill>
          </w14:textFill>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14:textFill>
            <w14:solidFill>
              <w14:schemeClr w14:val="tx1"/>
            </w14:solidFill>
          </w14:textFill>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14:textFill>
            <w14:solidFill>
              <w14:schemeClr w14:val="tx1"/>
            </w14:solidFill>
          </w14:textFill>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indicac</w:t>
      </w:r>
      <w:r>
        <w:rPr>
          <w:rFonts w:ascii="Arial" w:hAnsi="Arial" w:cs="Arial"/>
          <w:color w:val="000000"/>
          <w:sz w:val="18"/>
          <w:szCs w:val="18"/>
          <w:lang w:eastAsia="en-US"/>
        </w:rPr>
        <w:t>̧</w:t>
      </w:r>
      <w:r>
        <w:rPr>
          <w:rFonts w:ascii="Verdana" w:hAnsi="Verdana" w:cs="Arial"/>
          <w:color w:val="000000"/>
          <w:sz w:val="18"/>
          <w:szCs w:val="18"/>
          <w:lang w:eastAsia="en-US"/>
        </w:rPr>
        <w:t>ão de recolhimento de impostos e contribuic</w:t>
      </w:r>
      <w:r>
        <w:rPr>
          <w:rFonts w:ascii="Arial" w:hAnsi="Arial" w:cs="Arial"/>
          <w:color w:val="000000"/>
          <w:sz w:val="18"/>
          <w:szCs w:val="18"/>
          <w:lang w:eastAsia="en-US"/>
        </w:rPr>
        <w:t>̧</w:t>
      </w:r>
      <w:r>
        <w:rPr>
          <w:rFonts w:ascii="Verdana" w:hAnsi="Verdana" w:cs="Arial"/>
          <w:color w:val="000000"/>
          <w:sz w:val="18"/>
          <w:szCs w:val="18"/>
          <w:lang w:eastAsia="en-US"/>
        </w:rPr>
        <w:t>ões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14:textFill>
            <w14:solidFill>
              <w14:schemeClr w14:val="tx1"/>
            </w14:solidFill>
          </w14:textFill>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14:textFill>
            <w14:solidFill>
              <w14:schemeClr w14:val="tx1"/>
            </w14:solidFill>
          </w14:textFill>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4" w:name="_Hlk88838545"/>
      <w:r>
        <w:rPr>
          <w:rFonts w:ascii="Verdana" w:hAnsi="Verdana" w:cs="Arial"/>
          <w:b/>
          <w:szCs w:val="20"/>
        </w:rPr>
        <w:t>HABILITAÇÃO JURÍDICA, REGULARIDADE FISCAL E QUALIFICAÇÃO ECÔNOMICA</w:t>
      </w:r>
      <w:bookmarkEnd w:id="4"/>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14:textFill>
            <w14:solidFill>
              <w14:schemeClr w14:val="tx1"/>
            </w14:solidFill>
          </w14:textFill>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14:textFill>
            <w14:solidFill>
              <w14:schemeClr w14:val="tx1"/>
            </w14:solidFill>
          </w14:textFill>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14:textFill>
            <w14:solidFill>
              <w14:schemeClr w14:val="tx1"/>
            </w14:solidFill>
          </w14:textFill>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14:textFill>
            <w14:solidFill>
              <w14:schemeClr w14:val="tx1"/>
            </w14:solidFill>
          </w14:textFill>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14:textFill>
            <w14:solidFill>
              <w14:schemeClr w14:val="tx1"/>
            </w14:solidFill>
          </w14:textFill>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14:textFill>
            <w14:solidFill>
              <w14:schemeClr w14:val="tx1"/>
            </w14:solidFill>
          </w14:textFill>
        </w:rPr>
      </w:pPr>
    </w:p>
    <w:p>
      <w:pPr>
        <w:pStyle w:val="73"/>
        <w:numPr>
          <w:ilvl w:val="0"/>
          <w:numId w:val="7"/>
        </w:numPr>
        <w:spacing w:before="120" w:after="120"/>
        <w:rPr>
          <w:rFonts w:ascii="Verdana" w:hAnsi="Verdana" w:cs="Arial"/>
          <w:color w:val="000000" w:themeColor="text1"/>
          <w:szCs w:val="20"/>
          <w14:textFill>
            <w14:solidFill>
              <w14:schemeClr w14:val="tx1"/>
            </w14:solidFill>
          </w14:textFill>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b/>
          <w:bCs/>
          <w:szCs w:val="20"/>
          <w:lang w:eastAsia="ar-SA"/>
        </w:rPr>
      </w:pPr>
      <w:r>
        <w:rPr>
          <w:rFonts w:ascii="Verdana" w:hAnsi="Verdana" w:cs="Times-Bold"/>
          <w:bCs/>
          <w:szCs w:val="20"/>
        </w:rPr>
        <w:t xml:space="preserve">– </w:t>
      </w:r>
      <w:r>
        <w:rPr>
          <w:rFonts w:ascii="Verdana" w:hAnsi="Verdana" w:cs="Calibri" w:eastAsiaTheme="minorHAnsi"/>
          <w:b/>
          <w:bCs/>
          <w:szCs w:val="20"/>
          <w:lang w:eastAsia="en-US"/>
        </w:rPr>
        <w:t>Os critérios de qualificação técnica a serem atendidos pela Licitante, estão previstos no subitem 19.3 e 19.4 do Termo de Referência ou Projeto Básico (Anexo I).</w:t>
      </w:r>
    </w:p>
    <w:p>
      <w:pPr>
        <w:pStyle w:val="73"/>
        <w:keepNext w:val="0"/>
        <w:widowControl/>
        <w:numPr>
          <w:ilvl w:val="2"/>
          <w:numId w:val="7"/>
        </w:numPr>
        <w:spacing w:before="120" w:after="120"/>
        <w:textAlignment w:val="auto"/>
        <w:rPr>
          <w:rFonts w:ascii="Verdana" w:hAnsi="Verdana" w:cs="Arial"/>
          <w:szCs w:val="20"/>
          <w:lang w:eastAsia="ar-SA"/>
        </w:rPr>
      </w:pPr>
      <w:r>
        <w:rPr>
          <w:rFonts w:ascii="Verdana" w:hAnsi="Verdana" w:cs="Arial"/>
          <w:color w:val="162937"/>
          <w:szCs w:val="20"/>
          <w:shd w:val="clear" w:color="auto" w:fill="FFFFFF"/>
        </w:rPr>
        <w:t>– A comprovação deverá vir acompanhada de</w:t>
      </w:r>
      <w:r>
        <w:rPr>
          <w:rFonts w:ascii="Verdana" w:hAnsi="Verdana"/>
          <w:szCs w:val="20"/>
        </w:rPr>
        <w:t xml:space="preserve"> atestado(s) ou declaração(ões) </w:t>
      </w:r>
      <w:r>
        <w:rPr>
          <w:rFonts w:ascii="Verdana" w:hAnsi="Verdana" w:cs="Arial"/>
          <w:color w:val="162937"/>
          <w:szCs w:val="20"/>
          <w:shd w:val="clear" w:color="auto" w:fill="FFFFFF"/>
        </w:rPr>
        <w:t xml:space="preserve">emitidos e </w:t>
      </w:r>
      <w:r>
        <w:rPr>
          <w:rFonts w:ascii="Verdana" w:hAnsi="Verdana"/>
          <w:szCs w:val="20"/>
        </w:rPr>
        <w:t xml:space="preserve">fornecidos por pessoa jurídica de direito público ou privado, comprovando que a mesma através de </w:t>
      </w:r>
      <w:r>
        <w:rPr>
          <w:rFonts w:ascii="Verdana" w:hAnsi="Verdana"/>
          <w:bCs/>
          <w:szCs w:val="20"/>
        </w:rPr>
        <w:t>profissional(is) de seu quadro técnico</w:t>
      </w:r>
      <w:r>
        <w:rPr>
          <w:rFonts w:ascii="Verdana" w:hAnsi="Verdana"/>
          <w:szCs w:val="20"/>
        </w:rPr>
        <w:t xml:space="preserve">, devidamente identificado(s), </w:t>
      </w:r>
      <w:r>
        <w:rPr>
          <w:rFonts w:ascii="Verdana" w:hAnsi="Verdana"/>
          <w:bCs/>
          <w:szCs w:val="20"/>
        </w:rPr>
        <w:t>já executou serviços semelhantes ao exigido no subitem anterior.</w:t>
      </w:r>
    </w:p>
    <w:p>
      <w:pPr>
        <w:pStyle w:val="73"/>
        <w:keepNext w:val="0"/>
        <w:widowControl/>
        <w:numPr>
          <w:ilvl w:val="3"/>
          <w:numId w:val="7"/>
        </w:numPr>
        <w:spacing w:before="120" w:after="120"/>
        <w:ind w:left="2268" w:hanging="567"/>
        <w:textAlignment w:val="auto"/>
        <w:rPr>
          <w:rFonts w:ascii="Verdana" w:hAnsi="Verdana" w:cs="Arial"/>
          <w:sz w:val="18"/>
          <w:szCs w:val="18"/>
          <w:lang w:eastAsia="ar-SA"/>
        </w:rPr>
      </w:pPr>
      <w:r>
        <w:rPr>
          <w:rFonts w:ascii="Verdana" w:hAnsi="Verdana"/>
          <w:sz w:val="18"/>
          <w:szCs w:val="18"/>
        </w:rPr>
        <w:t>- A apresentação da Certidão de Acervo Técnico não exime</w:t>
      </w:r>
      <w:r>
        <w:rPr>
          <w:rFonts w:ascii="Verdana" w:hAnsi="Verdana"/>
          <w:b/>
          <w:sz w:val="18"/>
          <w:szCs w:val="18"/>
        </w:rPr>
        <w:t xml:space="preserve"> </w:t>
      </w:r>
      <w:r>
        <w:rPr>
          <w:rFonts w:ascii="Verdana" w:hAnsi="Verdana"/>
          <w:sz w:val="18"/>
          <w:szCs w:val="18"/>
        </w:rPr>
        <w:t>a apresentação da declaração registrada.</w:t>
      </w:r>
    </w:p>
    <w:p>
      <w:pPr>
        <w:pStyle w:val="73"/>
        <w:keepNext w:val="0"/>
        <w:widowControl/>
        <w:numPr>
          <w:ilvl w:val="3"/>
          <w:numId w:val="7"/>
        </w:numPr>
        <w:spacing w:before="120" w:after="120"/>
        <w:ind w:left="2268" w:hanging="567"/>
        <w:textAlignment w:val="auto"/>
        <w:rPr>
          <w:rFonts w:ascii="Verdana" w:hAnsi="Verdana" w:cs="Arial"/>
          <w:sz w:val="18"/>
          <w:szCs w:val="18"/>
          <w:lang w:eastAsia="ar-SA"/>
        </w:rPr>
      </w:pPr>
      <w:r>
        <w:rPr>
          <w:rFonts w:ascii="Verdana" w:hAnsi="Verdana"/>
          <w:sz w:val="18"/>
          <w:szCs w:val="18"/>
        </w:rPr>
        <w:t>– 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pPr>
        <w:pStyle w:val="73"/>
        <w:keepNext w:val="0"/>
        <w:widowControl/>
        <w:numPr>
          <w:ilvl w:val="3"/>
          <w:numId w:val="7"/>
        </w:numPr>
        <w:spacing w:before="120" w:after="120"/>
        <w:ind w:left="2268" w:hanging="567"/>
        <w:textAlignment w:val="auto"/>
        <w:rPr>
          <w:rFonts w:ascii="Verdana" w:hAnsi="Verdana" w:cs="Arial"/>
          <w:szCs w:val="20"/>
          <w:lang w:eastAsia="ar-SA"/>
        </w:rPr>
      </w:pPr>
      <w:r>
        <w:rPr>
          <w:rFonts w:ascii="Verdana" w:hAnsi="Verdana"/>
          <w:color w:val="000000"/>
          <w:sz w:val="18"/>
          <w:szCs w:val="18"/>
        </w:rPr>
        <w:t>- As licitantes, quando solicitadas, deverão disponibilizar todas as informações necessárias à comprovação da legitimidade dos atestados, apresentando, dentre outros documentos, cópia do contrato que deu suporte à contratação e das correspondentes Certidões de Acervo Técnico (CAT), endereço atual da contratante e local em que foram executadas as obras e serviços de engenharia.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w:t>
      </w:r>
      <w:r>
        <w:rPr>
          <w:rFonts w:ascii="Verdana" w:hAnsi="Verdana" w:cs="Times-Bold"/>
          <w:b/>
          <w:bCs/>
          <w:szCs w:val="20"/>
        </w:rPr>
        <w:t xml:space="preserve"> </w:t>
      </w:r>
      <w:r>
        <w:rPr>
          <w:rFonts w:ascii="Verdana" w:hAnsi="Verdana" w:cs="Times-Roman"/>
          <w:szCs w:val="20"/>
        </w:rPr>
        <w:t>Os documentos necessários para a comprovação de que o profissional responsável pela obra está vinculado a licitante, são: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do grupo, devidamente ajustada ao lance vencedor, em conformidade com o modelo anexo III-B a este instrumento convocatório, juntamente com o cronograma físico financeiro (Anexo III-C) correspondente e o Resumo do Orçamento (Anexo -A);</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1"/>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1"/>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1"/>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2"/>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2"/>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2"/>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 w:val="20"/>
          <w:szCs w:val="20"/>
        </w:rPr>
        <w:t xml:space="preserve"> </w:t>
      </w:r>
      <w:r>
        <w:rPr>
          <w:rFonts w:ascii="Verdana" w:hAnsi="Verdana" w:cs="Arial"/>
          <w:color w:val="000000"/>
          <w:sz w:val="20"/>
          <w:szCs w:val="20"/>
        </w:rPr>
        <w:t>.</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xml:space="preserve">, e </w:t>
      </w:r>
      <w:r>
        <w:rPr>
          <w:rFonts w:ascii="Verdana" w:hAnsi="Verdana" w:cs="Arial"/>
          <w:szCs w:val="20"/>
        </w:rPr>
        <w:t xml:space="preserve">também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 ou Projeto Básico;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 – Descrição dos serviços;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III-A – Planilha Resumo do Orçamento;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de Declaração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Responsabilidade;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Minuta de Termo de Contrato; 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 – Projetos</w:t>
      </w:r>
      <w:r>
        <w:rPr>
          <w:rFonts w:hint="default" w:ascii="Verdana" w:hAnsi="Verdana" w:cs="Arial"/>
          <w:color w:val="000000"/>
          <w:sz w:val="18"/>
          <w:szCs w:val="18"/>
          <w:lang w:val="pt-BR"/>
        </w:rPr>
        <w:t xml:space="preserve"> (Link </w:t>
      </w:r>
      <w:r>
        <w:rPr>
          <w:rFonts w:hint="default" w:ascii="Verdana" w:hAnsi="Verdana"/>
          <w:color w:val="000000"/>
          <w:sz w:val="18"/>
          <w:szCs w:val="18"/>
          <w:lang w:val="pt-BR"/>
        </w:rPr>
        <w:t>https://drive.google.com/drive/folders/1mEerayCnUe-6k445GJ1Z_HXL3xZwOh_h?usp=sharing)</w:t>
      </w:r>
      <w:bookmarkStart w:id="5" w:name="_GoBack"/>
      <w:bookmarkEnd w:id="5"/>
      <w:r>
        <w:rPr>
          <w:rFonts w:ascii="Verdana" w:hAnsi="Verdana" w:cs="Arial"/>
          <w:color w:val="000000"/>
          <w:sz w:val="18"/>
          <w:szCs w:val="18"/>
        </w:rPr>
        <w:t>.</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08 de março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hint="default" w:ascii="Verdana" w:hAnsi="Verdana" w:cs="Arial"/>
          <w:sz w:val="16"/>
          <w:szCs w:val="16"/>
          <w:lang w:val="pt-BR"/>
        </w:rPr>
      </w:pPr>
      <w:r>
        <w:rPr>
          <w:rFonts w:hint="default" w:ascii="Verdana" w:hAnsi="Verdana" w:cs="Arial"/>
          <w:sz w:val="16"/>
          <w:szCs w:val="16"/>
          <w:lang w:val="pt-BR"/>
        </w:rPr>
        <w:t>Coordenação de Licitação</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panose1 w:val="02020603050405020304"/>
    <w:charset w:val="00"/>
    <w:family w:val="roman"/>
    <w:pitch w:val="default"/>
    <w:sig w:usb0="E0000AFF" w:usb1="500078FF" w:usb2="00000021" w:usb3="00000000" w:csb0="600001BF" w:csb1="DFF70000"/>
  </w:font>
  <w:font w:name="WenQuanYi Micro Hei">
    <w:altName w:val="SimSun"/>
    <w:panose1 w:val="00000000000000000000"/>
    <w:charset w:val="86"/>
    <w:family w:val="roman"/>
    <w:pitch w:val="default"/>
    <w:sig w:usb0="00000000" w:usb1="00000000" w:usb2="00000000" w:usb3="00000000" w:csb0="00000000" w:csb1="00000000"/>
  </w:font>
  <w:font w:name="Ecofont_Spranq_eco_Sans">
    <w:altName w:val="Malgun Gothic"/>
    <w:panose1 w:val="00000000000000000000"/>
    <w:charset w:val="00"/>
    <w:family w:val="roman"/>
    <w:pitch w:val="default"/>
    <w:sig w:usb0="00000000" w:usb1="00000000" w:usb2="00000000" w:usb3="00000000" w:csb0="00000000" w:csb1="00000000"/>
  </w:font>
  <w:font w:name="Malgun Gothic">
    <w:panose1 w:val="020B0503020000020004"/>
    <w:charset w:val="81"/>
    <w:family w:val="auto"/>
    <w:pitch w:val="default"/>
    <w:sig w:usb0="900002AF" w:usb1="01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Arial Unicode MS">
    <w:altName w:val="Arial"/>
    <w:panose1 w:val="020B0604020202020204"/>
    <w:charset w:val="00"/>
    <w:family w:val="roman"/>
    <w:pitch w:val="default"/>
    <w:sig w:usb0="00000000" w:usb1="00000000" w:usb2="00000000" w:usb3="00000000" w:csb0="00000001" w:csb1="00000000"/>
  </w:font>
  <w:font w:name="Mangal">
    <w:panose1 w:val="02040503050203030202"/>
    <w:charset w:val="00"/>
    <w:family w:val="roman"/>
    <w:pitch w:val="default"/>
    <w:sig w:usb0="00008003"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Segoe UI">
    <w:panose1 w:val="020B0502040204020203"/>
    <w:charset w:val="00"/>
    <w:family w:val="swiss"/>
    <w:pitch w:val="default"/>
    <w:sig w:usb0="E10022FF" w:usb1="C000E47F" w:usb2="00000029" w:usb3="00000000" w:csb0="200001DF" w:csb1="2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23069.159759/2020-61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2367722C"/>
    <w:multiLevelType w:val="multilevel"/>
    <w:tmpl w:val="2367722C"/>
    <w:lvl w:ilvl="0" w:tentative="0">
      <w:start w:val="12"/>
      <w:numFmt w:val="decimal"/>
      <w:lvlText w:val="%1."/>
      <w:lvlJc w:val="left"/>
      <w:pPr>
        <w:ind w:left="0" w:firstLine="0"/>
      </w:pPr>
      <w:rPr>
        <w:rFonts w:hint="default"/>
        <w:b/>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2" w:hanging="72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5">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6">
    <w:nsid w:val="55DA64AB"/>
    <w:multiLevelType w:val="multilevel"/>
    <w:tmpl w:val="55DA64AB"/>
    <w:lvl w:ilvl="0" w:tentative="0">
      <w:start w:val="2"/>
      <w:numFmt w:val="decimal"/>
      <w:lvlText w:val="%1."/>
      <w:lvlJc w:val="left"/>
      <w:pPr>
        <w:ind w:left="0" w:firstLine="0"/>
      </w:pPr>
      <w:rPr>
        <w:rFonts w:hint="default"/>
        <w:b/>
      </w:rPr>
    </w:lvl>
    <w:lvl w:ilvl="1" w:tentative="0">
      <w:start w:val="1"/>
      <w:numFmt w:val="decimal"/>
      <w:lvlText w:val="%1.%2."/>
      <w:lvlJc w:val="left"/>
      <w:pPr>
        <w:ind w:left="567"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9">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16"/>
      <w:numFmt w:val="decimal"/>
      <w:lvlText w:val="%1."/>
      <w:lvlJc w:val="left"/>
      <w:pPr>
        <w:ind w:left="0" w:firstLine="0"/>
      </w:pPr>
      <w:rPr>
        <w:rFonts w:hint="default"/>
        <w:b/>
      </w:rPr>
    </w:lvl>
    <w:lvl w:ilvl="1" w:tentative="0">
      <w:start w:val="1"/>
      <w:numFmt w:val="decimal"/>
      <w:lvlText w:val="%1.%2."/>
      <w:lvlJc w:val="left"/>
      <w:pPr>
        <w:ind w:left="426" w:firstLine="0"/>
      </w:pPr>
      <w:rPr>
        <w:rFonts w:hint="default"/>
        <w:sz w:val="20"/>
        <w:szCs w:val="20"/>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 w:numId="2">
    <w:abstractNumId w:val="7"/>
  </w:num>
  <w:num w:numId="3">
    <w:abstractNumId w:val="4"/>
  </w:num>
  <w:num w:numId="4">
    <w:abstractNumId w:val="6"/>
  </w:num>
  <w:num w:numId="5">
    <w:abstractNumId w:val="9"/>
  </w:num>
  <w:num w:numId="6">
    <w:abstractNumId w:val="8"/>
  </w:num>
  <w:num w:numId="7">
    <w:abstractNumId w:val="2"/>
  </w:num>
  <w:num w:numId="8">
    <w:abstractNumId w:val="10"/>
  </w:num>
  <w:num w:numId="9">
    <w:abstractNumId w:val="1"/>
  </w:num>
  <w:num w:numId="10">
    <w:abstractNumId w:val="3"/>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846"/>
    <w:rsid w:val="00000CC9"/>
    <w:rsid w:val="000022E3"/>
    <w:rsid w:val="00003DC8"/>
    <w:rsid w:val="00003F6F"/>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91358"/>
    <w:rsid w:val="00092281"/>
    <w:rsid w:val="00094592"/>
    <w:rsid w:val="000B02B7"/>
    <w:rsid w:val="000B2ECB"/>
    <w:rsid w:val="000B79B0"/>
    <w:rsid w:val="000C2DFC"/>
    <w:rsid w:val="000C633E"/>
    <w:rsid w:val="000C78AD"/>
    <w:rsid w:val="000D1118"/>
    <w:rsid w:val="000E0D10"/>
    <w:rsid w:val="000E47C5"/>
    <w:rsid w:val="000E4B2A"/>
    <w:rsid w:val="000F49A5"/>
    <w:rsid w:val="001003C6"/>
    <w:rsid w:val="00112A24"/>
    <w:rsid w:val="00115488"/>
    <w:rsid w:val="001224CC"/>
    <w:rsid w:val="00127D00"/>
    <w:rsid w:val="00131CE1"/>
    <w:rsid w:val="0013270F"/>
    <w:rsid w:val="001375A4"/>
    <w:rsid w:val="001421D5"/>
    <w:rsid w:val="00147D80"/>
    <w:rsid w:val="0015089E"/>
    <w:rsid w:val="00153769"/>
    <w:rsid w:val="001537E3"/>
    <w:rsid w:val="00156910"/>
    <w:rsid w:val="00161EFF"/>
    <w:rsid w:val="001701E5"/>
    <w:rsid w:val="001718F3"/>
    <w:rsid w:val="00186725"/>
    <w:rsid w:val="00195DD6"/>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408DA"/>
    <w:rsid w:val="00440DB9"/>
    <w:rsid w:val="004432FD"/>
    <w:rsid w:val="0044340A"/>
    <w:rsid w:val="00445448"/>
    <w:rsid w:val="00446E0B"/>
    <w:rsid w:val="00447F9F"/>
    <w:rsid w:val="00447FA8"/>
    <w:rsid w:val="0045174B"/>
    <w:rsid w:val="004534F6"/>
    <w:rsid w:val="00453712"/>
    <w:rsid w:val="00460E8B"/>
    <w:rsid w:val="00464C98"/>
    <w:rsid w:val="00465F78"/>
    <w:rsid w:val="00471933"/>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2D1A"/>
    <w:rsid w:val="00520B75"/>
    <w:rsid w:val="00522713"/>
    <w:rsid w:val="00524B89"/>
    <w:rsid w:val="0052574A"/>
    <w:rsid w:val="0052759B"/>
    <w:rsid w:val="00530EC4"/>
    <w:rsid w:val="005472B5"/>
    <w:rsid w:val="005653E2"/>
    <w:rsid w:val="00581604"/>
    <w:rsid w:val="00596404"/>
    <w:rsid w:val="005B3CD9"/>
    <w:rsid w:val="005B55B2"/>
    <w:rsid w:val="005C3AD0"/>
    <w:rsid w:val="005C555B"/>
    <w:rsid w:val="005D3BC2"/>
    <w:rsid w:val="005E2AE4"/>
    <w:rsid w:val="005E32AA"/>
    <w:rsid w:val="005F2397"/>
    <w:rsid w:val="005F5338"/>
    <w:rsid w:val="005F56B2"/>
    <w:rsid w:val="005F6F2E"/>
    <w:rsid w:val="005F78D2"/>
    <w:rsid w:val="0060190D"/>
    <w:rsid w:val="00604296"/>
    <w:rsid w:val="00611FA3"/>
    <w:rsid w:val="00616CBB"/>
    <w:rsid w:val="0062031E"/>
    <w:rsid w:val="006204FB"/>
    <w:rsid w:val="006213C2"/>
    <w:rsid w:val="00630EFD"/>
    <w:rsid w:val="006343AD"/>
    <w:rsid w:val="00635C6A"/>
    <w:rsid w:val="00650692"/>
    <w:rsid w:val="00650D71"/>
    <w:rsid w:val="00656EB6"/>
    <w:rsid w:val="00657A30"/>
    <w:rsid w:val="00657CE1"/>
    <w:rsid w:val="00657EF1"/>
    <w:rsid w:val="0066165D"/>
    <w:rsid w:val="0066797A"/>
    <w:rsid w:val="00667AEF"/>
    <w:rsid w:val="00683576"/>
    <w:rsid w:val="00684822"/>
    <w:rsid w:val="0069666A"/>
    <w:rsid w:val="006A56ED"/>
    <w:rsid w:val="006B0F17"/>
    <w:rsid w:val="006B1A5C"/>
    <w:rsid w:val="006B1BFD"/>
    <w:rsid w:val="006B5CC3"/>
    <w:rsid w:val="006B6044"/>
    <w:rsid w:val="006B6CE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7D42"/>
    <w:rsid w:val="00801E2B"/>
    <w:rsid w:val="008025B2"/>
    <w:rsid w:val="0081275A"/>
    <w:rsid w:val="008137C2"/>
    <w:rsid w:val="0081399E"/>
    <w:rsid w:val="00813B66"/>
    <w:rsid w:val="008156DF"/>
    <w:rsid w:val="00823EC4"/>
    <w:rsid w:val="00825E6C"/>
    <w:rsid w:val="0082616D"/>
    <w:rsid w:val="008266B6"/>
    <w:rsid w:val="00827FA7"/>
    <w:rsid w:val="008338EF"/>
    <w:rsid w:val="0083656A"/>
    <w:rsid w:val="00840951"/>
    <w:rsid w:val="00842C9B"/>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1D2"/>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700A4"/>
    <w:rsid w:val="00973804"/>
    <w:rsid w:val="00977174"/>
    <w:rsid w:val="0098026A"/>
    <w:rsid w:val="009809A2"/>
    <w:rsid w:val="00980BC4"/>
    <w:rsid w:val="009840DF"/>
    <w:rsid w:val="009871CC"/>
    <w:rsid w:val="00993C17"/>
    <w:rsid w:val="009A2C12"/>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A82"/>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143"/>
    <w:rsid w:val="00BA03EB"/>
    <w:rsid w:val="00BA64D9"/>
    <w:rsid w:val="00BB6E68"/>
    <w:rsid w:val="00BC066D"/>
    <w:rsid w:val="00BC6C80"/>
    <w:rsid w:val="00BC754C"/>
    <w:rsid w:val="00BE13FA"/>
    <w:rsid w:val="00BE2449"/>
    <w:rsid w:val="00BE5F79"/>
    <w:rsid w:val="00BE7F4C"/>
    <w:rsid w:val="00C01226"/>
    <w:rsid w:val="00C0320B"/>
    <w:rsid w:val="00C033F4"/>
    <w:rsid w:val="00C0561B"/>
    <w:rsid w:val="00C06917"/>
    <w:rsid w:val="00C17FDA"/>
    <w:rsid w:val="00C22716"/>
    <w:rsid w:val="00C22CC7"/>
    <w:rsid w:val="00C23F17"/>
    <w:rsid w:val="00C30648"/>
    <w:rsid w:val="00C34869"/>
    <w:rsid w:val="00C35203"/>
    <w:rsid w:val="00C40376"/>
    <w:rsid w:val="00C41722"/>
    <w:rsid w:val="00C43FC5"/>
    <w:rsid w:val="00C45F43"/>
    <w:rsid w:val="00C46991"/>
    <w:rsid w:val="00C50C7B"/>
    <w:rsid w:val="00C53F93"/>
    <w:rsid w:val="00C5707B"/>
    <w:rsid w:val="00C64F08"/>
    <w:rsid w:val="00C733E2"/>
    <w:rsid w:val="00C74B5F"/>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5913"/>
    <w:rsid w:val="00DD60B8"/>
    <w:rsid w:val="00DE0DFB"/>
    <w:rsid w:val="00DE608C"/>
    <w:rsid w:val="00DE772C"/>
    <w:rsid w:val="00DF2542"/>
    <w:rsid w:val="00DF6C2C"/>
    <w:rsid w:val="00E0222E"/>
    <w:rsid w:val="00E046C1"/>
    <w:rsid w:val="00E10948"/>
    <w:rsid w:val="00E11AE7"/>
    <w:rsid w:val="00E14766"/>
    <w:rsid w:val="00E23D01"/>
    <w:rsid w:val="00E25D03"/>
    <w:rsid w:val="00E26628"/>
    <w:rsid w:val="00E3441C"/>
    <w:rsid w:val="00E34B3A"/>
    <w:rsid w:val="00E34D9B"/>
    <w:rsid w:val="00E360E5"/>
    <w:rsid w:val="00E3781E"/>
    <w:rsid w:val="00E403E0"/>
    <w:rsid w:val="00E525E5"/>
    <w:rsid w:val="00E675C7"/>
    <w:rsid w:val="00E723A0"/>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EF4C77"/>
    <w:rsid w:val="00F06811"/>
    <w:rsid w:val="00F2643D"/>
    <w:rsid w:val="00F265E3"/>
    <w:rsid w:val="00F371C9"/>
    <w:rsid w:val="00F42EE6"/>
    <w:rsid w:val="00F45D1D"/>
    <w:rsid w:val="00F47CC6"/>
    <w:rsid w:val="00F510B3"/>
    <w:rsid w:val="00F5519E"/>
    <w:rsid w:val="00F61072"/>
    <w:rsid w:val="00F61A35"/>
    <w:rsid w:val="00F61AFA"/>
    <w:rsid w:val="00F66D01"/>
    <w:rsid w:val="00F716B7"/>
    <w:rsid w:val="00F71FFD"/>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633C"/>
    <w:rsid w:val="00FF1326"/>
    <w:rsid w:val="0193D7E5"/>
    <w:rsid w:val="024078DA"/>
    <w:rsid w:val="036C5F2C"/>
    <w:rsid w:val="0511D157"/>
    <w:rsid w:val="0520EF0B"/>
    <w:rsid w:val="063668F6"/>
    <w:rsid w:val="078651FC"/>
    <w:rsid w:val="0D1BB44C"/>
    <w:rsid w:val="0EBD075A"/>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19207A0"/>
    <w:rsid w:val="425A78EE"/>
    <w:rsid w:val="427791C7"/>
    <w:rsid w:val="435B39EC"/>
    <w:rsid w:val="455BF2C7"/>
    <w:rsid w:val="45D11C52"/>
    <w:rsid w:val="46235209"/>
    <w:rsid w:val="46B363B1"/>
    <w:rsid w:val="46BCBFE9"/>
    <w:rsid w:val="4C0EC979"/>
    <w:rsid w:val="4D9A2851"/>
    <w:rsid w:val="4DC55922"/>
    <w:rsid w:val="4DE849A2"/>
    <w:rsid w:val="5068B3AF"/>
    <w:rsid w:val="509F403A"/>
    <w:rsid w:val="5170194C"/>
    <w:rsid w:val="55D9505D"/>
    <w:rsid w:val="56D0C33C"/>
    <w:rsid w:val="589774CA"/>
    <w:rsid w:val="597F26EA"/>
    <w:rsid w:val="5C84E0E3"/>
    <w:rsid w:val="5E498B79"/>
    <w:rsid w:val="5E509FCF"/>
    <w:rsid w:val="5EE7022C"/>
    <w:rsid w:val="6177C470"/>
    <w:rsid w:val="6282B687"/>
    <w:rsid w:val="63155B39"/>
    <w:rsid w:val="63514F31"/>
    <w:rsid w:val="63AF3BD4"/>
    <w:rsid w:val="66CB3DAD"/>
    <w:rsid w:val="69E068C1"/>
    <w:rsid w:val="6AB9C9CF"/>
    <w:rsid w:val="6BE25E78"/>
    <w:rsid w:val="70E91B79"/>
    <w:rsid w:val="74CA8BC2"/>
    <w:rsid w:val="75460150"/>
    <w:rsid w:val="76D302A6"/>
    <w:rsid w:val="76DF9B0F"/>
    <w:rsid w:val="78875505"/>
    <w:rsid w:val="78A37C57"/>
    <w:rsid w:val="7AFA6895"/>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qFormat/>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FA922B-301D-4229-A9FF-8B2F047859B0}">
  <ds:schemaRefs/>
</ds:datastoreItem>
</file>

<file path=customXml/itemProps2.xml><?xml version="1.0" encoding="utf-8"?>
<ds:datastoreItem xmlns:ds="http://schemas.openxmlformats.org/officeDocument/2006/customXml" ds:itemID="{552F9D9B-A10A-4DD0-9B11-62F741C79D1E}">
  <ds:schemaRefs/>
</ds:datastoreItem>
</file>

<file path=customXml/itemProps3.xml><?xml version="1.0" encoding="utf-8"?>
<ds:datastoreItem xmlns:ds="http://schemas.openxmlformats.org/officeDocument/2006/customXml" ds:itemID="{BBFD8ED6-DC5C-4AC2-A75D-A7D1347451F0}">
  <ds:schemaRefs/>
</ds:datastoreItem>
</file>

<file path=customXml/itemProps4.xml><?xml version="1.0" encoding="utf-8"?>
<ds:datastoreItem xmlns:ds="http://schemas.openxmlformats.org/officeDocument/2006/customXml" ds:itemID="{04619D80-AE0E-4FC5-8646-B7029223346D}">
  <ds:schemaRefs/>
</ds:datastoreItem>
</file>

<file path=docProps/app.xml><?xml version="1.0" encoding="utf-8"?>
<Properties xmlns="http://schemas.openxmlformats.org/officeDocument/2006/extended-properties" xmlns:vt="http://schemas.openxmlformats.org/officeDocument/2006/docPropsVTypes">
  <Template>Normal</Template>
  <Pages>25</Pages>
  <Words>10335</Words>
  <Characters>58270</Characters>
  <Lines>486</Lines>
  <Paragraphs>138</Paragraphs>
  <TotalTime>30</TotalTime>
  <ScaleCrop>false</ScaleCrop>
  <LinksUpToDate>false</LinksUpToDate>
  <CharactersWithSpaces>68258</CharactersWithSpaces>
  <Application>WPS Office_11.2.0.11029_F1E327BC-269C-435d-A152-05C5408002CA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2022-03-08T21:23:00Z</dcterms:created>
  <dc:creator>Carlota Vargas Buranello</dc:creator>
  <cp:lastModifiedBy>Juliana Borsoi</cp:lastModifiedBy>
  <cp:lastPrinted>2020-05-06T13:48:00Z</cp:lastPrinted>
  <dcterms:modified xsi:type="dcterms:W3CDTF">2022-03-17T15:32:14Z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1046-11.2.0.11029</vt:lpwstr>
  </property>
  <property fmtid="{D5CDD505-2E9C-101B-9397-08002B2CF9AE}" pid="4" name="ICV">
    <vt:lpwstr>E10895D3222E4FD695EE3E35DDFFC3DA</vt:lpwstr>
  </property>
</Properties>
</file>