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000000" w:themeColor="text1"/>
          <w:sz w:val="20"/>
          <w:szCs w:val="20"/>
          <w:lang w:val="pt-BR"/>
          <w14:textFill>
            <w14:solidFill>
              <w14:schemeClr w14:val="tx1"/>
            </w14:solidFill>
          </w14:textFill>
        </w:rPr>
      </w:pPr>
      <w:r>
        <w:rPr>
          <w:rFonts w:hint="default" w:ascii="Verdana" w:hAnsi="Verdana" w:cs="Arial"/>
          <w:b/>
          <w:bCs/>
          <w:color w:val="FF0000"/>
          <w:sz w:val="20"/>
          <w:szCs w:val="20"/>
          <w:lang w:val="pt-BR"/>
        </w:rPr>
        <w:t xml:space="preserve"> </w:t>
      </w:r>
      <w:r>
        <w:rPr>
          <w:rFonts w:hint="default" w:ascii="Verdana" w:hAnsi="Verdana" w:cs="Arial"/>
          <w:b/>
          <w:bCs/>
          <w:color w:val="000000" w:themeColor="text1"/>
          <w:sz w:val="20"/>
          <w:szCs w:val="20"/>
          <w:lang w:val="pt-BR"/>
          <w14:textFill>
            <w14:solidFill>
              <w14:schemeClr w14:val="tx1"/>
            </w14:solidFill>
          </w14:textFill>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137/2022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23069.183923/2022-12)</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 xml:space="preserve">sua Comissão de Licitação da Pró-Reitoria de Administração, instituída pela Portaria n.º </w:t>
      </w:r>
      <w:r>
        <w:rPr>
          <w:rFonts w:hint="default" w:ascii="Verdana" w:hAnsi="Verdana"/>
          <w:sz w:val="20"/>
          <w:szCs w:val="20"/>
          <w:lang w:val="pt-BR"/>
        </w:rPr>
        <w:t>68.419 de 26 de agosto de 2022</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bookmarkStart w:id="10" w:name="_GoBack"/>
      <w:bookmarkEnd w:id="10"/>
    </w:p>
    <w:p>
      <w:pPr>
        <w:pStyle w:val="73"/>
        <w:keepNext w:val="0"/>
        <w:shd w:val="clear" w:color="auto" w:fill="auto"/>
        <w:ind w:firstLine="0"/>
        <w:jc w:val="center"/>
        <w:rPr>
          <w:rFonts w:hint="default" w:ascii="Verdana" w:hAnsi="Verdana" w:cs="Arial"/>
          <w:b/>
          <w:bCs/>
          <w:color w:val="000000" w:themeColor="text1"/>
          <w:szCs w:val="20"/>
          <w:lang w:val="pt-BR"/>
          <w14:textFill>
            <w14:solidFill>
              <w14:schemeClr w14:val="tx1"/>
            </w14:solidFill>
          </w14:textFill>
        </w:rPr>
      </w:pPr>
      <w:r>
        <w:rPr>
          <w:rFonts w:ascii="Verdana" w:hAnsi="Verdana" w:cs="Arial"/>
          <w:szCs w:val="20"/>
        </w:rPr>
        <w:t xml:space="preserve">Data da sessão: </w:t>
      </w:r>
      <w:r>
        <w:rPr>
          <w:rFonts w:hint="default" w:ascii="Verdana" w:hAnsi="Verdana" w:cs="Arial"/>
          <w:b/>
          <w:bCs/>
          <w:color w:val="000000" w:themeColor="text1"/>
          <w:szCs w:val="20"/>
          <w:lang w:val="pt-BR"/>
          <w14:textFill>
            <w14:solidFill>
              <w14:schemeClr w14:val="tx1"/>
            </w14:solidFill>
          </w14:textFill>
        </w:rPr>
        <w:t>22/DEZ/2022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000000" w:themeColor="text1"/>
          <w:szCs w:val="20"/>
          <w:lang w:val="pt-BR"/>
          <w14:textFill>
            <w14:solidFill>
              <w14:schemeClr w14:val="tx1"/>
            </w14:solidFill>
          </w14:textFill>
        </w:rPr>
        <w:t>09h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 xml:space="preserve">execução de serviço de engenharia, </w:t>
      </w:r>
      <w:bookmarkEnd w:id="0"/>
      <w:r>
        <w:rPr>
          <w:rFonts w:ascii="Verdana" w:hAnsi="Verdana" w:cs="Calibri"/>
          <w:bCs/>
          <w:color w:val="000000"/>
          <w:szCs w:val="20"/>
          <w:shd w:val="clear" w:color="auto" w:fill="FFFFFF"/>
        </w:rPr>
        <w:t>para o fornecimento, montagem e instalação de 02(dois) equipamentos de transporte vertical, a serem instalados no Instituto de Ciência e Tecnologia e no Instituto de Humanidades e Saúde da UFF</w:t>
      </w:r>
      <w:r>
        <w:rPr>
          <w:rFonts w:ascii="Verdana" w:hAnsi="Verdana" w:cs="Arial"/>
          <w:szCs w:val="20"/>
        </w:rPr>
        <w:t>, inclusive a elaboração dos projetos executivos,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Local dos serviços:</w:t>
      </w:r>
    </w:p>
    <w:p>
      <w:pPr>
        <w:pStyle w:val="73"/>
        <w:keepNext w:val="0"/>
        <w:widowControl/>
        <w:numPr>
          <w:ilvl w:val="3"/>
          <w:numId w:val="3"/>
        </w:numPr>
        <w:shd w:val="clear" w:color="auto" w:fill="auto"/>
        <w:spacing w:before="120" w:after="120"/>
        <w:rPr>
          <w:rFonts w:ascii="Verdana" w:hAnsi="Verdana" w:cs="Arial"/>
          <w:sz w:val="18"/>
          <w:szCs w:val="18"/>
        </w:rPr>
      </w:pPr>
      <w:r>
        <w:rPr>
          <w:rFonts w:ascii="Verdana" w:hAnsi="Verdana" w:eastAsia="Calibri" w:cstheme="minorHAnsi"/>
          <w:bCs/>
          <w:sz w:val="18"/>
          <w:szCs w:val="18"/>
        </w:rPr>
        <w:t xml:space="preserve">- </w:t>
      </w:r>
      <w:r>
        <w:rPr>
          <w:rFonts w:ascii="Verdana" w:hAnsi="Verdana"/>
          <w:sz w:val="18"/>
          <w:szCs w:val="18"/>
        </w:rPr>
        <w:t>Instituto de Ciência e Tecnologia/ICT - Rua Recife, Lotes, 1-7, Jardim Bela Vista, Rio das Ostras, RJ</w:t>
      </w:r>
    </w:p>
    <w:p>
      <w:pPr>
        <w:pStyle w:val="73"/>
        <w:keepNext w:val="0"/>
        <w:widowControl/>
        <w:numPr>
          <w:ilvl w:val="3"/>
          <w:numId w:val="3"/>
        </w:numPr>
        <w:shd w:val="clear" w:color="auto" w:fill="auto"/>
        <w:spacing w:before="120" w:after="120"/>
        <w:rPr>
          <w:rFonts w:ascii="Verdana" w:hAnsi="Verdana" w:cs="Arial"/>
          <w:sz w:val="18"/>
          <w:szCs w:val="18"/>
        </w:rPr>
      </w:pPr>
      <w:r>
        <w:rPr>
          <w:rFonts w:ascii="Verdana" w:hAnsi="Verdana"/>
          <w:sz w:val="18"/>
          <w:szCs w:val="18"/>
        </w:rPr>
        <w:t>- Instituto de Humanidades e Saúde/IHS - Av. Jane Maria Martins Figueira, 1401, Jardim Mariléa, Rio das Ostras, RJ</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do preço global fixado para cada equipamento ou item, formado por vários subitens</w:t>
      </w:r>
      <w:r>
        <w:rPr>
          <w:rFonts w:ascii="Verdana" w:hAnsi="Verdana" w:cs="Arial"/>
          <w:b/>
          <w:szCs w:val="20"/>
        </w:rPr>
        <w:t>,</w:t>
      </w:r>
      <w:r>
        <w:rPr>
          <w:rFonts w:ascii="Verdana" w:hAnsi="Verdana" w:cs="Arial"/>
          <w:szCs w:val="20"/>
        </w:rPr>
        <w:t xml:space="preserve"> conforme planilhas de custos e formação de preços constantes nos Anexos III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cada equipamento ou item, dos subitens de serviços dos orçamentos estimados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 de cada equipamento.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das planilhas contidas nos Anexos III.</w:t>
      </w:r>
    </w:p>
    <w:p>
      <w:pPr>
        <w:pStyle w:val="73"/>
        <w:keepNext w:val="0"/>
        <w:widowControl/>
        <w:numPr>
          <w:ilvl w:val="1"/>
          <w:numId w:val="3"/>
        </w:numPr>
        <w:shd w:val="clear" w:color="auto" w:fill="auto"/>
        <w:spacing w:before="120" w:after="120"/>
        <w:rPr>
          <w:rFonts w:ascii="Verdana" w:hAnsi="Verdana" w:cs="Arial"/>
          <w:b/>
          <w:bCs/>
          <w:szCs w:val="20"/>
        </w:rPr>
      </w:pPr>
      <w:r>
        <w:rPr>
          <w:rFonts w:ascii="Verdana" w:hAnsi="Verdana" w:cs="Arial"/>
          <w:szCs w:val="20"/>
        </w:rPr>
        <w:t xml:space="preserve">O licitante será contratado para efetuar os serviços de todos os itens contido no orçamento de cada equipamento, </w:t>
      </w:r>
      <w:r>
        <w:rPr>
          <w:rFonts w:ascii="Verdana" w:hAnsi="Verdana" w:cs="Arial"/>
          <w:b/>
          <w:bCs/>
          <w:szCs w:val="20"/>
        </w:rPr>
        <w:t>podendo haver, portanto, um vencedor para cada equipamento.</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pacing w:before="120" w:after="120"/>
        <w:rPr>
          <w:rFonts w:ascii="Verdana" w:hAnsi="Verdana" w:cs="Arial"/>
          <w:szCs w:val="20"/>
          <w:highlight w:val="none"/>
        </w:rPr>
      </w:pPr>
      <w:bookmarkStart w:id="2" w:name="_Hlk97023241"/>
      <w:r>
        <w:rPr>
          <w:rFonts w:ascii="Verdana" w:hAnsi="Verdana" w:cs="Arial"/>
          <w:szCs w:val="20"/>
          <w:highlight w:val="none"/>
        </w:rPr>
        <w:t xml:space="preserve">As despesas para atender a esta licitação estão programadas em dotação orçamentária própria, </w:t>
      </w:r>
      <w:r>
        <w:rPr>
          <w:rFonts w:ascii="Verdana" w:hAnsi="Verdana" w:cs="Arial"/>
          <w:color w:val="000000"/>
          <w:szCs w:val="20"/>
          <w:highlight w:val="none"/>
        </w:rPr>
        <w:t xml:space="preserve">prevista no orçamento da União para o exercício de </w:t>
      </w:r>
      <w:r>
        <w:rPr>
          <w:rFonts w:ascii="Verdana" w:hAnsi="Verdana" w:cs="Arial"/>
          <w:szCs w:val="20"/>
          <w:highlight w:val="none"/>
        </w:rPr>
        <w:t>20</w:t>
      </w:r>
      <w:r>
        <w:rPr>
          <w:rFonts w:hint="default" w:ascii="Verdana" w:hAnsi="Verdana" w:cs="Arial"/>
          <w:szCs w:val="20"/>
          <w:highlight w:val="none"/>
          <w:lang w:val="pt-BR"/>
        </w:rPr>
        <w:t>22</w:t>
      </w:r>
      <w:r>
        <w:rPr>
          <w:rFonts w:ascii="Verdana" w:hAnsi="Verdana" w:cs="Arial"/>
          <w:szCs w:val="20"/>
          <w:highlight w:val="none"/>
        </w:rPr>
        <w:t>,</w:t>
      </w:r>
      <w:r>
        <w:rPr>
          <w:rFonts w:ascii="Verdana" w:hAnsi="Verdana" w:cs="Arial"/>
          <w:color w:val="000000"/>
          <w:szCs w:val="20"/>
          <w:highlight w:val="none"/>
        </w:rPr>
        <w:t xml:space="preserve"> na classificação abaixo:</w:t>
      </w:r>
    </w:p>
    <w:p>
      <w:pPr>
        <w:pStyle w:val="73"/>
        <w:keepNext w:val="0"/>
        <w:widowControl/>
        <w:spacing w:before="120" w:after="120"/>
        <w:ind w:left="1418" w:hanging="284"/>
        <w:rPr>
          <w:rFonts w:hint="default" w:ascii="Verdana" w:hAnsi="Verdana" w:cs="Arial"/>
          <w:szCs w:val="20"/>
          <w:highlight w:val="none"/>
          <w:lang w:val="pt-BR"/>
        </w:rPr>
      </w:pPr>
      <w:r>
        <w:rPr>
          <w:rFonts w:ascii="Verdana" w:hAnsi="Verdana" w:cs="Arial"/>
          <w:color w:val="000000"/>
          <w:szCs w:val="20"/>
          <w:highlight w:val="none"/>
          <w:lang w:eastAsia="en-US"/>
        </w:rPr>
        <w:t>Gestão/Unidade:</w:t>
      </w:r>
      <w:r>
        <w:rPr>
          <w:rFonts w:hint="default" w:ascii="Verdana" w:hAnsi="Verdana" w:cs="Arial"/>
          <w:color w:val="000000"/>
          <w:szCs w:val="20"/>
          <w:highlight w:val="none"/>
          <w:lang w:val="pt-BR" w:eastAsia="en-US"/>
        </w:rPr>
        <w:t xml:space="preserve"> 150182</w:t>
      </w:r>
    </w:p>
    <w:p>
      <w:pPr>
        <w:pStyle w:val="73"/>
        <w:keepNext w:val="0"/>
        <w:widowControl/>
        <w:spacing w:before="120" w:after="120"/>
        <w:ind w:left="1418" w:hanging="284"/>
        <w:rPr>
          <w:rFonts w:hint="default" w:ascii="Verdana" w:hAnsi="Verdana" w:cs="Arial"/>
          <w:szCs w:val="20"/>
          <w:highlight w:val="none"/>
          <w:lang w:val="pt-BR"/>
        </w:rPr>
      </w:pPr>
      <w:r>
        <w:rPr>
          <w:rFonts w:ascii="Verdana" w:hAnsi="Verdana" w:cs="Arial"/>
          <w:color w:val="000000"/>
          <w:szCs w:val="20"/>
          <w:highlight w:val="none"/>
          <w:lang w:eastAsia="en-US"/>
        </w:rPr>
        <w:t>Fonte:</w:t>
      </w:r>
      <w:r>
        <w:rPr>
          <w:rFonts w:hint="default" w:ascii="Verdana" w:hAnsi="Verdana" w:cs="Arial"/>
          <w:color w:val="000000"/>
          <w:szCs w:val="20"/>
          <w:highlight w:val="none"/>
          <w:lang w:val="pt-BR" w:eastAsia="en-US"/>
        </w:rPr>
        <w:t xml:space="preserve"> 8100</w:t>
      </w:r>
    </w:p>
    <w:p>
      <w:pPr>
        <w:pStyle w:val="73"/>
        <w:keepNext w:val="0"/>
        <w:widowControl/>
        <w:spacing w:before="120" w:after="120"/>
        <w:ind w:left="1418" w:hanging="284"/>
        <w:rPr>
          <w:rFonts w:hint="default" w:ascii="Verdana" w:hAnsi="Verdana" w:cs="Arial"/>
          <w:szCs w:val="20"/>
          <w:highlight w:val="none"/>
          <w:lang w:val="pt-BR"/>
        </w:rPr>
      </w:pPr>
      <w:r>
        <w:rPr>
          <w:rFonts w:ascii="Verdana" w:hAnsi="Verdana" w:cs="Arial"/>
          <w:color w:val="000000"/>
          <w:szCs w:val="20"/>
          <w:highlight w:val="none"/>
          <w:lang w:eastAsia="en-US"/>
        </w:rPr>
        <w:t>Programa de Trabalho:</w:t>
      </w:r>
      <w:r>
        <w:rPr>
          <w:rFonts w:hint="default" w:ascii="Verdana" w:hAnsi="Verdana" w:cs="Arial"/>
          <w:color w:val="000000"/>
          <w:szCs w:val="20"/>
          <w:highlight w:val="none"/>
          <w:lang w:val="pt-BR" w:eastAsia="en-US"/>
        </w:rPr>
        <w:t xml:space="preserve"> 169647</w:t>
      </w:r>
    </w:p>
    <w:p>
      <w:pPr>
        <w:pStyle w:val="73"/>
        <w:keepNext w:val="0"/>
        <w:widowControl/>
        <w:spacing w:before="120" w:after="120"/>
        <w:ind w:left="1418" w:hanging="284"/>
        <w:rPr>
          <w:rFonts w:hint="default" w:ascii="Verdana" w:hAnsi="Verdana" w:cs="Arial"/>
          <w:szCs w:val="20"/>
          <w:highlight w:val="none"/>
          <w:lang w:val="pt-BR"/>
        </w:rPr>
      </w:pPr>
      <w:r>
        <w:rPr>
          <w:rFonts w:ascii="Verdana" w:hAnsi="Verdana" w:cs="Arial"/>
          <w:color w:val="000000"/>
          <w:szCs w:val="20"/>
          <w:highlight w:val="none"/>
          <w:lang w:eastAsia="en-US"/>
        </w:rPr>
        <w:t>Elemento de Despesa:</w:t>
      </w:r>
      <w:r>
        <w:rPr>
          <w:rFonts w:hint="default" w:ascii="Verdana" w:hAnsi="Verdana" w:cs="Arial"/>
          <w:color w:val="000000"/>
          <w:szCs w:val="20"/>
          <w:highlight w:val="none"/>
          <w:lang w:val="pt-BR" w:eastAsia="en-US"/>
        </w:rPr>
        <w:t xml:space="preserve"> 449052</w:t>
      </w:r>
    </w:p>
    <w:p>
      <w:pPr>
        <w:pStyle w:val="73"/>
        <w:keepNext w:val="0"/>
        <w:widowControl/>
        <w:shd w:val="clear" w:color="auto" w:fill="auto"/>
        <w:spacing w:before="120" w:after="120"/>
        <w:ind w:left="785" w:firstLine="349"/>
        <w:rPr>
          <w:rFonts w:hint="default" w:ascii="Verdana" w:hAnsi="Verdana" w:cs="Arial"/>
          <w:szCs w:val="20"/>
          <w:highlight w:val="none"/>
          <w:lang w:val="pt-BR"/>
        </w:rPr>
      </w:pPr>
      <w:r>
        <w:rPr>
          <w:rFonts w:ascii="Verdana" w:hAnsi="Verdana" w:cs="Arial"/>
          <w:color w:val="000000"/>
          <w:szCs w:val="20"/>
          <w:highlight w:val="none"/>
          <w:lang w:eastAsia="en-US"/>
        </w:rPr>
        <w:t>PI:</w:t>
      </w:r>
      <w:r>
        <w:rPr>
          <w:rFonts w:hint="default" w:ascii="Verdana" w:hAnsi="Verdana" w:cs="Arial"/>
          <w:color w:val="000000"/>
          <w:szCs w:val="20"/>
          <w:highlight w:val="none"/>
          <w:lang w:val="pt-BR" w:eastAsia="en-US"/>
        </w:rPr>
        <w:t>M 20RK N 01 01 N</w:t>
      </w:r>
    </w:p>
    <w:bookmarkEnd w:id="2"/>
    <w:p>
      <w:pPr>
        <w:pStyle w:val="73"/>
        <w:keepNext w:val="0"/>
        <w:widowControl/>
        <w:shd w:val="clear" w:color="auto" w:fill="auto"/>
        <w:spacing w:before="120" w:after="120"/>
        <w:ind w:left="2919" w:firstLine="626"/>
        <w:rPr>
          <w:rFonts w:ascii="Verdana" w:hAnsi="Verdana" w:cs="Arial"/>
          <w:b/>
          <w:bCs/>
          <w:szCs w:val="20"/>
          <w:u w:val="single"/>
        </w:rPr>
      </w:pP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b/>
          <w:bCs/>
          <w:sz w:val="20"/>
          <w:szCs w:val="20"/>
          <w:highlight w:val="yellow"/>
        </w:rPr>
      </w:pPr>
      <w:r>
        <w:rPr>
          <w:rFonts w:ascii="Verdana" w:hAnsi="Verdana" w:cs="TTE4E87780t00"/>
          <w:b/>
          <w:bCs/>
          <w:sz w:val="20"/>
          <w:szCs w:val="20"/>
          <w:highlight w:val="yellow"/>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pPr>
        <w:pStyle w:val="64"/>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Prazo de execução dos serviços, de acordo com o contido no Termo de Referência; </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nome e número do seu CREA/CAU/CRT e pelo representante legal da empresa, identificado pelo seu nome, CPF e com carimbo do CNPJ, no formato PDF;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bCs/>
          <w:sz w:val="18"/>
          <w:szCs w:val="18"/>
        </w:rPr>
        <w:t xml:space="preserve">- </w:t>
      </w: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Todos os dados informados pelo licitante em sua planilha deverão refletir com fidelidade os custos especificados e a margem de lucro pretendida;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Não se admitirá, na proposta de preços, custos identificados mediante o uso da expressão “verba” ou de unidades genéricas.</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III-A, onde será demonstrado, inclusive os preços orçados pela UFF;</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highlight w:val="yellow"/>
        </w:rPr>
      </w:pPr>
      <w:r>
        <w:rPr>
          <w:rFonts w:ascii="Verdana" w:hAnsi="Verdana" w:cs="Arial"/>
          <w:sz w:val="18"/>
          <w:szCs w:val="18"/>
          <w:highlight w:val="yellow"/>
        </w:rPr>
        <w:t xml:space="preserve">– </w:t>
      </w:r>
      <w:r>
        <w:rPr>
          <w:rFonts w:ascii="Verdana" w:hAnsi="Verdana" w:cs="Arial"/>
          <w:b/>
          <w:bCs/>
          <w:sz w:val="18"/>
          <w:szCs w:val="18"/>
          <w:highlight w:val="yellow"/>
          <w:u w:val="single"/>
        </w:rPr>
        <w:t>Planilhas demonstrativas dos cálculos dos encargos sociais</w:t>
      </w:r>
      <w:r>
        <w:rPr>
          <w:rFonts w:ascii="Verdana" w:hAnsi="Verdana" w:cs="Arial"/>
          <w:sz w:val="18"/>
          <w:szCs w:val="18"/>
          <w:highlight w:val="yellow"/>
        </w:rPr>
        <w:t>, aplicados na composição dos preços unitários, conforme modelos dos Anexos V;</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highlight w:val="yellow"/>
        </w:rPr>
      </w:pPr>
      <w:r>
        <w:rPr>
          <w:rStyle w:val="61"/>
          <w:rFonts w:ascii="Verdana" w:hAnsi="Verdana"/>
          <w:color w:val="000000" w:themeColor="text1"/>
          <w:sz w:val="18"/>
          <w:szCs w:val="18"/>
          <w:highlight w:val="yellow"/>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Fonts w:ascii="Verdana" w:hAnsi="Verdana" w:cs="Times-Roman"/>
          <w:sz w:val="18"/>
          <w:szCs w:val="18"/>
          <w:highlight w:val="yellow"/>
        </w:rPr>
        <w:t xml:space="preserve">– </w:t>
      </w:r>
      <w:r>
        <w:rPr>
          <w:rFonts w:ascii="Verdana" w:hAnsi="Verdana" w:cs="Times-Roman"/>
          <w:sz w:val="16"/>
          <w:szCs w:val="16"/>
          <w:highlight w:val="yellow"/>
        </w:rPr>
        <w:t xml:space="preserve">Observação: De acordo com as orientações emanadas do TCU, </w:t>
      </w:r>
      <w:r>
        <w:rPr>
          <w:rFonts w:ascii="Verdana" w:hAnsi="Verdana" w:cs="Arial"/>
          <w:i/>
          <w:iCs/>
          <w:sz w:val="16"/>
          <w:szCs w:val="16"/>
          <w:highlight w:val="yellow"/>
          <w:u w:val="single"/>
        </w:rPr>
        <w:t>quando se utiliza o SINAPI ou SICRO para a orçamentação da obra,</w:t>
      </w:r>
      <w:r>
        <w:rPr>
          <w:rFonts w:ascii="Verdana" w:hAnsi="Verdana" w:cs="Arial"/>
          <w:sz w:val="16"/>
          <w:szCs w:val="16"/>
          <w:highlight w:val="yellow"/>
        </w:rPr>
        <w:t xml:space="preserve"> não há necessidade de demonstrar as parcelas de cálculo dos encargos sociais, pois estas já fazem parte do cálculo dos seus custos unitários; é importante salientar, </w:t>
      </w:r>
      <w:r>
        <w:rPr>
          <w:rFonts w:ascii="Verdana" w:hAnsi="Verdana" w:eastAsia="TimesNewRoman" w:cs="TimesNewRoman"/>
          <w:sz w:val="16"/>
          <w:szCs w:val="16"/>
          <w:highlight w:val="yellow"/>
        </w:rPr>
        <w:t>que os relatórios obtidos em sistemas referenciais de custos e em publicações técnicas especializadas devem ser arquivados nos autos da licitação. Portanto, considerando que o presente orçamento utilizou como base os custos unitários divulgados pelo SINAPI, deixa-se de solicitar a apresentação da planilha demonstrativa de encargos sociais das licitantes. (</w:t>
      </w:r>
      <w:r>
        <w:rPr>
          <w:rFonts w:ascii="Verdana" w:hAnsi="Verdana" w:cs="Arial"/>
          <w:sz w:val="16"/>
          <w:szCs w:val="16"/>
          <w:highlight w:val="yellow"/>
        </w:rPr>
        <w:t>pág. 95/96</w:t>
      </w:r>
      <w:r>
        <w:rPr>
          <w:rFonts w:ascii="Verdana" w:hAnsi="Verdana" w:eastAsia="TimesNewRoman" w:cs="TimesNewRoman"/>
          <w:sz w:val="16"/>
          <w:szCs w:val="16"/>
          <w:highlight w:val="yellow"/>
        </w:rPr>
        <w:t xml:space="preserve"> - “Orientações para E</w:t>
      </w:r>
      <w:r>
        <w:rPr>
          <w:rFonts w:ascii="Verdana" w:hAnsi="Verdana" w:cs="Arial"/>
          <w:sz w:val="16"/>
          <w:szCs w:val="16"/>
          <w:highlight w:val="yellow"/>
        </w:rPr>
        <w:t>laboração de Planilhas Orçamentárias de Obras Públicas” – TCU – 2014)</w:t>
      </w:r>
    </w:p>
    <w:p>
      <w:pPr>
        <w:pStyle w:val="73"/>
        <w:keepNext w:val="0"/>
        <w:widowControl/>
        <w:numPr>
          <w:ilvl w:val="1"/>
          <w:numId w:val="7"/>
        </w:numPr>
        <w:spacing w:before="120" w:after="120"/>
        <w:textAlignment w:val="auto"/>
        <w:rPr>
          <w:rStyle w:val="61"/>
          <w:rFonts w:ascii="Verdana" w:hAnsi="Verdana" w:eastAsia="Ecofont_Spranq_eco_Sans,Lohit H"/>
          <w:color w:val="auto"/>
          <w:szCs w:val="20"/>
        </w:rPr>
      </w:pPr>
      <w:r>
        <w:rPr>
          <w:rFonts w:ascii="Verdana" w:hAnsi="Verdana" w:cs="Arial"/>
          <w:szCs w:val="20"/>
        </w:rPr>
        <w:t xml:space="preserve"> 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7"/>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7"/>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7"/>
        </w:numPr>
        <w:spacing w:before="120" w:after="120"/>
        <w:textAlignment w:val="auto"/>
        <w:rPr>
          <w:rFonts w:ascii="Verdana" w:hAnsi="Verdana" w:cs="Arial"/>
          <w:szCs w:val="20"/>
          <w:highlight w:val="none"/>
          <w:lang w:eastAsia="ar-SA"/>
        </w:rPr>
      </w:pPr>
      <w:r>
        <w:rPr>
          <w:rFonts w:ascii="Verdana" w:hAnsi="Verdana" w:cs="Times-Bold"/>
          <w:bCs/>
          <w:szCs w:val="20"/>
          <w:highlight w:val="none"/>
        </w:rPr>
        <w:t xml:space="preserve">– </w:t>
      </w:r>
      <w:r>
        <w:rPr>
          <w:rFonts w:ascii="Verdana" w:hAnsi="Verdana" w:cs="Calibri" w:eastAsiaTheme="minorHAnsi"/>
          <w:szCs w:val="20"/>
          <w:highlight w:val="none"/>
          <w:lang w:eastAsia="en-US"/>
        </w:rPr>
        <w:t>Os critérios de qualificação técnica a serem atendidos pela Licitante, estão previstos no subitem 19.3</w:t>
      </w:r>
      <w:r>
        <w:rPr>
          <w:rFonts w:hint="default" w:ascii="Verdana" w:hAnsi="Verdana" w:cs="Calibri" w:eastAsiaTheme="minorHAnsi"/>
          <w:szCs w:val="20"/>
          <w:highlight w:val="none"/>
          <w:lang w:val="pt-BR" w:eastAsia="en-US"/>
        </w:rPr>
        <w:t xml:space="preserve"> e 19.4</w:t>
      </w:r>
      <w:r>
        <w:rPr>
          <w:rFonts w:ascii="Verdana" w:hAnsi="Verdana" w:cs="Calibri" w:eastAsiaTheme="minorHAnsi"/>
          <w:szCs w:val="20"/>
          <w:highlight w:val="none"/>
          <w:lang w:eastAsia="en-US"/>
        </w:rPr>
        <w:t xml:space="preserve"> do Termo de Referência (Anexo I).</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7"/>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7"/>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3"/>
          <w:numId w:val="7"/>
        </w:numPr>
        <w:spacing w:before="120" w:after="120"/>
        <w:textAlignment w:val="auto"/>
        <w:rPr>
          <w:rFonts w:ascii="Verdana" w:hAnsi="Verdana" w:cs="Arial"/>
          <w:sz w:val="18"/>
          <w:szCs w:val="18"/>
          <w:highlight w:val="none"/>
          <w:lang w:eastAsia="ar-SA"/>
        </w:rPr>
      </w:pPr>
      <w:r>
        <w:rPr>
          <w:rFonts w:ascii="Verdana" w:hAnsi="Verdana" w:cs="Arial"/>
          <w:sz w:val="18"/>
          <w:szCs w:val="18"/>
          <w:highlight w:val="none"/>
        </w:rPr>
        <w:t xml:space="preserve">– a planilha de encargos sociais, em conformidade também com o Anexo V deste edital; </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7"/>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73"/>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1"/>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1"/>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1"/>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2"/>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2"/>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2"/>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fldChar w:fldCharType="begin"/>
      </w:r>
      <w:r>
        <w:instrText xml:space="preserve"> HYPERLINK "mailto:cpl@id.uff.br" </w:instrText>
      </w:r>
      <w:r>
        <w:fldChar w:fldCharType="separate"/>
      </w:r>
      <w:r>
        <w:rPr>
          <w:rStyle w:val="10"/>
          <w:rFonts w:ascii="Verdana" w:hAnsi="Verdana" w:eastAsia="Times New Roman" w:cs="Arial"/>
          <w:szCs w:val="20"/>
        </w:rPr>
        <w:t>cpl@id.uff.br</w:t>
      </w:r>
      <w:r>
        <w:rPr>
          <w:rStyle w:val="10"/>
          <w:rFonts w:ascii="Verdana" w:hAnsi="Verdana" w:eastAsia="Times New Roman" w:cs="Arial"/>
          <w:szCs w:val="20"/>
        </w:rPr>
        <w:fldChar w:fldCharType="end"/>
      </w:r>
      <w:r>
        <w:rPr>
          <w:rFonts w:ascii="Verdana" w:hAnsi="Verdana" w:eastAsia="Times New Roman" w:cs="Arial"/>
          <w:szCs w:val="20"/>
        </w:rPr>
        <w:t>. ,</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2"/>
        </w:numPr>
        <w:spacing w:before="120" w:after="120"/>
        <w:ind w:left="851" w:hanging="425"/>
        <w:rPr>
          <w:rFonts w:ascii="Verdana" w:hAnsi="Verdana" w:cs="Arial"/>
          <w:szCs w:val="20"/>
        </w:rPr>
      </w:pPr>
      <w:bookmarkStart w:id="9" w:name="_Hlk109901663"/>
      <w:r>
        <w:rPr>
          <w:rFonts w:ascii="Verdana" w:hAnsi="Verdana"/>
          <w:color w:val="000000"/>
          <w:shd w:val="clear" w:color="auto" w:fill="FFFFFF"/>
        </w:rPr>
        <w:t xml:space="preserve">O Edital está disponibilizado, na íntegra, no endereço eletrônico </w:t>
      </w:r>
      <w:r>
        <w:rPr>
          <w:rStyle w:val="10"/>
          <w:rFonts w:ascii="Verdana" w:hAnsi="Verdana"/>
        </w:rPr>
        <w:t>www.gov.br/compras</w:t>
      </w:r>
      <w:r>
        <w:rPr>
          <w:rFonts w:ascii="Verdana" w:hAnsi="Verdana"/>
          <w:color w:val="00000A"/>
          <w:shd w:val="clear" w:color="auto" w:fill="FFFFFF"/>
        </w:rPr>
        <w:t> ou </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&gt;.</w:t>
      </w:r>
      <w:bookmarkEnd w:id="9"/>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I – Termo de Referência;</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 xml:space="preserve">Anexo II – </w:t>
      </w:r>
      <w:r>
        <w:rPr>
          <w:rFonts w:hint="default" w:ascii="Verdana" w:hAnsi="Verdana" w:cs="Arial"/>
          <w:color w:val="000000"/>
          <w:sz w:val="18"/>
          <w:szCs w:val="18"/>
          <w:highlight w:val="none"/>
          <w:lang w:val="pt-BR"/>
        </w:rPr>
        <w:t>Memorial Descritivo</w:t>
      </w:r>
      <w:r>
        <w:rPr>
          <w:rFonts w:ascii="Verdana" w:hAnsi="Verdana" w:cs="Arial"/>
          <w:color w:val="000000"/>
          <w:sz w:val="18"/>
          <w:szCs w:val="18"/>
          <w:highlight w:val="none"/>
        </w:rPr>
        <w:t>;</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III-A</w:t>
      </w:r>
      <w:r>
        <w:rPr>
          <w:rFonts w:hint="default" w:ascii="Verdana" w:hAnsi="Verdana" w:cs="Arial"/>
          <w:color w:val="000000"/>
          <w:sz w:val="18"/>
          <w:szCs w:val="18"/>
          <w:highlight w:val="none"/>
          <w:lang w:val="pt-BR"/>
        </w:rPr>
        <w:t xml:space="preserve">,B,C </w:t>
      </w:r>
      <w:r>
        <w:rPr>
          <w:rFonts w:hint="default" w:ascii="Verdana" w:hAnsi="Verdana" w:cs="Arial"/>
          <w:b/>
          <w:bCs/>
          <w:color w:val="000000"/>
          <w:sz w:val="18"/>
          <w:szCs w:val="18"/>
          <w:highlight w:val="none"/>
          <w:lang w:val="pt-BR"/>
        </w:rPr>
        <w:t>ITEM 01</w:t>
      </w:r>
      <w:r>
        <w:rPr>
          <w:rFonts w:ascii="Verdana" w:hAnsi="Verdana" w:cs="Arial"/>
          <w:b/>
          <w:bCs/>
          <w:color w:val="000000"/>
          <w:sz w:val="18"/>
          <w:szCs w:val="18"/>
          <w:highlight w:val="none"/>
        </w:rPr>
        <w:t xml:space="preserve"> </w:t>
      </w:r>
      <w:r>
        <w:rPr>
          <w:rFonts w:hint="default" w:ascii="Verdana" w:hAnsi="Verdana" w:cs="Arial"/>
          <w:b/>
          <w:bCs/>
          <w:color w:val="000000"/>
          <w:sz w:val="18"/>
          <w:szCs w:val="18"/>
          <w:highlight w:val="none"/>
          <w:lang w:val="pt-BR"/>
        </w:rPr>
        <w:t>(ICT)</w:t>
      </w:r>
      <w:r>
        <w:rPr>
          <w:rFonts w:ascii="Verdana" w:hAnsi="Verdana" w:cs="Arial"/>
          <w:color w:val="000000"/>
          <w:sz w:val="18"/>
          <w:szCs w:val="18"/>
          <w:highlight w:val="none"/>
        </w:rPr>
        <w:t>– Planilha Resumo do Orçamento</w:t>
      </w:r>
      <w:r>
        <w:rPr>
          <w:rFonts w:hint="default" w:ascii="Verdana" w:hAnsi="Verdana" w:cs="Arial"/>
          <w:color w:val="000000"/>
          <w:sz w:val="18"/>
          <w:szCs w:val="18"/>
          <w:highlight w:val="none"/>
          <w:lang w:val="pt-BR"/>
        </w:rPr>
        <w:t xml:space="preserve">, </w:t>
      </w:r>
      <w:r>
        <w:rPr>
          <w:rFonts w:ascii="Verdana" w:hAnsi="Verdana" w:cs="Arial"/>
          <w:color w:val="000000"/>
          <w:sz w:val="18"/>
          <w:szCs w:val="18"/>
          <w:highlight w:val="none"/>
        </w:rPr>
        <w:t>Planilha de Orçamento</w:t>
      </w:r>
      <w:r>
        <w:rPr>
          <w:rFonts w:hint="default" w:ascii="Verdana" w:hAnsi="Verdana" w:cs="Arial"/>
          <w:color w:val="000000"/>
          <w:sz w:val="18"/>
          <w:szCs w:val="18"/>
          <w:highlight w:val="none"/>
          <w:lang w:val="pt-BR"/>
        </w:rPr>
        <w:t xml:space="preserve">, </w:t>
      </w:r>
      <w:r>
        <w:rPr>
          <w:rFonts w:ascii="Verdana" w:hAnsi="Verdana" w:cs="Arial"/>
          <w:color w:val="000000"/>
          <w:sz w:val="18"/>
          <w:szCs w:val="18"/>
          <w:highlight w:val="none"/>
        </w:rPr>
        <w:t xml:space="preserve">Cronograma Físico e Financeiro; </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III</w:t>
      </w:r>
      <w:r>
        <w:rPr>
          <w:rFonts w:hint="default" w:ascii="Verdana" w:hAnsi="Verdana" w:cs="Arial"/>
          <w:color w:val="000000"/>
          <w:sz w:val="18"/>
          <w:szCs w:val="18"/>
          <w:highlight w:val="none"/>
          <w:lang w:val="pt-BR"/>
        </w:rPr>
        <w:t xml:space="preserve">-A,B,C </w:t>
      </w:r>
      <w:r>
        <w:rPr>
          <w:rFonts w:hint="default" w:ascii="Verdana" w:hAnsi="Verdana" w:cs="Arial"/>
          <w:b/>
          <w:bCs/>
          <w:color w:val="000000"/>
          <w:sz w:val="18"/>
          <w:szCs w:val="18"/>
          <w:highlight w:val="none"/>
          <w:lang w:val="pt-BR"/>
        </w:rPr>
        <w:t>ITEM 02 (IHS)</w:t>
      </w:r>
      <w:r>
        <w:rPr>
          <w:rFonts w:ascii="Verdana" w:hAnsi="Verdana" w:cs="Arial"/>
          <w:color w:val="000000"/>
          <w:sz w:val="18"/>
          <w:szCs w:val="18"/>
          <w:highlight w:val="none"/>
        </w:rPr>
        <w:t>– Planilha Resumo do Orçamento</w:t>
      </w:r>
      <w:r>
        <w:rPr>
          <w:rFonts w:hint="default" w:ascii="Verdana" w:hAnsi="Verdana" w:cs="Arial"/>
          <w:color w:val="000000"/>
          <w:sz w:val="18"/>
          <w:szCs w:val="18"/>
          <w:highlight w:val="none"/>
          <w:lang w:val="pt-BR"/>
        </w:rPr>
        <w:t xml:space="preserve">, </w:t>
      </w:r>
      <w:r>
        <w:rPr>
          <w:rFonts w:ascii="Verdana" w:hAnsi="Verdana" w:cs="Arial"/>
          <w:color w:val="000000"/>
          <w:sz w:val="18"/>
          <w:szCs w:val="18"/>
          <w:highlight w:val="none"/>
        </w:rPr>
        <w:t>Planilha de Orçamento</w:t>
      </w:r>
      <w:r>
        <w:rPr>
          <w:rFonts w:hint="default" w:ascii="Verdana" w:hAnsi="Verdana" w:cs="Arial"/>
          <w:color w:val="000000"/>
          <w:sz w:val="18"/>
          <w:szCs w:val="18"/>
          <w:highlight w:val="none"/>
          <w:lang w:val="pt-BR"/>
        </w:rPr>
        <w:t xml:space="preserve">, </w:t>
      </w:r>
      <w:r>
        <w:rPr>
          <w:rFonts w:ascii="Verdana" w:hAnsi="Verdana" w:cs="Arial"/>
          <w:color w:val="000000"/>
          <w:sz w:val="18"/>
          <w:szCs w:val="18"/>
          <w:highlight w:val="none"/>
        </w:rPr>
        <w:t>Cronograma Físico e Financeiro- ;</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IV - Modelo de planilha de Composição de BDI;</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V – Modelo de planilha de Composição de Encargos Sociais;</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VI – Modelo da Carta de Apresentação da Proposta;</w:t>
      </w:r>
    </w:p>
    <w:p>
      <w:pPr>
        <w:pStyle w:val="73"/>
        <w:keepNext w:val="0"/>
        <w:numPr>
          <w:ilvl w:val="2"/>
          <w:numId w:val="12"/>
        </w:numPr>
        <w:ind w:left="1134" w:hanging="567"/>
        <w:rPr>
          <w:rFonts w:ascii="Verdana" w:hAnsi="Verdana" w:cs="Arial"/>
          <w:sz w:val="18"/>
          <w:szCs w:val="18"/>
          <w:highlight w:val="none"/>
        </w:rPr>
      </w:pPr>
      <w:r>
        <w:rPr>
          <w:rFonts w:ascii="Verdana" w:hAnsi="Verdana" w:cs="Arial"/>
          <w:color w:val="000000"/>
          <w:sz w:val="18"/>
          <w:szCs w:val="18"/>
          <w:highlight w:val="none"/>
        </w:rPr>
        <w:t>Anexo VII – Modelo de Declaração de Vistoria;</w:t>
      </w:r>
    </w:p>
    <w:p>
      <w:pPr>
        <w:pStyle w:val="73"/>
        <w:keepNext w:val="0"/>
        <w:numPr>
          <w:ilvl w:val="2"/>
          <w:numId w:val="12"/>
        </w:numPr>
        <w:ind w:left="1560" w:hanging="993"/>
        <w:rPr>
          <w:rFonts w:ascii="Verdana" w:hAnsi="Verdana" w:cs="Arial"/>
          <w:sz w:val="18"/>
          <w:szCs w:val="18"/>
          <w:highlight w:val="none"/>
        </w:rPr>
      </w:pPr>
      <w:r>
        <w:rPr>
          <w:rFonts w:ascii="Verdana" w:hAnsi="Verdana" w:cs="Arial"/>
          <w:color w:val="000000"/>
          <w:sz w:val="18"/>
          <w:szCs w:val="18"/>
          <w:highlight w:val="none"/>
        </w:rPr>
        <w:t>Anexo VIII – Modelo de Declaração de não realização de Vistoria;</w:t>
      </w:r>
    </w:p>
    <w:p>
      <w:pPr>
        <w:pStyle w:val="73"/>
        <w:keepNext w:val="0"/>
        <w:numPr>
          <w:ilvl w:val="2"/>
          <w:numId w:val="12"/>
        </w:numPr>
        <w:ind w:left="1560" w:hanging="993"/>
        <w:rPr>
          <w:rFonts w:ascii="Verdana" w:hAnsi="Verdana" w:cs="Arial"/>
          <w:sz w:val="18"/>
          <w:szCs w:val="18"/>
          <w:highlight w:val="none"/>
        </w:rPr>
      </w:pPr>
      <w:r>
        <w:rPr>
          <w:rFonts w:ascii="Verdana" w:hAnsi="Verdana" w:cs="Arial"/>
          <w:color w:val="000000"/>
          <w:sz w:val="18"/>
          <w:szCs w:val="18"/>
          <w:highlight w:val="none"/>
        </w:rPr>
        <w:t>Anexo IX - Modelo de Declaração de Responsabilidade;</w:t>
      </w:r>
      <w:r>
        <w:rPr>
          <w:rFonts w:hint="default" w:ascii="Verdana" w:hAnsi="Verdana" w:cs="Arial"/>
          <w:color w:val="000000"/>
          <w:sz w:val="18"/>
          <w:szCs w:val="18"/>
          <w:highlight w:val="none"/>
          <w:lang w:val="pt-BR"/>
        </w:rPr>
        <w:t xml:space="preserve"> </w:t>
      </w:r>
    </w:p>
    <w:p>
      <w:pPr>
        <w:pStyle w:val="73"/>
        <w:keepNext w:val="0"/>
        <w:numPr>
          <w:ilvl w:val="2"/>
          <w:numId w:val="12"/>
        </w:numPr>
        <w:ind w:left="1560" w:hanging="993"/>
        <w:rPr>
          <w:rFonts w:ascii="Verdana" w:hAnsi="Verdana" w:cs="Arial"/>
          <w:sz w:val="18"/>
          <w:szCs w:val="18"/>
          <w:highlight w:val="none"/>
        </w:rPr>
      </w:pPr>
      <w:r>
        <w:rPr>
          <w:rFonts w:ascii="Verdana" w:hAnsi="Verdana" w:cs="Arial"/>
          <w:color w:val="000000"/>
          <w:sz w:val="18"/>
          <w:szCs w:val="18"/>
          <w:highlight w:val="none"/>
        </w:rPr>
        <w:t>Anexo X - Minuta de Termo de Contrato</w:t>
      </w:r>
      <w:r>
        <w:rPr>
          <w:rFonts w:hint="default" w:ascii="Verdana" w:hAnsi="Verdana" w:cs="Arial"/>
          <w:color w:val="000000"/>
          <w:sz w:val="18"/>
          <w:szCs w:val="18"/>
          <w:highlight w:val="none"/>
          <w:lang w:val="pt-BR"/>
        </w:rPr>
        <w:t>; e</w:t>
      </w:r>
    </w:p>
    <w:p>
      <w:pPr>
        <w:pStyle w:val="73"/>
        <w:keepNext w:val="0"/>
        <w:numPr>
          <w:ilvl w:val="2"/>
          <w:numId w:val="12"/>
        </w:numPr>
        <w:ind w:left="1560" w:hanging="993"/>
        <w:rPr>
          <w:rFonts w:ascii="Verdana" w:hAnsi="Verdana" w:cs="Arial"/>
          <w:sz w:val="18"/>
          <w:szCs w:val="18"/>
          <w:highlight w:val="none"/>
        </w:rPr>
      </w:pPr>
      <w:r>
        <w:rPr>
          <w:rFonts w:hint="default" w:ascii="Verdana" w:hAnsi="Verdana" w:cs="Arial"/>
          <w:color w:val="000000"/>
          <w:sz w:val="18"/>
          <w:szCs w:val="18"/>
          <w:highlight w:val="none"/>
          <w:lang w:val="pt-BR"/>
        </w:rPr>
        <w:t>Anexo XI - Plantas e Desenhos.</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 xml:space="preserve">Niterói, </w:t>
      </w:r>
      <w:r>
        <w:rPr>
          <w:rFonts w:hint="default" w:ascii="Verdana" w:hAnsi="Verdana" w:cs="Arial"/>
          <w:color w:val="000000"/>
          <w:sz w:val="18"/>
          <w:szCs w:val="18"/>
          <w:lang w:val="pt-BR"/>
        </w:rPr>
        <w:t xml:space="preserve">07 de dezembro </w:t>
      </w:r>
      <w:r>
        <w:rPr>
          <w:rFonts w:ascii="Verdana" w:hAnsi="Verdana" w:cs="Arial"/>
          <w:color w:val="000000"/>
          <w:sz w:val="18"/>
          <w:szCs w:val="18"/>
        </w:rPr>
        <w:t>de 202</w:t>
      </w:r>
      <w:r>
        <w:rPr>
          <w:rFonts w:hint="default" w:ascii="Verdana" w:hAnsi="Verdana" w:cs="Arial"/>
          <w:color w:val="000000"/>
          <w:sz w:val="18"/>
          <w:szCs w:val="18"/>
          <w:lang w:val="pt-BR"/>
        </w:rPr>
        <w:t>2</w:t>
      </w:r>
      <w:r>
        <w:rPr>
          <w:rFonts w:ascii="Verdana" w:hAnsi="Verdana" w:cs="Arial"/>
          <w:color w:val="000000"/>
          <w:sz w:val="18"/>
          <w:szCs w:val="18"/>
        </w:rPr>
        <w:t>.</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 xml:space="preserve">ção </w:t>
      </w:r>
      <w:r>
        <w:rPr>
          <w:rFonts w:ascii="Verdana" w:hAnsi="Verdana" w:cs="Arial"/>
          <w:sz w:val="16"/>
          <w:szCs w:val="16"/>
        </w:rPr>
        <w:t>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00" w:usb3="00000000" w:csb0="00000000" w:csb1="00000000"/>
  </w:font>
  <w:font w:name="WenQuanYi Micro Hei">
    <w:altName w:val="SimSun"/>
    <w:panose1 w:val="00000000000000000000"/>
    <w:charset w:val="86"/>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Mangal">
    <w:altName w:val="Segoe Print"/>
    <w:panose1 w:val="00000400000000000000"/>
    <w:charset w:val="00"/>
    <w:family w:val="roman"/>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0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TimesNewRoman">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23069.183923/2022-12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E77A2B"/>
    <w:multiLevelType w:val="multilevel"/>
    <w:tmpl w:val="02E77A2B"/>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2367722C"/>
    <w:multiLevelType w:val="multilevel"/>
    <w:tmpl w:val="2367722C"/>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rFonts w:hint="default"/>
        <w:b/>
        <w:sz w:val="20"/>
        <w:szCs w:val="20"/>
      </w:rPr>
    </w:lvl>
    <w:lvl w:ilvl="1" w:tentative="0">
      <w:start w:val="1"/>
      <w:numFmt w:val="decimal"/>
      <w:lvlText w:val="%1.%2"/>
      <w:lvlJc w:val="left"/>
      <w:pPr>
        <w:ind w:left="785" w:hanging="360"/>
      </w:pPr>
      <w:rPr>
        <w:rFonts w:hint="default"/>
        <w:b w:val="0"/>
        <w:i w:val="0"/>
        <w:color w:val="auto"/>
      </w:rPr>
    </w:lvl>
    <w:lvl w:ilvl="2" w:tentative="0">
      <w:start w:val="1"/>
      <w:numFmt w:val="lowerLetter"/>
      <w:lvlText w:val="%3)"/>
      <w:lvlJc w:val="left"/>
      <w:pPr>
        <w:ind w:left="1353" w:hanging="360"/>
      </w:pPr>
      <w:rPr>
        <w:rFonts w:hint="default"/>
        <w:b w:val="0"/>
        <w:color w:val="auto"/>
      </w:rPr>
    </w:lvl>
    <w:lvl w:ilvl="3" w:tentative="0">
      <w:start w:val="1"/>
      <w:numFmt w:val="decimal"/>
      <w:lvlText w:val="%1.%2.%3.%4"/>
      <w:lvlJc w:val="left"/>
      <w:pPr>
        <w:ind w:left="2847" w:hanging="720"/>
      </w:pPr>
      <w:rPr>
        <w:rFonts w:hint="default"/>
        <w:color w:val="auto"/>
        <w:sz w:val="18"/>
        <w:szCs w:val="18"/>
      </w:rPr>
    </w:lvl>
    <w:lvl w:ilvl="4" w:tentative="0">
      <w:start w:val="1"/>
      <w:numFmt w:val="decimal"/>
      <w:lvlText w:val="%1.%2.%3.%4.%5"/>
      <w:lvlJc w:val="left"/>
      <w:pPr>
        <w:ind w:left="3064" w:hanging="1080"/>
      </w:pPr>
      <w:rPr>
        <w:rFonts w:hint="default"/>
        <w:color w:val="auto"/>
        <w:sz w:val="18"/>
        <w:szCs w:val="18"/>
      </w:rPr>
    </w:lvl>
    <w:lvl w:ilvl="5" w:tentative="0">
      <w:start w:val="1"/>
      <w:numFmt w:val="decimal"/>
      <w:lvlText w:val="%1.%2.%3.%4.%5.%6"/>
      <w:lvlJc w:val="left"/>
      <w:pPr>
        <w:ind w:left="3560" w:hanging="1080"/>
      </w:pPr>
      <w:rPr>
        <w:rFonts w:hint="default"/>
        <w:color w:val="auto"/>
        <w:sz w:val="16"/>
        <w:szCs w:val="16"/>
      </w:rPr>
    </w:lvl>
    <w:lvl w:ilvl="6" w:tentative="0">
      <w:start w:val="1"/>
      <w:numFmt w:val="decimal"/>
      <w:lvlText w:val="%1.%2.%3.%4.%5.%6.%7"/>
      <w:lvlJc w:val="left"/>
      <w:pPr>
        <w:ind w:left="4416" w:hanging="1440"/>
      </w:pPr>
      <w:rPr>
        <w:rFonts w:hint="default"/>
        <w:color w:val="auto"/>
      </w:rPr>
    </w:lvl>
    <w:lvl w:ilvl="7" w:tentative="0">
      <w:start w:val="1"/>
      <w:numFmt w:val="decimal"/>
      <w:lvlText w:val="%1.%2.%3.%4.%5.%6.%7.%8"/>
      <w:lvlJc w:val="left"/>
      <w:pPr>
        <w:ind w:left="4912" w:hanging="1440"/>
      </w:pPr>
      <w:rPr>
        <w:rFonts w:hint="default"/>
        <w:color w:val="auto"/>
      </w:rPr>
    </w:lvl>
    <w:lvl w:ilvl="8" w:tentative="0">
      <w:start w:val="1"/>
      <w:numFmt w:val="decimal"/>
      <w:lvlText w:val="%1.%2.%3.%4.%5.%6.%7.%8.%9"/>
      <w:lvlJc w:val="left"/>
      <w:pPr>
        <w:ind w:left="5768" w:hanging="1800"/>
      </w:pPr>
      <w:rPr>
        <w:rFonts w:hint="default"/>
        <w:color w:val="auto"/>
      </w:rPr>
    </w:lvl>
  </w:abstractNum>
  <w:abstractNum w:abstractNumId="5">
    <w:nsid w:val="43CF13EB"/>
    <w:multiLevelType w:val="multilevel"/>
    <w:tmpl w:val="43CF13EB"/>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9">
    <w:nsid w:val="6F99146E"/>
    <w:multiLevelType w:val="multilevel"/>
    <w:tmpl w:val="6F99146E"/>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0">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7E0E2202"/>
    <w:multiLevelType w:val="multilevel"/>
    <w:tmpl w:val="7E0E2202"/>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num w:numId="1">
    <w:abstractNumId w:val="1"/>
  </w:num>
  <w:num w:numId="2">
    <w:abstractNumId w:val="6"/>
  </w:num>
  <w:num w:numId="3">
    <w:abstractNumId w:val="4"/>
  </w:num>
  <w:num w:numId="4">
    <w:abstractNumId w:val="8"/>
  </w:num>
  <w:num w:numId="5">
    <w:abstractNumId w:val="7"/>
  </w:num>
  <w:num w:numId="6">
    <w:abstractNumId w:val="9"/>
  </w:num>
  <w:num w:numId="7">
    <w:abstractNumId w:val="0"/>
  </w:num>
  <w:num w:numId="8">
    <w:abstractNumId w:val="10"/>
  </w:num>
  <w:num w:numId="9">
    <w:abstractNumId w:val="2"/>
  </w:num>
  <w:num w:numId="10">
    <w:abstractNumId w:val="3"/>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9"/>
  <w:hyphenationZone w:val="425"/>
  <w:characterSpacingControl w:val="doNotCompress"/>
  <w:compat>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701E5"/>
    <w:rsid w:val="001718F3"/>
    <w:rsid w:val="0018292F"/>
    <w:rsid w:val="00186725"/>
    <w:rsid w:val="0019195B"/>
    <w:rsid w:val="00195DD6"/>
    <w:rsid w:val="001A17D2"/>
    <w:rsid w:val="001B64FC"/>
    <w:rsid w:val="001D054A"/>
    <w:rsid w:val="001D2FF2"/>
    <w:rsid w:val="001E00F8"/>
    <w:rsid w:val="001E4BD9"/>
    <w:rsid w:val="001F3184"/>
    <w:rsid w:val="00200969"/>
    <w:rsid w:val="00206B27"/>
    <w:rsid w:val="00214DFA"/>
    <w:rsid w:val="00214ED8"/>
    <w:rsid w:val="00221185"/>
    <w:rsid w:val="00224D9D"/>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5662D"/>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76F9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B7014"/>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3411C"/>
    <w:rsid w:val="00744418"/>
    <w:rsid w:val="00745E4B"/>
    <w:rsid w:val="00752CE2"/>
    <w:rsid w:val="00756237"/>
    <w:rsid w:val="007630D6"/>
    <w:rsid w:val="00763C7B"/>
    <w:rsid w:val="0077342E"/>
    <w:rsid w:val="00774139"/>
    <w:rsid w:val="00776BC4"/>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5A5"/>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B5014"/>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324A"/>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C7F22"/>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10FA"/>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352AE9"/>
    <w:rsid w:val="2DCCFC28"/>
    <w:rsid w:val="2F7EF4F6"/>
    <w:rsid w:val="3172651C"/>
    <w:rsid w:val="31B1403B"/>
    <w:rsid w:val="31D431B3"/>
    <w:rsid w:val="322B78EA"/>
    <w:rsid w:val="32EC8777"/>
    <w:rsid w:val="33EDD487"/>
    <w:rsid w:val="3466878E"/>
    <w:rsid w:val="34E5C65A"/>
    <w:rsid w:val="365304A7"/>
    <w:rsid w:val="39DE6FB2"/>
    <w:rsid w:val="3A612B6C"/>
    <w:rsid w:val="3A73173A"/>
    <w:rsid w:val="3C15D3EA"/>
    <w:rsid w:val="3D5415FC"/>
    <w:rsid w:val="3E85005B"/>
    <w:rsid w:val="3EB07F14"/>
    <w:rsid w:val="4017BF77"/>
    <w:rsid w:val="41994793"/>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WenQuanYi Micro Hei" w:cs="Lohit Hind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uiPriority="0" w:name="Medium Grid 2 Accent 2"/>
  </w:latentStyles>
  <w:style w:type="paragraph" w:default="1" w:styleId="1">
    <w:name w:val="Normal"/>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uiPriority w:val="0"/>
    <w:pPr>
      <w:spacing w:before="60"/>
      <w:jc w:val="center"/>
    </w:pPr>
    <w:rPr>
      <w:sz w:val="36"/>
      <w:szCs w:val="36"/>
    </w:rPr>
  </w:style>
  <w:style w:type="table" w:styleId="23">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uiPriority w:val="0"/>
    <w:rPr>
      <w:rFonts w:ascii="Tahoma" w:hAnsi="Tahoma" w:cs="Tahoma"/>
      <w:sz w:val="16"/>
      <w:szCs w:val="16"/>
    </w:rPr>
  </w:style>
  <w:style w:type="character" w:customStyle="1" w:styleId="25">
    <w:name w:val="Título 2 Char"/>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uiPriority w:val="0"/>
    <w:rPr>
      <w:b/>
    </w:rPr>
  </w:style>
  <w:style w:type="character" w:customStyle="1" w:styleId="36">
    <w:name w:val="ListLabel 2"/>
    <w:qFormat/>
    <w:uiPriority w:val="0"/>
  </w:style>
  <w:style w:type="character" w:customStyle="1" w:styleId="37">
    <w:name w:val="ListLabel 3"/>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uiPriority w:val="0"/>
    <w:rPr>
      <w:color w:val="00000A"/>
    </w:rPr>
  </w:style>
  <w:style w:type="character" w:customStyle="1" w:styleId="44">
    <w:name w:val="ListLabel 10"/>
    <w:qFormat/>
    <w:uiPriority w:val="0"/>
    <w:rPr>
      <w:b/>
    </w:rPr>
  </w:style>
  <w:style w:type="character" w:customStyle="1" w:styleId="45">
    <w:name w:val="ListLabel 11"/>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uiPriority w:val="0"/>
    <w:pPr>
      <w:suppressLineNumbers/>
      <w:pBdr>
        <w:bottom w:val="double" w:color="808080" w:sz="2" w:space="0"/>
      </w:pBdr>
      <w:spacing w:after="283"/>
    </w:pPr>
    <w:rPr>
      <w:sz w:val="12"/>
      <w:szCs w:val="12"/>
    </w:rPr>
  </w:style>
  <w:style w:type="paragraph" w:customStyle="1" w:styleId="75">
    <w:name w:val="Título de tabela"/>
    <w:basedOn w:val="69"/>
    <w:uiPriority w:val="0"/>
    <w:pPr>
      <w:jc w:val="center"/>
    </w:pPr>
    <w:rPr>
      <w:b/>
      <w:bCs/>
    </w:rPr>
  </w:style>
  <w:style w:type="character" w:customStyle="1" w:styleId="76">
    <w:name w:val="Texto de comentário Char"/>
    <w:basedOn w:val="7"/>
    <w:link w:val="13"/>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uiPriority w:val="0"/>
  </w:style>
  <w:style w:type="character" w:customStyle="1" w:styleId="98">
    <w:name w:val="eop"/>
    <w:basedOn w:val="7"/>
    <w:uiPriority w:val="0"/>
  </w:style>
  <w:style w:type="character" w:customStyle="1" w:styleId="99">
    <w:name w:val="spellingerror"/>
    <w:basedOn w:val="7"/>
    <w:uiPriority w:val="0"/>
  </w:style>
  <w:style w:type="paragraph" w:customStyle="1" w:styleId="100">
    <w:name w:val="Citação2"/>
    <w:basedOn w:val="1"/>
    <w:next w:val="1"/>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uiPriority w:val="99"/>
    <w:rPr>
      <w:rFonts w:ascii="Calibri" w:hAnsi="Calibri" w:eastAsiaTheme="minorHAnsi" w:cstheme="minorBidi"/>
      <w:sz w:val="22"/>
      <w:szCs w:val="21"/>
      <w:lang w:eastAsia="en-US" w:bidi="ar-SA"/>
    </w:rPr>
  </w:style>
  <w:style w:type="paragraph" w:customStyle="1" w:styleId="105">
    <w:name w:val="x_western"/>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uiPriority w:val="0"/>
  </w:style>
  <w:style w:type="character" w:customStyle="1" w:styleId="111">
    <w:name w:val="lrzxr"/>
    <w:basedOn w:val="7"/>
    <w:uiPriority w:val="0"/>
  </w:style>
  <w:style w:type="paragraph" w:customStyle="1" w:styleId="112">
    <w:name w:val="Título do Conteúdo"/>
    <w:basedOn w:val="109"/>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FD8ED6-DC5C-4AC2-A75D-A7D1347451F0}">
  <ds:schemaRefs/>
</ds:datastoreItem>
</file>

<file path=customXml/itemProps2.xml><?xml version="1.0" encoding="utf-8"?>
<ds:datastoreItem xmlns:ds="http://schemas.openxmlformats.org/officeDocument/2006/customXml" ds:itemID="{552F9D9B-A10A-4DD0-9B11-62F741C79D1E}">
  <ds:schemaRefs/>
</ds:datastoreItem>
</file>

<file path=customXml/itemProps3.xml><?xml version="1.0" encoding="utf-8"?>
<ds:datastoreItem xmlns:ds="http://schemas.openxmlformats.org/officeDocument/2006/customXml" ds:itemID="{D0FA922B-301D-4229-A9FF-8B2F047859B0}">
  <ds:schemaRefs/>
</ds:datastoreItem>
</file>

<file path=customXml/itemProps4.xml><?xml version="1.0" encoding="utf-8"?>
<ds:datastoreItem xmlns:ds="http://schemas.openxmlformats.org/officeDocument/2006/customXml" ds:itemID="{04619D80-AE0E-4FC5-8646-B7029223346D}">
  <ds:schemaRefs/>
</ds:datastoreItem>
</file>

<file path=docProps/app.xml><?xml version="1.0" encoding="utf-8"?>
<Properties xmlns="http://schemas.openxmlformats.org/officeDocument/2006/extended-properties" xmlns:vt="http://schemas.openxmlformats.org/officeDocument/2006/docPropsVTypes">
  <Template>Normal</Template>
  <Pages>25</Pages>
  <Words>10752</Words>
  <Characters>60475</Characters>
  <Lines>506</Lines>
  <Paragraphs>143</Paragraphs>
  <TotalTime>143</TotalTime>
  <ScaleCrop>false</ScaleCrop>
  <LinksUpToDate>false</LinksUpToDate>
  <CharactersWithSpaces>70869</CharactersWithSpaces>
  <Application>WPS Office_11.2.0.11417_F1E327BC-269C-435d-A152-05C5408002CA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JULY</cp:lastModifiedBy>
  <cp:lastPrinted>2020-05-06T13:48:00Z</cp:lastPrinted>
  <dcterms:modified xsi:type="dcterms:W3CDTF">2022-12-09T13:53:01Z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1046-11.2.0.11417</vt:lpwstr>
  </property>
  <property fmtid="{D5CDD505-2E9C-101B-9397-08002B2CF9AE}" pid="4" name="ICV">
    <vt:lpwstr>0DDEEEA28C8044E38D1CE35A80FC9D0F</vt:lpwstr>
  </property>
</Properties>
</file>