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jc w:val="center"/>
        <w:rPr>
          <w:rFonts w:ascii="Verdana" w:hAnsi="Verdana"/>
          <w:sz w:val="18"/>
          <w:szCs w:val="18"/>
        </w:rPr>
      </w:pPr>
      <w:r>
        <w:rPr>
          <w:rFonts w:ascii="Verdana" w:hAnsi="Verdana"/>
          <w:b/>
          <w:sz w:val="18"/>
          <w:szCs w:val="18"/>
        </w:rPr>
        <w:drawing>
          <wp:anchor distT="0" distB="0" distL="114300" distR="114300" simplePos="0" relativeHeight="251659264" behindDoc="0" locked="0" layoutInCell="1" allowOverlap="1">
            <wp:simplePos x="0" y="0"/>
            <wp:positionH relativeFrom="column">
              <wp:posOffset>2743200</wp:posOffset>
            </wp:positionH>
            <wp:positionV relativeFrom="paragraph">
              <wp:posOffset>114300</wp:posOffset>
            </wp:positionV>
            <wp:extent cx="638175" cy="685800"/>
            <wp:effectExtent l="19050" t="0" r="9525"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5800"/>
                    </a:xfrm>
                    <a:prstGeom prst="rect">
                      <a:avLst/>
                    </a:prstGeom>
                    <a:solidFill>
                      <a:srgbClr val="FFFFFF"/>
                    </a:solidFill>
                    <a:ln w="1">
                      <a:miter lim="800000"/>
                      <a:headEnd/>
                      <a:tailEnd/>
                    </a:ln>
                  </pic:spPr>
                </pic:pic>
              </a:graphicData>
            </a:graphic>
          </wp:anchor>
        </w:drawing>
      </w:r>
    </w:p>
    <w:p>
      <w:pPr>
        <w:spacing w:after="120"/>
        <w:jc w:val="center"/>
        <w:rPr>
          <w:rFonts w:ascii="Verdana" w:hAnsi="Verdana"/>
          <w:sz w:val="18"/>
          <w:szCs w:val="18"/>
        </w:rPr>
      </w:pPr>
    </w:p>
    <w:p>
      <w:pPr>
        <w:tabs>
          <w:tab w:val="clear" w:pos="708"/>
        </w:tabs>
        <w:spacing w:after="120"/>
        <w:jc w:val="center"/>
        <w:rPr>
          <w:rFonts w:ascii="Verdana" w:hAnsi="Verdana"/>
          <w:sz w:val="18"/>
          <w:szCs w:val="18"/>
        </w:rPr>
      </w:pPr>
    </w:p>
    <w:p>
      <w:pPr>
        <w:spacing w:after="120"/>
        <w:jc w:val="center"/>
        <w:rPr>
          <w:rFonts w:ascii="Verdana" w:hAnsi="Verdana"/>
          <w:b/>
          <w:sz w:val="18"/>
          <w:szCs w:val="18"/>
        </w:rPr>
      </w:pPr>
    </w:p>
    <w:p>
      <w:pPr>
        <w:spacing w:after="120"/>
        <w:jc w:val="center"/>
        <w:rPr>
          <w:rFonts w:ascii="Verdana" w:hAnsi="Verdana"/>
          <w:b/>
          <w:sz w:val="18"/>
          <w:szCs w:val="18"/>
        </w:rPr>
      </w:pPr>
      <w:r>
        <w:rPr>
          <w:rFonts w:ascii="Verdana" w:hAnsi="Verdana"/>
          <w:b/>
          <w:sz w:val="18"/>
          <w:szCs w:val="18"/>
        </w:rPr>
        <w:t>SERVIÇO PÚBLICO FEDERAL</w:t>
      </w:r>
    </w:p>
    <w:p>
      <w:pPr>
        <w:spacing w:after="120"/>
        <w:jc w:val="center"/>
        <w:rPr>
          <w:rFonts w:ascii="Verdana" w:hAnsi="Verdana"/>
          <w:b/>
          <w:sz w:val="18"/>
          <w:szCs w:val="18"/>
        </w:rPr>
      </w:pPr>
      <w:r>
        <w:rPr>
          <w:rFonts w:ascii="Verdana" w:hAnsi="Verdana"/>
          <w:b/>
          <w:sz w:val="18"/>
          <w:szCs w:val="18"/>
        </w:rPr>
        <w:t>MINISTÉRIO DA EDUCAÇÃO</w:t>
      </w:r>
    </w:p>
    <w:p>
      <w:pPr>
        <w:spacing w:after="120"/>
        <w:jc w:val="center"/>
        <w:rPr>
          <w:rFonts w:ascii="Verdana" w:hAnsi="Verdana"/>
          <w:b/>
          <w:sz w:val="18"/>
          <w:szCs w:val="18"/>
        </w:rPr>
      </w:pPr>
      <w:r>
        <w:rPr>
          <w:rFonts w:ascii="Verdana" w:hAnsi="Verdana"/>
          <w:b/>
          <w:sz w:val="18"/>
          <w:szCs w:val="18"/>
        </w:rPr>
        <w:t>UNIVERSIDADE FEDERAL FLUMINENSE</w:t>
      </w:r>
    </w:p>
    <w:p>
      <w:pPr>
        <w:spacing w:after="120"/>
        <w:jc w:val="center"/>
        <w:rPr>
          <w:rFonts w:ascii="Verdana" w:hAnsi="Verdana"/>
          <w:sz w:val="18"/>
          <w:szCs w:val="18"/>
        </w:rPr>
      </w:pPr>
      <w:r>
        <w:rPr>
          <w:rFonts w:ascii="Verdana" w:hAnsi="Verdana"/>
          <w:b/>
          <w:sz w:val="18"/>
          <w:szCs w:val="18"/>
        </w:rPr>
        <w:t>PRÓ-REITORIA DE ADMINISTRAÇÃO</w:t>
      </w:r>
    </w:p>
    <w:p>
      <w:pPr>
        <w:pStyle w:val="12"/>
        <w:jc w:val="center"/>
        <w:rPr>
          <w:rFonts w:ascii="Verdana" w:hAnsi="Verdana"/>
          <w:b/>
          <w:sz w:val="18"/>
          <w:szCs w:val="18"/>
        </w:rPr>
      </w:pPr>
      <w:r>
        <w:rPr>
          <w:rFonts w:ascii="Verdana" w:hAnsi="Verdana"/>
          <w:b/>
          <w:sz w:val="18"/>
          <w:szCs w:val="18"/>
        </w:rPr>
        <w:t>COORDENAÇÃO DE LICITAÇÃO</w:t>
      </w:r>
    </w:p>
    <w:p>
      <w:pPr>
        <w:keepNext w:val="0"/>
        <w:spacing w:after="120"/>
        <w:ind w:right="-17"/>
        <w:jc w:val="center"/>
        <w:rPr>
          <w:rFonts w:ascii="Verdana" w:hAnsi="Verdana" w:cs="Arial"/>
          <w:b/>
          <w:bCs/>
          <w:color w:val="000000"/>
          <w:sz w:val="20"/>
          <w:szCs w:val="20"/>
        </w:rPr>
      </w:pPr>
      <w:r>
        <w:rPr>
          <w:rFonts w:ascii="Verdana" w:hAnsi="Verdana"/>
          <w:b/>
          <w:sz w:val="18"/>
          <w:szCs w:val="18"/>
        </w:rPr>
        <w:t>COMISSÃO PERMANENTE DE LICITAÇÃO</w:t>
      </w:r>
      <w:r>
        <w:rPr>
          <w:rFonts w:ascii="Verdana" w:hAnsi="Verdana" w:cs="Arial"/>
          <w:b/>
          <w:bCs/>
          <w:color w:val="000000"/>
          <w:sz w:val="20"/>
          <w:szCs w:val="20"/>
        </w:rPr>
        <w:t xml:space="preserve"> </w:t>
      </w:r>
    </w:p>
    <w:p>
      <w:pPr>
        <w:keepNext w:val="0"/>
        <w:spacing w:after="120"/>
        <w:ind w:right="-17"/>
        <w:jc w:val="center"/>
        <w:rPr>
          <w:rFonts w:ascii="Verdana" w:hAnsi="Verdana" w:cs="Arial"/>
          <w:b/>
          <w:bCs/>
          <w:color w:val="000000"/>
          <w:sz w:val="20"/>
          <w:szCs w:val="20"/>
        </w:rPr>
      </w:pPr>
    </w:p>
    <w:p>
      <w:pPr>
        <w:keepNext w:val="0"/>
        <w:spacing w:after="120"/>
        <w:ind w:right="-17"/>
        <w:jc w:val="center"/>
        <w:rPr>
          <w:rFonts w:hint="default" w:ascii="Verdana" w:hAnsi="Verdana" w:cs="Arial"/>
          <w:b/>
          <w:bCs/>
          <w:color w:val="000000" w:themeColor="text1"/>
          <w:sz w:val="20"/>
          <w:szCs w:val="20"/>
          <w:lang w:val="pt-BR"/>
        </w:rPr>
      </w:pPr>
      <w:r>
        <w:rPr>
          <w:rFonts w:hint="default" w:ascii="Verdana" w:hAnsi="Verdana" w:cs="Arial"/>
          <w:b/>
          <w:bCs/>
          <w:color w:val="FF0000"/>
          <w:sz w:val="20"/>
          <w:szCs w:val="20"/>
          <w:lang w:val="pt-BR"/>
        </w:rPr>
        <w:t xml:space="preserve"> </w:t>
      </w:r>
      <w:r>
        <w:rPr>
          <w:rFonts w:hint="default" w:ascii="Verdana" w:hAnsi="Verdana" w:cs="Arial"/>
          <w:b/>
          <w:bCs/>
          <w:color w:val="000000" w:themeColor="text1"/>
          <w:sz w:val="20"/>
          <w:szCs w:val="20"/>
          <w:lang w:val="pt-BR"/>
        </w:rPr>
        <w:t>EDITAL DE LICITAÇÃO</w:t>
      </w:r>
    </w:p>
    <w:p>
      <w:pPr>
        <w:keepNext w:val="0"/>
        <w:spacing w:after="120"/>
        <w:ind w:right="-17"/>
        <w:jc w:val="center"/>
        <w:rPr>
          <w:rFonts w:ascii="Verdana" w:hAnsi="Verdana" w:cs="Arial"/>
          <w:sz w:val="20"/>
          <w:szCs w:val="20"/>
        </w:rPr>
      </w:pPr>
      <w:r>
        <w:rPr>
          <w:rFonts w:ascii="Verdana" w:hAnsi="Verdana" w:cs="Arial"/>
          <w:b/>
          <w:bCs/>
          <w:color w:val="000000"/>
          <w:sz w:val="20"/>
          <w:szCs w:val="20"/>
        </w:rPr>
        <w:t>PREGÃO ELETRÔNICO Nº 132/2022</w:t>
      </w:r>
    </w:p>
    <w:p>
      <w:pPr>
        <w:keepNext w:val="0"/>
        <w:spacing w:after="120"/>
        <w:ind w:right="-17"/>
        <w:jc w:val="center"/>
        <w:rPr>
          <w:rFonts w:ascii="Verdana" w:hAnsi="Verdana" w:cs="Arial"/>
          <w:sz w:val="20"/>
          <w:szCs w:val="20"/>
        </w:rPr>
      </w:pPr>
      <w:r>
        <w:rPr>
          <w:rFonts w:ascii="Verdana" w:hAnsi="Verdana" w:cs="Arial"/>
          <w:b/>
          <w:bCs/>
          <w:color w:val="000000"/>
          <w:sz w:val="20"/>
          <w:szCs w:val="20"/>
        </w:rPr>
        <w:t>(Processo Administrativo n.º 23069.187005/2022-62)</w:t>
      </w:r>
    </w:p>
    <w:p>
      <w:pPr>
        <w:keepNext w:val="0"/>
        <w:spacing w:after="120" w:line="276" w:lineRule="auto"/>
        <w:ind w:right="-30"/>
        <w:jc w:val="both"/>
        <w:rPr>
          <w:rFonts w:ascii="Verdana" w:hAnsi="Verdana" w:cs="Arial"/>
          <w:sz w:val="20"/>
          <w:szCs w:val="20"/>
        </w:rPr>
      </w:pPr>
    </w:p>
    <w:p>
      <w:pPr>
        <w:snapToGrid w:val="0"/>
        <w:spacing w:after="120" w:line="276" w:lineRule="auto"/>
        <w:ind w:right="-30" w:firstLine="540"/>
        <w:jc w:val="both"/>
        <w:rPr>
          <w:rFonts w:ascii="Verdana" w:hAnsi="Verdana" w:eastAsia="Arial" w:cs="Arial"/>
          <w:i/>
          <w:color w:val="000000" w:themeColor="text1"/>
          <w:sz w:val="20"/>
          <w:szCs w:val="20"/>
        </w:rPr>
      </w:pPr>
      <w:r>
        <w:rPr>
          <w:rFonts w:ascii="Verdana" w:hAnsi="Verdana" w:cs="Arial"/>
          <w:color w:val="000000" w:themeColor="text1"/>
          <w:sz w:val="20"/>
          <w:szCs w:val="20"/>
        </w:rPr>
        <w:t>Torna-se público que a</w:t>
      </w:r>
      <w:r>
        <w:rPr>
          <w:rFonts w:ascii="Verdana" w:hAnsi="Verdana" w:eastAsia="Arial" w:cs="Arial"/>
          <w:color w:val="000000" w:themeColor="text1"/>
          <w:sz w:val="20"/>
          <w:szCs w:val="20"/>
        </w:rPr>
        <w:t xml:space="preserve"> </w:t>
      </w:r>
      <w:r>
        <w:rPr>
          <w:rFonts w:ascii="Verdana" w:hAnsi="Verdana" w:eastAsia="Arial" w:cs="Arial"/>
          <w:color w:val="auto"/>
          <w:sz w:val="20"/>
          <w:szCs w:val="20"/>
        </w:rPr>
        <w:t>Universidade Federal Fluminense</w:t>
      </w:r>
      <w:r>
        <w:rPr>
          <w:rFonts w:ascii="Verdana" w:hAnsi="Verdana" w:cs="Arial"/>
          <w:color w:val="000000" w:themeColor="text1"/>
          <w:sz w:val="20"/>
          <w:szCs w:val="20"/>
        </w:rPr>
        <w:t xml:space="preserve">, </w:t>
      </w:r>
      <w:r>
        <w:rPr>
          <w:rFonts w:ascii="Verdana" w:hAnsi="Verdana"/>
          <w:sz w:val="20"/>
          <w:szCs w:val="20"/>
        </w:rPr>
        <w:t xml:space="preserve">inscrita no CNPJ sob o nº 28.523.215/0001-06, </w:t>
      </w:r>
      <w:r>
        <w:rPr>
          <w:rFonts w:ascii="Verdana" w:hAnsi="Verdana" w:cs="Arial"/>
          <w:color w:val="000000" w:themeColor="text1"/>
          <w:sz w:val="20"/>
          <w:szCs w:val="20"/>
        </w:rPr>
        <w:t>por meio da</w:t>
      </w:r>
      <w:r>
        <w:rPr>
          <w:rFonts w:ascii="Verdana" w:hAnsi="Verdana" w:eastAsia="Arial" w:cs="Arial"/>
          <w:color w:val="000000" w:themeColor="text1"/>
          <w:sz w:val="20"/>
          <w:szCs w:val="20"/>
        </w:rPr>
        <w:t xml:space="preserve"> </w:t>
      </w:r>
      <w:r>
        <w:rPr>
          <w:rFonts w:ascii="Verdana" w:hAnsi="Verdana"/>
          <w:sz w:val="20"/>
          <w:szCs w:val="20"/>
        </w:rPr>
        <w:t xml:space="preserve">sua Comissão de Licitação da Pró-Reitoria de Administração, instituída pela Portaria n.º </w:t>
      </w:r>
      <w:r>
        <w:rPr>
          <w:rFonts w:hint="default" w:ascii="Verdana" w:hAnsi="Verdana"/>
          <w:sz w:val="20"/>
          <w:szCs w:val="20"/>
          <w:lang w:val="pt-BR"/>
        </w:rPr>
        <w:t>68.419</w:t>
      </w:r>
      <w:r>
        <w:rPr>
          <w:rFonts w:ascii="Verdana" w:hAnsi="Verdana"/>
          <w:sz w:val="20"/>
          <w:szCs w:val="20"/>
        </w:rPr>
        <w:t xml:space="preserve"> de </w:t>
      </w:r>
      <w:r>
        <w:rPr>
          <w:rFonts w:hint="default" w:ascii="Verdana" w:hAnsi="Verdana"/>
          <w:sz w:val="20"/>
          <w:szCs w:val="20"/>
          <w:lang w:val="pt-BR"/>
        </w:rPr>
        <w:t>26 de agosto de 2022</w:t>
      </w:r>
      <w:r>
        <w:rPr>
          <w:rFonts w:ascii="Verdana" w:hAnsi="Verdana" w:cs="Arial"/>
          <w:color w:val="000000" w:themeColor="text1"/>
          <w:sz w:val="20"/>
          <w:szCs w:val="20"/>
        </w:rPr>
        <w:t>, sediada</w:t>
      </w:r>
      <w:r>
        <w:rPr>
          <w:rFonts w:ascii="Verdana" w:hAnsi="Verdana" w:eastAsia="Arial" w:cs="Arial"/>
          <w:color w:val="000000" w:themeColor="text1"/>
          <w:sz w:val="20"/>
          <w:szCs w:val="20"/>
        </w:rPr>
        <w:t xml:space="preserve"> </w:t>
      </w:r>
      <w:r>
        <w:rPr>
          <w:rFonts w:ascii="Verdana" w:hAnsi="Verdana"/>
          <w:sz w:val="20"/>
          <w:szCs w:val="20"/>
        </w:rPr>
        <w:t>à Rua Miguel de Frias n.º 9, Icaraí, Niterói – RJ,</w:t>
      </w:r>
      <w:r>
        <w:rPr>
          <w:rFonts w:ascii="Verdana" w:hAnsi="Verdana" w:cs="Arial"/>
          <w:color w:val="000000" w:themeColor="text1"/>
          <w:sz w:val="20"/>
          <w:szCs w:val="20"/>
        </w:rPr>
        <w:t>, realizará licitação,</w:t>
      </w:r>
      <w:r>
        <w:rPr>
          <w:rFonts w:ascii="Verdana" w:hAnsi="Verdana" w:cs="Arial"/>
          <w:i/>
          <w:color w:val="FF0000"/>
          <w:sz w:val="20"/>
          <w:szCs w:val="20"/>
        </w:rPr>
        <w:t xml:space="preserve"> </w:t>
      </w:r>
      <w:r>
        <w:rPr>
          <w:rFonts w:ascii="Verdana" w:hAnsi="Verdana" w:cs="Arial"/>
          <w:color w:val="000000" w:themeColor="text1"/>
          <w:sz w:val="20"/>
          <w:szCs w:val="20"/>
        </w:rPr>
        <w:t xml:space="preserve">na modalidade PREGÃO, na forma ELETRÔNICA, </w:t>
      </w:r>
      <w:r>
        <w:rPr>
          <w:rFonts w:ascii="Verdana" w:hAnsi="Verdana" w:cs="Arial"/>
          <w:b/>
          <w:bCs/>
          <w:color w:val="000000" w:themeColor="text1"/>
          <w:sz w:val="20"/>
          <w:szCs w:val="20"/>
        </w:rPr>
        <w:t>com critério de julgamento de menor preço</w:t>
      </w:r>
      <w:r>
        <w:rPr>
          <w:rFonts w:ascii="Verdana" w:hAnsi="Verdana" w:cs="Arial"/>
          <w:b/>
          <w:bCs/>
          <w:i/>
          <w:color w:val="auto"/>
          <w:sz w:val="20"/>
          <w:szCs w:val="20"/>
        </w:rPr>
        <w:t xml:space="preserve">, </w:t>
      </w:r>
      <w:r>
        <w:rPr>
          <w:rFonts w:ascii="Verdana" w:hAnsi="Verdana" w:cs="Arial"/>
          <w:bCs/>
          <w:sz w:val="20"/>
          <w:szCs w:val="20"/>
        </w:rPr>
        <w:t>sob a forma de execução indireta, no regime de empreitada por</w:t>
      </w:r>
      <w:r>
        <w:rPr>
          <w:rFonts w:ascii="Verdana" w:hAnsi="Verdana" w:cs="Arial"/>
          <w:bCs/>
          <w:color w:val="auto"/>
          <w:sz w:val="20"/>
          <w:szCs w:val="20"/>
        </w:rPr>
        <w:t xml:space="preserve"> </w:t>
      </w:r>
      <w:r>
        <w:rPr>
          <w:rFonts w:ascii="Verdana" w:hAnsi="Verdana" w:cs="Arial"/>
          <w:bCs/>
          <w:i/>
          <w:iCs/>
          <w:color w:val="auto"/>
          <w:sz w:val="20"/>
          <w:szCs w:val="20"/>
        </w:rPr>
        <w:t>preço unitário</w:t>
      </w:r>
      <w:r>
        <w:rPr>
          <w:rFonts w:ascii="Verdana" w:hAnsi="Verdana" w:cs="Arial"/>
          <w:bCs/>
          <w:sz w:val="20"/>
          <w:szCs w:val="20"/>
        </w:rPr>
        <w:t>,</w:t>
      </w:r>
      <w:r>
        <w:rPr>
          <w:rFonts w:ascii="Verdana" w:hAnsi="Verdana" w:cs="Arial"/>
          <w:color w:val="000000" w:themeColor="text1"/>
          <w:sz w:val="20"/>
          <w:szCs w:val="20"/>
        </w:rPr>
        <w:t xml:space="preserve"> nos termos da Lei nº 10.520, de 17 de julho de 2002, do Decreto nº 10.024, de 20 de setembro de 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da Lei nº 11.488, de 15 de junho de 2007, do Decreto n° </w:t>
      </w:r>
      <w:r>
        <w:rPr>
          <w:rFonts w:ascii="Verdana" w:hAnsi="Verdana" w:cs="Arial"/>
          <w:sz w:val="20"/>
          <w:szCs w:val="20"/>
        </w:rPr>
        <w:t>8.538, de 06 de outubro de 2015</w:t>
      </w:r>
      <w:r>
        <w:rPr>
          <w:rFonts w:ascii="Verdana" w:hAnsi="Verdana" w:cs="Arial"/>
          <w:color w:val="000000" w:themeColor="text1"/>
          <w:sz w:val="20"/>
          <w:szCs w:val="20"/>
        </w:rPr>
        <w:t>, aplicando-se, subsidiariamente, a Lei nº 8.666, de 21 de junho de 1993 e as exigências estabelecidas neste Edital</w:t>
      </w:r>
      <w:r>
        <w:rPr>
          <w:rFonts w:ascii="Verdana" w:hAnsi="Verdana" w:cs="Arial"/>
          <w:color w:val="000000"/>
          <w:sz w:val="20"/>
          <w:szCs w:val="20"/>
        </w:rPr>
        <w:t>.</w:t>
      </w:r>
    </w:p>
    <w:p>
      <w:pPr>
        <w:spacing w:line="276" w:lineRule="auto"/>
        <w:jc w:val="both"/>
        <w:rPr>
          <w:rFonts w:ascii="Verdana" w:hAnsi="Verdana" w:cs="Arial"/>
          <w:color w:val="000000" w:themeColor="text1"/>
          <w:sz w:val="20"/>
          <w:szCs w:val="20"/>
        </w:rPr>
      </w:pPr>
    </w:p>
    <w:p>
      <w:pPr>
        <w:pStyle w:val="73"/>
        <w:keepNext w:val="0"/>
        <w:shd w:val="clear" w:color="auto" w:fill="auto"/>
        <w:ind w:firstLine="0"/>
        <w:jc w:val="center"/>
        <w:rPr>
          <w:rFonts w:hint="default" w:ascii="Verdana" w:hAnsi="Verdana" w:cs="Arial"/>
          <w:szCs w:val="20"/>
          <w:lang w:val="pt-BR"/>
        </w:rPr>
      </w:pPr>
      <w:r>
        <w:rPr>
          <w:rFonts w:ascii="Verdana" w:hAnsi="Verdana" w:cs="Arial"/>
          <w:szCs w:val="20"/>
        </w:rPr>
        <w:t xml:space="preserve">Data da sessão: </w:t>
      </w:r>
      <w:r>
        <w:rPr>
          <w:rFonts w:hint="default" w:ascii="Verdana" w:hAnsi="Verdana" w:cs="Arial"/>
          <w:b/>
          <w:bCs/>
          <w:color w:val="000000" w:themeColor="text1"/>
          <w:szCs w:val="20"/>
          <w:lang w:val="pt-BR"/>
        </w:rPr>
        <w:t>06/12/2022</w:t>
      </w:r>
    </w:p>
    <w:p>
      <w:pPr>
        <w:pStyle w:val="73"/>
        <w:keepNext w:val="0"/>
        <w:widowControl/>
        <w:shd w:val="clear" w:color="auto" w:fill="auto"/>
        <w:spacing w:before="120" w:after="120"/>
        <w:ind w:firstLine="0"/>
        <w:jc w:val="center"/>
        <w:rPr>
          <w:rFonts w:hint="default" w:ascii="Verdana" w:hAnsi="Verdana" w:cs="Arial"/>
          <w:szCs w:val="20"/>
          <w:lang w:val="pt-BR"/>
        </w:rPr>
      </w:pPr>
      <w:r>
        <w:rPr>
          <w:rFonts w:ascii="Verdana" w:hAnsi="Verdana" w:cs="Arial"/>
          <w:szCs w:val="20"/>
        </w:rPr>
        <w:t xml:space="preserve">Horário: </w:t>
      </w:r>
      <w:r>
        <w:rPr>
          <w:rFonts w:hint="default" w:ascii="Verdana" w:hAnsi="Verdana" w:cs="Arial"/>
          <w:b/>
          <w:bCs/>
          <w:color w:val="000000" w:themeColor="text1"/>
          <w:szCs w:val="20"/>
          <w:lang w:val="pt-BR"/>
        </w:rPr>
        <w:t>09h</w:t>
      </w:r>
    </w:p>
    <w:p>
      <w:pPr>
        <w:pStyle w:val="73"/>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p>
    <w:p>
      <w:pPr>
        <w:keepNext w:val="0"/>
        <w:shd w:val="clear" w:color="auto" w:fill="auto"/>
        <w:rPr>
          <w:rFonts w:ascii="Verdana" w:hAnsi="Verdana" w:cs="Arial"/>
          <w:sz w:val="20"/>
          <w:szCs w:val="20"/>
        </w:rPr>
      </w:pPr>
    </w:p>
    <w:p>
      <w:pPr>
        <w:pStyle w:val="73"/>
        <w:keepNext w:val="0"/>
        <w:widowControl/>
        <w:numPr>
          <w:ilvl w:val="0"/>
          <w:numId w:val="3"/>
        </w:numPr>
        <w:shd w:val="clear" w:color="auto" w:fill="auto"/>
        <w:spacing w:before="120" w:after="120"/>
        <w:rPr>
          <w:rFonts w:ascii="Verdana" w:hAnsi="Verdana" w:cs="Arial"/>
          <w:szCs w:val="20"/>
        </w:rPr>
      </w:pPr>
      <w:r>
        <w:rPr>
          <w:rFonts w:ascii="Verdana" w:hAnsi="Verdana" w:cs="Arial"/>
          <w:b/>
          <w:bCs/>
          <w:color w:val="000000"/>
          <w:szCs w:val="20"/>
        </w:rPr>
        <w:t>DO OBJETO</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color w:val="000000" w:themeColor="text1"/>
          <w:szCs w:val="20"/>
        </w:rPr>
        <w:t xml:space="preserve">O objeto da presente licitação é a escolha da proposta mais vantajosa para </w:t>
      </w:r>
      <w:r>
        <w:rPr>
          <w:rFonts w:ascii="Verdana" w:hAnsi="Verdana" w:cs="Arial"/>
          <w:szCs w:val="20"/>
        </w:rPr>
        <w:t xml:space="preserve">a </w:t>
      </w:r>
      <w:r>
        <w:rPr>
          <w:rFonts w:ascii="Verdana" w:hAnsi="Verdana" w:cs="Calibri"/>
          <w:bCs/>
          <w:color w:val="000000"/>
          <w:szCs w:val="20"/>
          <w:shd w:val="clear" w:color="auto" w:fill="FFFFFF"/>
        </w:rPr>
        <w:t xml:space="preserve">contratação de </w:t>
      </w:r>
      <w:bookmarkStart w:id="0" w:name="_Hlk85032038"/>
      <w:r>
        <w:rPr>
          <w:rFonts w:ascii="Verdana" w:hAnsi="Verdana" w:cs="Calibri"/>
          <w:bCs/>
          <w:color w:val="000000"/>
          <w:szCs w:val="20"/>
          <w:shd w:val="clear" w:color="auto" w:fill="FFFFFF"/>
        </w:rPr>
        <w:t>execução de serviço de engenharia, para</w:t>
      </w:r>
      <w:bookmarkEnd w:id="0"/>
      <w:r>
        <w:rPr>
          <w:rFonts w:ascii="Verdana" w:hAnsi="Verdana" w:cs="Calibri"/>
          <w:bCs/>
          <w:color w:val="000000"/>
          <w:szCs w:val="20"/>
          <w:shd w:val="clear" w:color="auto" w:fill="FFFFFF"/>
        </w:rPr>
        <w:t xml:space="preserve"> </w:t>
      </w:r>
      <w:r>
        <w:rPr>
          <w:rFonts w:ascii="Verdana" w:hAnsi="Verdana"/>
          <w:szCs w:val="20"/>
        </w:rPr>
        <w:t xml:space="preserve">a conclusão com readequações, da obra inacabada do Módulo de Vivência do Instituto de Ciências Humanas e Filosofia - ICHF/UFF no Campus Universitário do Gragoatá, Niterói, RJ, </w:t>
      </w:r>
      <w:r>
        <w:rPr>
          <w:rFonts w:ascii="Verdana" w:hAnsi="Verdana" w:cs="Arial"/>
          <w:szCs w:val="20"/>
        </w:rPr>
        <w:t>conforme condições, quantidades e exigências estabelecidas neste Edital e seus anexos.</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eastAsia="Calibri" w:cstheme="minorHAnsi"/>
          <w:bCs/>
          <w:sz w:val="18"/>
          <w:szCs w:val="18"/>
        </w:rPr>
        <w:t>Localização da obra: Campus do Gragoatá, na Avenida Visconde do Rio Branco, s/n.º, bairro do Gragoatá, Niterói – RJ.</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A licitação será efetuada a partir de seu preço global fixado, formado por vários itens</w:t>
      </w:r>
      <w:r>
        <w:rPr>
          <w:rFonts w:ascii="Verdana" w:hAnsi="Verdana" w:cs="Arial"/>
          <w:b/>
          <w:szCs w:val="20"/>
        </w:rPr>
        <w:t>,</w:t>
      </w:r>
      <w:r>
        <w:rPr>
          <w:rFonts w:ascii="Verdana" w:hAnsi="Verdana" w:cs="Arial"/>
          <w:szCs w:val="20"/>
        </w:rPr>
        <w:t xml:space="preserve"> conforme planilha de custos e formação de preços constante no Anexo III a este edital;</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O critério de julgamento será o de menor preço global, de todos os itens de serviço do orçamento estimado (Anexo III-B), observadas as exigências contidas neste Edital e seus Anexos quanto às especificações do objeto.</w:t>
      </w:r>
    </w:p>
    <w:p>
      <w:pPr>
        <w:pStyle w:val="73"/>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rPr>
        <w:t>A soma de todos os preços unitários dos itens de serviços, constantes da planilha de orçamento (Anexo III-B), irá resultar no valor total da proposta do licitante vencedor.</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iCs/>
          <w:szCs w:val="20"/>
        </w:rPr>
        <w:t>Quando for considerado o vencedor da licitação, será convocado a apresentar a planilha de orçamento, contendo os preços unitários, ajustados ao valor global proposto, de todos os itens que a compõem, na conformidade da planilha contida no Anexo III.</w:t>
      </w:r>
    </w:p>
    <w:p>
      <w:pPr>
        <w:pStyle w:val="73"/>
        <w:keepNext w:val="0"/>
        <w:widowControl/>
        <w:numPr>
          <w:ilvl w:val="1"/>
          <w:numId w:val="3"/>
        </w:numPr>
        <w:shd w:val="clear" w:color="auto" w:fill="auto"/>
        <w:spacing w:before="120" w:after="120"/>
        <w:rPr>
          <w:rFonts w:ascii="Verdana" w:hAnsi="Verdana" w:cs="Arial"/>
          <w:szCs w:val="20"/>
        </w:rPr>
      </w:pPr>
      <w:r>
        <w:rPr>
          <w:rFonts w:ascii="Verdana" w:hAnsi="Verdana" w:cs="Arial"/>
          <w:szCs w:val="20"/>
        </w:rPr>
        <w:t xml:space="preserve">O licitante será contratado para efetuar os serviços de todos os itens contido no orçamento. </w:t>
      </w:r>
    </w:p>
    <w:p>
      <w:pPr>
        <w:pStyle w:val="73"/>
        <w:keepNext w:val="0"/>
        <w:widowControl/>
        <w:numPr>
          <w:ilvl w:val="2"/>
          <w:numId w:val="3"/>
        </w:numPr>
        <w:shd w:val="clear" w:color="auto" w:fill="auto"/>
        <w:spacing w:before="120" w:after="120"/>
        <w:rPr>
          <w:rFonts w:ascii="Verdana" w:hAnsi="Verdana" w:cs="Arial"/>
          <w:szCs w:val="20"/>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1" w:name="_Hlk83456378"/>
      <w:r>
        <w:rPr>
          <w:rFonts w:ascii="Verdana" w:hAnsi="Verdana" w:cs="Arial"/>
          <w:szCs w:val="20"/>
        </w:rPr>
        <w:t>conforme previsto no Termo de Referência ou Projeto Básico – Anexo I.</w:t>
      </w:r>
      <w:bookmarkEnd w:id="1"/>
    </w:p>
    <w:p>
      <w:pPr>
        <w:pStyle w:val="73"/>
        <w:keepNext w:val="0"/>
        <w:widowControl/>
        <w:shd w:val="clear" w:color="auto" w:fill="auto"/>
        <w:spacing w:before="120" w:after="120"/>
        <w:ind w:left="792" w:firstLine="0"/>
        <w:rPr>
          <w:rFonts w:ascii="Verdana" w:hAnsi="Verdana" w:cs="Arial"/>
          <w:szCs w:val="20"/>
        </w:rPr>
      </w:pPr>
    </w:p>
    <w:p>
      <w:pPr>
        <w:pStyle w:val="73"/>
        <w:keepNext w:val="0"/>
        <w:widowControl/>
        <w:numPr>
          <w:ilvl w:val="0"/>
          <w:numId w:val="3"/>
        </w:numPr>
        <w:shd w:val="clear" w:color="auto" w:fill="auto"/>
        <w:spacing w:before="120" w:after="120"/>
        <w:rPr>
          <w:rFonts w:ascii="Verdana" w:hAnsi="Verdana" w:cs="Arial"/>
          <w:szCs w:val="20"/>
          <w:highlight w:val="none"/>
        </w:rPr>
      </w:pPr>
      <w:r>
        <w:rPr>
          <w:rFonts w:ascii="Verdana" w:hAnsi="Verdana" w:cs="Arial"/>
          <w:b/>
          <w:bCs/>
          <w:szCs w:val="20"/>
        </w:rPr>
        <w:t>DOS R</w:t>
      </w:r>
      <w:r>
        <w:rPr>
          <w:rFonts w:ascii="Verdana" w:hAnsi="Verdana" w:cs="Arial"/>
          <w:b/>
          <w:bCs/>
          <w:szCs w:val="20"/>
          <w:highlight w:val="none"/>
        </w:rPr>
        <w:t>ECURSOS ORÇAMENTÁRIOS</w:t>
      </w:r>
    </w:p>
    <w:p>
      <w:pPr>
        <w:pStyle w:val="73"/>
        <w:keepNext w:val="0"/>
        <w:widowControl/>
        <w:numPr>
          <w:ilvl w:val="1"/>
          <w:numId w:val="3"/>
        </w:numPr>
        <w:spacing w:before="120" w:after="120"/>
        <w:ind w:left="709" w:hanging="283"/>
        <w:rPr>
          <w:rFonts w:ascii="Verdana" w:hAnsi="Verdana" w:cs="Arial"/>
          <w:szCs w:val="20"/>
          <w:highlight w:val="none"/>
        </w:rPr>
      </w:pPr>
      <w:r>
        <w:rPr>
          <w:rFonts w:ascii="Verdana" w:hAnsi="Verdana" w:cs="Arial"/>
          <w:color w:val="000000"/>
          <w:szCs w:val="20"/>
          <w:highlight w:val="none"/>
        </w:rPr>
        <w:t xml:space="preserve">As despesas para atender a esta licitação estão programadas em dotação orçamentária própria, prevista no orçamento da União para o exercício de </w:t>
      </w:r>
      <w:r>
        <w:rPr>
          <w:rFonts w:ascii="Verdana" w:hAnsi="Verdana" w:cs="Arial"/>
          <w:szCs w:val="20"/>
          <w:highlight w:val="none"/>
        </w:rPr>
        <w:t>20</w:t>
      </w:r>
      <w:r>
        <w:rPr>
          <w:rFonts w:hint="default" w:ascii="Verdana" w:hAnsi="Verdana" w:cs="Arial"/>
          <w:szCs w:val="20"/>
          <w:highlight w:val="none"/>
          <w:lang w:val="pt-BR"/>
        </w:rPr>
        <w:t>22</w:t>
      </w:r>
      <w:r>
        <w:rPr>
          <w:rFonts w:ascii="Verdana" w:hAnsi="Verdana" w:cs="Arial"/>
          <w:szCs w:val="20"/>
          <w:highlight w:val="none"/>
        </w:rPr>
        <w:t>,</w:t>
      </w:r>
      <w:r>
        <w:rPr>
          <w:rFonts w:ascii="Verdana" w:hAnsi="Verdana" w:cs="Arial"/>
          <w:color w:val="000000"/>
          <w:szCs w:val="20"/>
          <w:highlight w:val="none"/>
        </w:rPr>
        <w:t xml:space="preserve"> na classificação abaixo:</w:t>
      </w:r>
    </w:p>
    <w:p>
      <w:pPr>
        <w:pStyle w:val="73"/>
        <w:keepNext w:val="0"/>
        <w:widowControl/>
        <w:numPr>
          <w:ilvl w:val="2"/>
          <w:numId w:val="3"/>
        </w:numPr>
        <w:spacing w:before="120" w:after="120"/>
        <w:ind w:left="1418" w:hanging="284"/>
        <w:rPr>
          <w:rFonts w:ascii="Verdana" w:hAnsi="Verdana" w:cs="Arial"/>
          <w:sz w:val="18"/>
          <w:szCs w:val="18"/>
          <w:highlight w:val="none"/>
        </w:rPr>
      </w:pPr>
      <w:r>
        <w:rPr>
          <w:rFonts w:ascii="Verdana" w:hAnsi="Verdana" w:cs="Arial"/>
          <w:color w:val="000000"/>
          <w:sz w:val="18"/>
          <w:szCs w:val="18"/>
          <w:highlight w:val="none"/>
          <w:lang w:eastAsia="en-US"/>
        </w:rPr>
        <w:t>Gestão/Unidade:</w:t>
      </w:r>
      <w:r>
        <w:rPr>
          <w:rFonts w:hint="default" w:ascii="Verdana" w:hAnsi="Verdana" w:cs="Arial"/>
          <w:color w:val="000000"/>
          <w:sz w:val="18"/>
          <w:szCs w:val="18"/>
          <w:highlight w:val="none"/>
          <w:lang w:val="pt-BR" w:eastAsia="en-US"/>
        </w:rPr>
        <w:t xml:space="preserve"> 154027</w:t>
      </w:r>
    </w:p>
    <w:p>
      <w:pPr>
        <w:pStyle w:val="73"/>
        <w:keepNext w:val="0"/>
        <w:widowControl/>
        <w:numPr>
          <w:ilvl w:val="2"/>
          <w:numId w:val="3"/>
        </w:numPr>
        <w:spacing w:before="120" w:after="120"/>
        <w:ind w:left="1418" w:hanging="284"/>
        <w:rPr>
          <w:rFonts w:ascii="Verdana" w:hAnsi="Verdana" w:cs="Arial"/>
          <w:sz w:val="18"/>
          <w:szCs w:val="18"/>
          <w:highlight w:val="none"/>
        </w:rPr>
      </w:pPr>
      <w:r>
        <w:rPr>
          <w:rFonts w:ascii="Verdana" w:hAnsi="Verdana" w:cs="Arial"/>
          <w:color w:val="000000"/>
          <w:sz w:val="18"/>
          <w:szCs w:val="18"/>
          <w:highlight w:val="none"/>
          <w:lang w:eastAsia="en-US"/>
        </w:rPr>
        <w:t>Fonte:</w:t>
      </w:r>
      <w:r>
        <w:rPr>
          <w:rFonts w:hint="default" w:ascii="Verdana" w:hAnsi="Verdana" w:cs="Arial"/>
          <w:color w:val="000000"/>
          <w:sz w:val="18"/>
          <w:szCs w:val="18"/>
          <w:highlight w:val="none"/>
          <w:lang w:val="pt-BR" w:eastAsia="en-US"/>
        </w:rPr>
        <w:t xml:space="preserve"> 8100</w:t>
      </w:r>
    </w:p>
    <w:p>
      <w:pPr>
        <w:pStyle w:val="73"/>
        <w:keepNext w:val="0"/>
        <w:widowControl/>
        <w:numPr>
          <w:ilvl w:val="2"/>
          <w:numId w:val="3"/>
        </w:numPr>
        <w:spacing w:before="120" w:after="120"/>
        <w:ind w:left="1418" w:hanging="284"/>
        <w:rPr>
          <w:rFonts w:ascii="Verdana" w:hAnsi="Verdana" w:cs="Arial"/>
          <w:sz w:val="18"/>
          <w:szCs w:val="18"/>
          <w:highlight w:val="none"/>
        </w:rPr>
      </w:pPr>
      <w:r>
        <w:rPr>
          <w:rFonts w:ascii="Verdana" w:hAnsi="Verdana" w:cs="Arial"/>
          <w:color w:val="000000"/>
          <w:sz w:val="18"/>
          <w:szCs w:val="18"/>
          <w:highlight w:val="none"/>
          <w:lang w:eastAsia="en-US"/>
        </w:rPr>
        <w:t>Programa de Trabalho:</w:t>
      </w:r>
      <w:r>
        <w:rPr>
          <w:rFonts w:hint="default" w:ascii="Verdana" w:hAnsi="Verdana" w:cs="Arial"/>
          <w:color w:val="000000"/>
          <w:sz w:val="18"/>
          <w:szCs w:val="18"/>
          <w:highlight w:val="none"/>
          <w:lang w:val="pt-BR" w:eastAsia="en-US"/>
        </w:rPr>
        <w:t xml:space="preserve"> 169645</w:t>
      </w:r>
    </w:p>
    <w:p>
      <w:pPr>
        <w:pStyle w:val="73"/>
        <w:keepNext w:val="0"/>
        <w:widowControl/>
        <w:numPr>
          <w:ilvl w:val="2"/>
          <w:numId w:val="3"/>
        </w:numPr>
        <w:shd w:val="clear" w:color="auto" w:fill="auto"/>
        <w:spacing w:before="120" w:after="120"/>
        <w:ind w:left="785" w:firstLine="349"/>
        <w:rPr>
          <w:rFonts w:ascii="Verdana" w:hAnsi="Verdana" w:cs="Arial"/>
          <w:sz w:val="18"/>
          <w:szCs w:val="18"/>
          <w:highlight w:val="none"/>
        </w:rPr>
      </w:pPr>
      <w:r>
        <w:rPr>
          <w:rFonts w:ascii="Verdana" w:hAnsi="Verdana" w:cs="Arial"/>
          <w:color w:val="000000"/>
          <w:sz w:val="18"/>
          <w:szCs w:val="18"/>
          <w:highlight w:val="none"/>
          <w:lang w:eastAsia="en-US"/>
        </w:rPr>
        <w:t>Elemento de Despesa:</w:t>
      </w:r>
      <w:r>
        <w:rPr>
          <w:rFonts w:hint="default" w:ascii="Verdana" w:hAnsi="Verdana" w:cs="Arial"/>
          <w:color w:val="000000"/>
          <w:sz w:val="18"/>
          <w:szCs w:val="18"/>
          <w:highlight w:val="none"/>
          <w:lang w:val="pt-BR" w:eastAsia="en-US"/>
        </w:rPr>
        <w:t xml:space="preserve"> 339039</w:t>
      </w:r>
    </w:p>
    <w:p>
      <w:pPr>
        <w:pStyle w:val="73"/>
        <w:keepNext w:val="0"/>
        <w:widowControl/>
        <w:numPr>
          <w:ilvl w:val="2"/>
          <w:numId w:val="3"/>
        </w:numPr>
        <w:shd w:val="clear" w:color="auto" w:fill="auto"/>
        <w:spacing w:before="120" w:after="120"/>
        <w:ind w:left="785" w:firstLine="349"/>
        <w:rPr>
          <w:rFonts w:ascii="Verdana" w:hAnsi="Verdana" w:cs="Arial"/>
          <w:sz w:val="18"/>
          <w:szCs w:val="18"/>
          <w:highlight w:val="none"/>
        </w:rPr>
      </w:pPr>
      <w:r>
        <w:rPr>
          <w:rFonts w:ascii="Verdana" w:hAnsi="Verdana" w:cs="Arial"/>
          <w:color w:val="000000"/>
          <w:sz w:val="18"/>
          <w:szCs w:val="18"/>
          <w:highlight w:val="none"/>
          <w:lang w:eastAsia="en-US"/>
        </w:rPr>
        <w:t>PI:</w:t>
      </w:r>
      <w:r>
        <w:rPr>
          <w:rFonts w:hint="default" w:ascii="Verdana" w:hAnsi="Verdana" w:cs="Arial"/>
          <w:color w:val="000000"/>
          <w:sz w:val="18"/>
          <w:szCs w:val="18"/>
          <w:highlight w:val="none"/>
          <w:lang w:val="pt-BR" w:eastAsia="en-US"/>
        </w:rPr>
        <w:t xml:space="preserve"> M 20RK N 01 01</w:t>
      </w:r>
    </w:p>
    <w:p>
      <w:pPr>
        <w:pStyle w:val="73"/>
        <w:keepNext w:val="0"/>
        <w:widowControl/>
        <w:numPr>
          <w:ilvl w:val="0"/>
          <w:numId w:val="3"/>
        </w:numPr>
        <w:shd w:val="clear" w:color="auto" w:fill="auto"/>
        <w:spacing w:before="120" w:after="120"/>
        <w:rPr>
          <w:rFonts w:ascii="Verdana" w:hAnsi="Verdana" w:cs="Arial"/>
          <w:b/>
          <w:szCs w:val="20"/>
        </w:rPr>
      </w:pPr>
      <w:r>
        <w:rPr>
          <w:rFonts w:ascii="Verdana" w:hAnsi="Verdana" w:cs="Arial"/>
          <w:b/>
          <w:szCs w:val="20"/>
        </w:rPr>
        <w:t>DO CREDENCIAMENTO</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O Credenciamento é o nível básico do registro cadastral no SICAF, que permite a participação dos interessados na modalidade licitatória Pregão, em sua forma eletrônica.</w:t>
      </w:r>
    </w:p>
    <w:p>
      <w:pPr>
        <w:pStyle w:val="73"/>
        <w:keepNext w:val="0"/>
        <w:widowControl/>
        <w:numPr>
          <w:ilvl w:val="1"/>
          <w:numId w:val="3"/>
        </w:numPr>
        <w:shd w:val="clear" w:color="auto" w:fill="auto"/>
        <w:spacing w:before="120" w:after="120"/>
        <w:rPr>
          <w:rFonts w:ascii="Verdana" w:hAnsi="Verdana" w:cs="Arial"/>
          <w:b/>
          <w:szCs w:val="20"/>
        </w:rPr>
      </w:pPr>
      <w:r>
        <w:rPr>
          <w:rFonts w:ascii="Verdana" w:hAnsi="Verdana" w:cs="Arial"/>
          <w:color w:val="000000" w:themeColor="text1"/>
          <w:szCs w:val="20"/>
        </w:rPr>
        <w:t xml:space="preserve">O cadastro no SICAF deverá ser feito no Portal de Compras do Governo Federal, no sítio </w:t>
      </w:r>
      <w:r>
        <w:fldChar w:fldCharType="begin"/>
      </w:r>
      <w:r>
        <w:instrText xml:space="preserve"> HYPERLINK "http://www.gov.br/compras" </w:instrText>
      </w:r>
      <w:r>
        <w:fldChar w:fldCharType="separate"/>
      </w:r>
      <w:r>
        <w:rPr>
          <w:rStyle w:val="10"/>
          <w:rFonts w:ascii="Verdana" w:hAnsi="Verdana" w:cs="Arial"/>
          <w:szCs w:val="20"/>
        </w:rPr>
        <w:t>www.gov.br/compras</w:t>
      </w:r>
      <w:r>
        <w:rPr>
          <w:rStyle w:val="10"/>
          <w:rFonts w:ascii="Verdana" w:hAnsi="Verdana" w:cs="Arial"/>
          <w:szCs w:val="20"/>
        </w:rPr>
        <w:fldChar w:fldCharType="end"/>
      </w:r>
      <w:r>
        <w:rPr>
          <w:rFonts w:ascii="Verdana" w:hAnsi="Verdana" w:cs="Arial"/>
          <w:color w:val="000000" w:themeColor="text1"/>
          <w:szCs w:val="20"/>
        </w:rPr>
        <w:t>, por meio de certificado digital conferido pela Infraestrutura de Chaves Públicas Brasileira – ICP - Brasil.</w:t>
      </w:r>
    </w:p>
    <w:p>
      <w:pPr>
        <w:keepNext w:val="0"/>
        <w:numPr>
          <w:ilvl w:val="1"/>
          <w:numId w:val="3"/>
        </w:numPr>
        <w:shd w:val="clear" w:color="auto" w:fill="auto"/>
        <w:tabs>
          <w:tab w:val="clear" w:pos="708"/>
        </w:tabs>
        <w:suppressAutoHyphens w:val="0"/>
        <w:overflowPunct/>
        <w:spacing w:before="120" w:after="120" w:line="276" w:lineRule="auto"/>
        <w:ind w:left="851" w:hanging="491"/>
        <w:jc w:val="both"/>
        <w:textAlignment w:val="auto"/>
        <w:rPr>
          <w:rFonts w:ascii="Verdana" w:hAnsi="Verdana" w:cs="Arial"/>
          <w:color w:val="000000" w:themeColor="text1"/>
          <w:sz w:val="20"/>
          <w:szCs w:val="20"/>
        </w:rPr>
      </w:pPr>
      <w:r>
        <w:rPr>
          <w:rFonts w:ascii="Verdana" w:hAnsi="Verdana" w:cs="Arial"/>
          <w:color w:val="000000" w:themeColor="text1"/>
          <w:sz w:val="20"/>
          <w:szCs w:val="20"/>
        </w:rPr>
        <w:t>O credenciamento junto ao provedor do sistema implica a responsabilidade do licitante ou de seu representante legal e a presunção de sua capacidade técnica para realização das transações inerentes a este Pregão.</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sz w:val="20"/>
          <w:szCs w:val="20"/>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w:t>
      </w:r>
      <w:r>
        <w:rPr>
          <w:rFonts w:ascii="Verdana" w:hAnsi="Verdana" w:cs="Arial"/>
          <w:color w:val="000000" w:themeColor="text1"/>
          <w:sz w:val="20"/>
          <w:szCs w:val="20"/>
        </w:rPr>
        <w:t>s.</w:t>
      </w:r>
      <w:r>
        <w:rPr>
          <w:rFonts w:ascii="Verdana" w:hAnsi="Verdana" w:cs="Arial"/>
          <w:sz w:val="20"/>
          <w:szCs w:val="20"/>
        </w:rPr>
        <w:t xml:space="preserve"> </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lang w:eastAsia="en-US"/>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3"/>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rPr>
      </w:pPr>
      <w:r>
        <w:rPr>
          <w:rFonts w:ascii="Verdana" w:hAnsi="Verdana" w:cs="Arial"/>
          <w:color w:val="000000" w:themeColor="text1"/>
          <w:sz w:val="18"/>
          <w:szCs w:val="18"/>
          <w:lang w:eastAsia="en-US"/>
        </w:rPr>
        <w:t>A não observância do disposto no subitem anterior poderá ensejar desclassificação no momento da habilitação.</w:t>
      </w:r>
    </w:p>
    <w:p>
      <w:pPr>
        <w:keepNext w:val="0"/>
        <w:shd w:val="clear" w:color="auto" w:fill="auto"/>
        <w:tabs>
          <w:tab w:val="clear" w:pos="708"/>
        </w:tabs>
        <w:suppressAutoHyphens w:val="0"/>
        <w:overflowPunct/>
        <w:spacing w:before="120" w:after="120" w:line="276" w:lineRule="auto"/>
        <w:ind w:left="1922"/>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bCs/>
          <w:color w:val="000000"/>
          <w:sz w:val="20"/>
          <w:szCs w:val="20"/>
        </w:rPr>
        <w:t>DA PARTICIPAÇÃO NO PREGÃO.</w:t>
      </w:r>
    </w:p>
    <w:p>
      <w:pPr>
        <w:keepNext w:val="0"/>
        <w:numPr>
          <w:ilvl w:val="1"/>
          <w:numId w:val="3"/>
        </w:numPr>
        <w:shd w:val="clear" w:color="auto" w:fill="auto"/>
        <w:tabs>
          <w:tab w:val="clear" w:pos="708"/>
        </w:tabs>
        <w:suppressAutoHyphens w:val="0"/>
        <w:overflowPunct/>
        <w:autoSpaceDE w:val="0"/>
        <w:snapToGrid w:val="0"/>
        <w:spacing w:before="120" w:after="120" w:line="276" w:lineRule="auto"/>
        <w:ind w:left="851" w:hanging="426"/>
        <w:jc w:val="both"/>
        <w:textAlignment w:val="auto"/>
        <w:rPr>
          <w:rFonts w:ascii="Verdana" w:hAnsi="Verdana" w:cs="Arial"/>
          <w:sz w:val="20"/>
          <w:szCs w:val="20"/>
        </w:rPr>
      </w:pPr>
      <w:r>
        <w:rPr>
          <w:rFonts w:ascii="Verdana" w:hAnsi="Verdana" w:cs="Arial"/>
          <w:color w:val="000000"/>
          <w:sz w:val="20"/>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pPr>
        <w:keepNext w:val="0"/>
        <w:numPr>
          <w:ilvl w:val="2"/>
          <w:numId w:val="3"/>
        </w:numPr>
        <w:shd w:val="clear" w:color="auto" w:fill="auto"/>
        <w:tabs>
          <w:tab w:val="clear" w:pos="708"/>
        </w:tabs>
        <w:suppressAutoHyphens w:val="0"/>
        <w:overflowPunct/>
        <w:autoSpaceDE w:val="0"/>
        <w:snapToGrid w:val="0"/>
        <w:spacing w:before="120" w:after="120" w:line="276" w:lineRule="auto"/>
        <w:ind w:left="1134" w:hanging="283"/>
        <w:jc w:val="both"/>
        <w:textAlignment w:val="auto"/>
        <w:rPr>
          <w:rFonts w:ascii="Verdana" w:hAnsi="Verdana" w:cs="Arial"/>
          <w:color w:val="000000"/>
          <w:sz w:val="18"/>
          <w:szCs w:val="18"/>
        </w:rPr>
      </w:pPr>
      <w:r>
        <w:rPr>
          <w:rFonts w:ascii="Verdana" w:hAnsi="Verdana" w:cs="Arial"/>
          <w:color w:val="000000"/>
          <w:sz w:val="18"/>
          <w:szCs w:val="18"/>
        </w:rPr>
        <w:t>Os licitantes deverão utilizar o certificado digital para acesso ao Sistema.</w:t>
      </w:r>
    </w:p>
    <w:p>
      <w:pPr>
        <w:keepNext w:val="0"/>
        <w:numPr>
          <w:ilvl w:val="1"/>
          <w:numId w:val="3"/>
        </w:numPr>
        <w:shd w:val="clear" w:color="auto" w:fill="auto"/>
        <w:tabs>
          <w:tab w:val="clear" w:pos="708"/>
        </w:tabs>
        <w:suppressAutoHyphens w:val="0"/>
        <w:overflowPunct/>
        <w:spacing w:before="120" w:after="120" w:line="276" w:lineRule="auto"/>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Não poderão participar desta licitação os interessados: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proibidos de participar de licitações e celebrar contratos administrativos, na forma da legislação vigente;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não atendam às condições deste Edital e seu(s) anexo(s);</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estrangeiros que não tenham representação legal no Brasil com poderes expressos para receber citação e responder administrativa ou judicialmente;</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eastAsia="Arial Unicode MS" w:cs="Arial"/>
          <w:color w:val="000000" w:themeColor="text1"/>
          <w:sz w:val="18"/>
          <w:szCs w:val="18"/>
        </w:rPr>
        <w:t>que se enquadrem nas vedações previstas no artigo 9º da Lei nº 8.666, de 1993;</w:t>
      </w:r>
      <w:bookmarkStart w:id="2" w:name="_Hlk519667653"/>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que estejam sob falência, concurso de credores ou insolvência, em processo de dissolução ou liquidação;</w:t>
      </w:r>
      <w:bookmarkEnd w:id="2"/>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themeColor="text1"/>
          <w:sz w:val="18"/>
          <w:szCs w:val="18"/>
        </w:rPr>
        <w:t>entidades empresariais que estejam reunidas em consórcio;</w:t>
      </w:r>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color w:val="000000"/>
          <w:sz w:val="18"/>
          <w:szCs w:val="18"/>
        </w:rPr>
        <w:t xml:space="preserve">organizações da Sociedade Civil de Interesse Público - OSCIP, atuando nessa condição (Acórdão nº 746/2014-TCU-Plenário); </w:t>
      </w:r>
      <w:bookmarkStart w:id="3" w:name="_Hlk519667815"/>
    </w:p>
    <w:p>
      <w:pPr>
        <w:pStyle w:val="73"/>
        <w:keepNext w:val="0"/>
        <w:widowControl/>
        <w:numPr>
          <w:ilvl w:val="2"/>
          <w:numId w:val="4"/>
        </w:numPr>
        <w:spacing w:before="120" w:after="120"/>
        <w:ind w:left="1134" w:hanging="283"/>
        <w:rPr>
          <w:rFonts w:ascii="Verdana" w:hAnsi="Verdana" w:cs="Arial"/>
          <w:color w:val="000000" w:themeColor="text1"/>
          <w:sz w:val="18"/>
          <w:szCs w:val="18"/>
        </w:rPr>
      </w:pPr>
      <w:r>
        <w:rPr>
          <w:rFonts w:ascii="Verdana" w:hAnsi="Verdana" w:cs="Arial"/>
          <w:sz w:val="18"/>
          <w:szCs w:val="18"/>
        </w:rPr>
        <w:t>sociedades cooperativas, considerando a vedação contida no art. 10 da Instrução Normativa SEGES/MP nº 5, de 2017.</w:t>
      </w:r>
    </w:p>
    <w:bookmarkEnd w:id="3"/>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000000"/>
          <w:sz w:val="20"/>
          <w:szCs w:val="20"/>
        </w:rPr>
        <w:t>Nos</w:t>
      </w:r>
      <w:r>
        <w:rPr>
          <w:rFonts w:ascii="Verdana" w:hAnsi="Verdana" w:cs="Arial"/>
          <w:color w:val="000000"/>
          <w:sz w:val="20"/>
          <w:szCs w:val="20"/>
          <w:shd w:val="clear" w:color="auto" w:fill="FFFFFF"/>
        </w:rPr>
        <w:t xml:space="preserve"> termos do art. 5º do Decreto nº 9.507, de 2018, é vedada a contratação de </w:t>
      </w:r>
      <w:r>
        <w:rPr>
          <w:rFonts w:ascii="Verdana" w:hAnsi="Verdana" w:cs="Arial"/>
          <w:sz w:val="20"/>
          <w:szCs w:val="20"/>
        </w:rPr>
        <w:t>pessoa</w:t>
      </w:r>
      <w:r>
        <w:rPr>
          <w:rFonts w:ascii="Verdana" w:hAnsi="Verdana" w:cs="Arial"/>
          <w:color w:val="000000"/>
          <w:sz w:val="20"/>
          <w:szCs w:val="20"/>
          <w:shd w:val="clear" w:color="auto" w:fill="FFFFFF"/>
        </w:rPr>
        <w:t xml:space="preserve"> jurídica na qual haja administrador </w:t>
      </w:r>
      <w:r>
        <w:rPr>
          <w:rFonts w:ascii="Verdana" w:hAnsi="Verdana" w:cs="Arial"/>
          <w:color w:val="auto"/>
          <w:sz w:val="20"/>
          <w:szCs w:val="20"/>
          <w:shd w:val="clear" w:color="auto" w:fill="FFFFFF"/>
        </w:rPr>
        <w:t>ou sócio com poder de direção, familiar de:</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detentor de cargo em comissão ou função de confiança que atue na área responsável pela demanda ou contratação; ou</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auto"/>
          <w:sz w:val="18"/>
          <w:szCs w:val="18"/>
        </w:rPr>
      </w:pPr>
      <w:r>
        <w:rPr>
          <w:rFonts w:ascii="Verdana" w:hAnsi="Verdana" w:cs="Arial"/>
          <w:sz w:val="18"/>
          <w:szCs w:val="18"/>
          <w:shd w:val="clear" w:color="auto" w:fill="FFFFFF"/>
        </w:rPr>
        <w:t>de autoridade hierarquicamente superior no âmbito do órgão contratante.</w:t>
      </w:r>
    </w:p>
    <w:p>
      <w:pPr>
        <w:keepNext w:val="0"/>
        <w:numPr>
          <w:ilvl w:val="3"/>
          <w:numId w:val="3"/>
        </w:numPr>
        <w:shd w:val="clear" w:color="auto" w:fill="auto"/>
        <w:tabs>
          <w:tab w:val="clear" w:pos="708"/>
        </w:tabs>
        <w:suppressAutoHyphens w:val="0"/>
        <w:overflowPunct/>
        <w:spacing w:before="120" w:after="120"/>
        <w:jc w:val="both"/>
        <w:textAlignment w:val="auto"/>
        <w:rPr>
          <w:rFonts w:ascii="Verdana" w:hAnsi="Verdana" w:cs="Arial"/>
          <w:color w:val="auto"/>
          <w:sz w:val="18"/>
          <w:szCs w:val="18"/>
        </w:rPr>
      </w:pPr>
      <w:r>
        <w:rPr>
          <w:rFonts w:ascii="Verdana" w:hAnsi="Verdana" w:cs="Arial"/>
          <w:sz w:val="18"/>
          <w:szCs w:val="18"/>
          <w:shd w:val="clear" w:color="auto" w:fill="FFFFFF"/>
        </w:rPr>
        <w:t>Para os fins do disposto neste item</w:t>
      </w:r>
      <w:r>
        <w:rPr>
          <w:rFonts w:ascii="Verdana" w:hAnsi="Verdana" w:cs="Arial"/>
          <w:i/>
          <w:iCs/>
          <w:sz w:val="18"/>
          <w:szCs w:val="18"/>
          <w:shd w:val="clear" w:color="auto" w:fill="FFFFFF"/>
        </w:rPr>
        <w:t>,</w:t>
      </w:r>
      <w:r>
        <w:rPr>
          <w:rFonts w:ascii="Verdana" w:hAnsi="Verdana" w:cs="Arial"/>
          <w:sz w:val="18"/>
          <w:szCs w:val="18"/>
          <w:shd w:val="clear" w:color="auto" w:fill="FFFFFF"/>
        </w:rPr>
        <w:t xml:space="preserve"> considera-se familiar o cônjuge, o companheiro ou </w:t>
      </w:r>
      <w:r>
        <w:rPr>
          <w:rFonts w:ascii="Verdana" w:hAnsi="Verdana" w:cs="Arial"/>
          <w:color w:val="000000"/>
          <w:sz w:val="18"/>
          <w:szCs w:val="18"/>
          <w:shd w:val="clear" w:color="auto" w:fill="FFFFFF"/>
        </w:rPr>
        <w:t xml:space="preserve">o parente em linha reta ou colateral, por consanguinidade ou afinidade, até o terceiro grau (Súmula Vinculante/STF nº 13, art. 5º, inciso V, da Lei nº 12.813, de 16 de maio de 2013 e art. 2º, inciso III, do Decreto n.º 7.203, de 04 de junho de 2010); </w:t>
      </w:r>
    </w:p>
    <w:p>
      <w:pPr>
        <w:keepNext w:val="0"/>
        <w:numPr>
          <w:ilvl w:val="1"/>
          <w:numId w:val="3"/>
        </w:numPr>
        <w:shd w:val="clear" w:color="auto" w:fill="auto"/>
        <w:tabs>
          <w:tab w:val="clear" w:pos="708"/>
        </w:tabs>
        <w:suppressAutoHyphens w:val="0"/>
        <w:overflowPunct/>
        <w:spacing w:before="120" w:after="120"/>
        <w:jc w:val="both"/>
        <w:textAlignment w:val="auto"/>
        <w:rPr>
          <w:rFonts w:ascii="Verdana" w:hAnsi="Verdana" w:cs="Arial"/>
          <w:color w:val="auto"/>
          <w:sz w:val="20"/>
          <w:szCs w:val="20"/>
        </w:rPr>
      </w:pPr>
      <w:r>
        <w:rPr>
          <w:rFonts w:ascii="Verdana" w:hAnsi="Verdana" w:cs="Arial"/>
          <w:color w:val="000000"/>
          <w:sz w:val="20"/>
          <w:szCs w:val="20"/>
          <w:shd w:val="clear" w:color="auto" w:fill="FFFFFF"/>
        </w:rPr>
        <w:t xml:space="preserve">Nos termos do art. 7° do Decreto n° 7.203, de 2010, é vedada, ainda, a utilização, na execução dos serviços </w:t>
      </w:r>
      <w:r>
        <w:rPr>
          <w:rFonts w:ascii="Verdana" w:hAnsi="Verdana" w:cs="Arial"/>
          <w:color w:val="000000"/>
          <w:sz w:val="20"/>
          <w:szCs w:val="20"/>
        </w:rPr>
        <w:t>contratados</w:t>
      </w:r>
      <w:r>
        <w:rPr>
          <w:rFonts w:ascii="Verdana" w:hAnsi="Verdana" w:cs="Arial"/>
          <w:color w:val="000000"/>
          <w:sz w:val="20"/>
          <w:szCs w:val="20"/>
          <w:shd w:val="clear" w:color="auto" w:fill="FFFFFF"/>
        </w:rPr>
        <w:t>, de empregado da futura Contratada que seja familiar de agente público ocupante de cargo em comissão ou função de confiança neste órgão contratante.</w:t>
      </w:r>
    </w:p>
    <w:p>
      <w:pPr>
        <w:keepNext w:val="0"/>
        <w:numPr>
          <w:ilvl w:val="1"/>
          <w:numId w:val="3"/>
        </w:numPr>
        <w:shd w:val="clear" w:color="auto" w:fill="auto"/>
        <w:tabs>
          <w:tab w:val="clear" w:pos="708"/>
        </w:tabs>
        <w:suppressAutoHyphens w:val="0"/>
        <w:overflowPunct/>
        <w:spacing w:before="120" w:after="120"/>
        <w:ind w:left="709" w:hanging="283"/>
        <w:jc w:val="both"/>
        <w:textAlignment w:val="auto"/>
        <w:rPr>
          <w:rFonts w:ascii="Verdana" w:hAnsi="Verdana" w:cs="Arial"/>
          <w:color w:val="auto"/>
          <w:sz w:val="20"/>
          <w:szCs w:val="20"/>
        </w:rPr>
      </w:pPr>
      <w:r>
        <w:rPr>
          <w:rFonts w:ascii="Verdana" w:hAnsi="Verdana" w:cs="Arial"/>
          <w:color w:val="000000"/>
          <w:sz w:val="20"/>
          <w:szCs w:val="20"/>
        </w:rPr>
        <w:t>Como condição para participação no Pregão, o licitante assinalará “sim” ou “não” em campo próprio do sistema eletrônico, relativo às seguintes declarações:</w:t>
      </w:r>
      <w:r>
        <w:rPr>
          <w:rFonts w:ascii="Verdana" w:hAnsi="Verdana" w:eastAsia="Zurich BT" w:cs="Arial"/>
          <w:color w:val="000000"/>
          <w:sz w:val="20"/>
          <w:szCs w:val="20"/>
        </w:rPr>
        <w:t xml:space="preserve"> </w:t>
      </w:r>
    </w:p>
    <w:p>
      <w:pPr>
        <w:pStyle w:val="64"/>
        <w:keepNext w:val="0"/>
        <w:numPr>
          <w:ilvl w:val="0"/>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1"/>
          <w:numId w:val="5"/>
        </w:numPr>
        <w:shd w:val="clear" w:color="auto" w:fill="auto"/>
        <w:tabs>
          <w:tab w:val="left" w:pos="1440"/>
          <w:tab w:val="clear" w:pos="-12"/>
          <w:tab w:val="clear" w:pos="708"/>
        </w:tabs>
        <w:suppressAutoHyphens w:val="0"/>
        <w:overflowPunct/>
        <w:autoSpaceDE w:val="0"/>
        <w:snapToGrid w:val="0"/>
        <w:spacing w:before="120" w:after="120"/>
        <w:jc w:val="both"/>
        <w:textAlignment w:val="auto"/>
        <w:rPr>
          <w:rFonts w:ascii="Verdana" w:hAnsi="Verdana" w:cs="Arial"/>
          <w:bCs/>
          <w:vanish/>
          <w:color w:val="000000"/>
          <w:sz w:val="20"/>
          <w:szCs w:val="20"/>
        </w:rPr>
      </w:pP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cumpre os requisitos estabelecidos no artigo 3° da Lei Complementar nº 123, de 2006, estando apto a usufruir do tratamento favorecido estabelecido em seus arts. 42 a 49.</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bCs/>
          <w:color w:val="000000"/>
          <w:sz w:val="18"/>
          <w:szCs w:val="18"/>
        </w:rPr>
        <w:t>nos itens exclusivos para participação de microempresas e empresas de pequeno porte, a assinalação do campo “não”, impedirá o prosseguimento no certame;</w:t>
      </w:r>
    </w:p>
    <w:p>
      <w:pPr>
        <w:pStyle w:val="64"/>
        <w:keepNext w:val="0"/>
        <w:numPr>
          <w:ilvl w:val="3"/>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está ciente e concorda com as condições contidas no Edital e seus anexos;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cumpre os requisitos para a habilitação definidos no Edital e que a </w:t>
      </w:r>
      <w:r>
        <w:rPr>
          <w:rFonts w:ascii="Verdana" w:hAnsi="Verdana" w:cs="Arial"/>
          <w:color w:val="000000"/>
          <w:sz w:val="18"/>
          <w:szCs w:val="18"/>
        </w:rPr>
        <w:t>proposta apresentada está em conformidade com as exigências editalícias;</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 xml:space="preserve">que inexistem fatos impeditivos para sua habilitação no certame, ciente da obrigatoriedade de declarar ocorrências posteriores; </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cs="Arial"/>
          <w:color w:val="000000" w:themeColor="text1"/>
          <w:sz w:val="18"/>
          <w:szCs w:val="18"/>
        </w:rPr>
        <w:t>que não emprega menor de 18 anos em trabalho noturno, perigoso ou insalubre e não emprega menor de 16 anos, salvo menor, a partir de 14 anos, na condição de aprendiz, nos termos do artigo 7°, XXXIII, da Constituição;</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color w:val="000000" w:themeColor="text1"/>
          <w:sz w:val="18"/>
          <w:szCs w:val="18"/>
        </w:rPr>
        <w:t>que a proposta foi elaborada de forma independente, nos termos d</w:t>
      </w:r>
      <w:r>
        <w:rPr>
          <w:rFonts w:ascii="Verdana" w:hAnsi="Verdana" w:cs="Arial"/>
          <w:color w:val="000000" w:themeColor="text1"/>
          <w:sz w:val="18"/>
          <w:szCs w:val="18"/>
        </w:rPr>
        <w:t>a Instrução Normativa SLTI/MP nº 2, de 16 de setembro de 2009.</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não possui, em sua cadeia produtiva, empregados executando trabalho degradante ou forçado, observando o disposto nos incisos III e IV do art. 1º e no inciso III do art. 5º da Constituição Federal;</w:t>
      </w:r>
    </w:p>
    <w:p>
      <w:pPr>
        <w:pStyle w:val="64"/>
        <w:keepNext w:val="0"/>
        <w:numPr>
          <w:ilvl w:val="2"/>
          <w:numId w:val="3"/>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color w:val="000000" w:themeColor="text1"/>
          <w:sz w:val="18"/>
          <w:szCs w:val="18"/>
        </w:rPr>
      </w:pPr>
      <w:r>
        <w:rPr>
          <w:rFonts w:ascii="Verdana" w:hAnsi="Verdana" w:eastAsia="Zurich BT" w:cs="Arial"/>
          <w:sz w:val="18"/>
          <w:szCs w:val="18"/>
        </w:rPr>
        <w:t>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1991.</w:t>
      </w:r>
    </w:p>
    <w:p>
      <w:pPr>
        <w:keepNext w:val="0"/>
        <w:numPr>
          <w:ilvl w:val="1"/>
          <w:numId w:val="3"/>
        </w:numPr>
        <w:shd w:val="clear" w:color="auto" w:fill="auto"/>
        <w:tabs>
          <w:tab w:val="clear" w:pos="708"/>
        </w:tabs>
        <w:suppressAutoHyphens w:val="0"/>
        <w:overflowPunct/>
        <w:spacing w:before="120" w:after="120"/>
        <w:ind w:left="709" w:hanging="284"/>
        <w:jc w:val="both"/>
        <w:textAlignment w:val="auto"/>
        <w:rPr>
          <w:rFonts w:ascii="Verdana" w:hAnsi="Verdana" w:cs="Arial"/>
          <w:color w:val="000000" w:themeColor="text1"/>
          <w:sz w:val="20"/>
          <w:szCs w:val="20"/>
        </w:rPr>
      </w:pPr>
      <w:r>
        <w:rPr>
          <w:rFonts w:ascii="Verdana" w:hAnsi="Verdana" w:cs="Arial"/>
          <w:color w:val="000000" w:themeColor="text1"/>
          <w:sz w:val="20"/>
          <w:szCs w:val="20"/>
        </w:rPr>
        <w:t>A declaração falsa relativa ao cumprimento de qualquer condição sujeitará o licitante às sanções previstas em lei e neste Edital.</w:t>
      </w:r>
    </w:p>
    <w:p>
      <w:pPr>
        <w:keepNext w:val="0"/>
        <w:shd w:val="clear" w:color="auto" w:fill="auto"/>
        <w:tabs>
          <w:tab w:val="clear" w:pos="708"/>
        </w:tabs>
        <w:suppressAutoHyphens w:val="0"/>
        <w:overflowPunct/>
        <w:spacing w:before="120" w:after="120"/>
        <w:ind w:left="709"/>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overflowPunct/>
        <w:autoSpaceDE w:val="0"/>
        <w:autoSpaceDN w:val="0"/>
        <w:adjustRightInd w:val="0"/>
        <w:spacing w:before="120" w:after="120"/>
        <w:jc w:val="both"/>
        <w:textAlignment w:val="auto"/>
        <w:rPr>
          <w:rFonts w:ascii="Verdana" w:hAnsi="Verdana"/>
          <w:b/>
          <w:sz w:val="20"/>
          <w:szCs w:val="20"/>
        </w:rPr>
      </w:pPr>
      <w:r>
        <w:rPr>
          <w:rFonts w:ascii="Verdana" w:hAnsi="Verdana"/>
          <w:b/>
          <w:sz w:val="20"/>
          <w:szCs w:val="20"/>
        </w:rPr>
        <w:t>DA VISTORIA</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TE4E87780t00"/>
          <w:sz w:val="20"/>
          <w:szCs w:val="20"/>
        </w:rPr>
        <w:t>As condições para a realização da vistoria estão explicitadas no item “6 – VISTORIA PARA A LICITAÇÃO” do Termo de Referência anexo a este edital;</w:t>
      </w:r>
    </w:p>
    <w:p>
      <w:pPr>
        <w:keepNext w:val="0"/>
        <w:numPr>
          <w:ilvl w:val="1"/>
          <w:numId w:val="3"/>
        </w:numPr>
        <w:shd w:val="clear" w:color="auto" w:fill="auto"/>
        <w:tabs>
          <w:tab w:val="left" w:pos="851"/>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pregão</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18"/>
          <w:szCs w:val="18"/>
        </w:rPr>
      </w:pPr>
      <w:r>
        <w:rPr>
          <w:rFonts w:ascii="Verdana" w:hAnsi="Verdana" w:cs="Times-Roman"/>
          <w:sz w:val="18"/>
          <w:szCs w:val="18"/>
        </w:rPr>
        <w:t>A declaração de visita, conforme modelo anexo, deverão</w:t>
      </w:r>
      <w:r>
        <w:rPr>
          <w:rFonts w:ascii="Verdana" w:hAnsi="Verdana" w:cs="TTE4E87780t00"/>
          <w:sz w:val="18"/>
          <w:szCs w:val="18"/>
        </w:rPr>
        <w:t xml:space="preserve"> </w:t>
      </w:r>
      <w:r>
        <w:rPr>
          <w:rFonts w:ascii="Verdana" w:hAnsi="Verdana" w:cs="Times-Roman"/>
          <w:sz w:val="18"/>
          <w:szCs w:val="18"/>
        </w:rPr>
        <w:t>ser informados também, o objeto da licitação e o número deste pregão.</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pregão,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3"/>
        </w:numPr>
        <w:shd w:val="clear" w:color="auto" w:fill="auto"/>
        <w:tabs>
          <w:tab w:val="clear" w:pos="708"/>
        </w:tabs>
        <w:suppressAutoHyphens w:val="0"/>
        <w:overflowPunct/>
        <w:autoSpaceDE w:val="0"/>
        <w:autoSpaceDN w:val="0"/>
        <w:adjustRightInd w:val="0"/>
        <w:spacing w:before="120" w:after="120"/>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2"/>
        <w:widowControl/>
        <w:numPr>
          <w:ilvl w:val="1"/>
          <w:numId w:val="3"/>
        </w:numPr>
        <w:tabs>
          <w:tab w:val="left" w:pos="851"/>
        </w:tabs>
        <w:suppressAutoHyphens w:val="0"/>
        <w:spacing w:before="120"/>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2"/>
        <w:widowControl/>
        <w:numPr>
          <w:ilvl w:val="1"/>
          <w:numId w:val="3"/>
        </w:numPr>
        <w:suppressAutoHyphens w:val="0"/>
        <w:spacing w:before="120"/>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DA APRESENTAÇÃO DA PROPOSTA E DOS DOCUMENTOS DE HABILITAÇÃO</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licitantes </w:t>
      </w:r>
      <w:r>
        <w:rPr>
          <w:rFonts w:ascii="Verdana" w:hAnsi="Verdana" w:cs="Arial"/>
          <w:color w:val="000000"/>
          <w:sz w:val="2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Pr>
          <w:rFonts w:ascii="Verdana" w:hAnsi="Verdana" w:cs="Arial"/>
          <w:color w:val="000000" w:themeColor="text1"/>
          <w:sz w:val="20"/>
          <w:szCs w:val="20"/>
        </w:rPr>
        <w:t xml:space="preserve">, quando, então, encerrar-se-á automaticamente a etapa de envio dessa documentação.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sz w:val="20"/>
          <w:szCs w:val="20"/>
        </w:rPr>
        <w:t>O envio da proposta, acompanhada dos documentos de habilitação exigidos neste Edital, ocorrerá por meio de chave de acesso e senha.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poderão deixar de apresentar os documentos de habilitação que constem do SICAF, assegurado aos demais licitantes o direito de acesso aos dados constantes dos sistemas.</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eastAsia="Arial" w:cs="Arial"/>
          <w:sz w:val="20"/>
          <w:szCs w:val="20"/>
        </w:rPr>
        <w:t>As Microempresas e Empresas de Pequeno Porte deverão encaminhar a documentação de habilitação, ainda que haja alguma restrição de regularidade fiscal e trabalhista, nos termos do art. 43, § 1º da LC nº 123, de 2006.</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sz w:val="20"/>
          <w:szCs w:val="20"/>
        </w:rPr>
        <w:t xml:space="preserve">Até a abertura da sessão pública, os licitantes poderão retirar ou substituir </w:t>
      </w:r>
      <w:r>
        <w:rPr>
          <w:rFonts w:ascii="Verdana" w:hAnsi="Verdana" w:cs="Arial"/>
          <w:color w:val="000000"/>
          <w:sz w:val="20"/>
          <w:szCs w:val="20"/>
        </w:rPr>
        <w:t>a proposta e os documentos de habilitação anteriormente inseridos no sistema;</w:t>
      </w:r>
    </w:p>
    <w:p>
      <w:pPr>
        <w:keepNext w:val="0"/>
        <w:numPr>
          <w:ilvl w:val="1"/>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color w:val="000000"/>
          <w:sz w:val="20"/>
          <w:szCs w:val="20"/>
        </w:rPr>
        <w:t>Não será estabelecida, nessa etapa do certame, ordem de classificação entre as propostas apresentadas, o que somente ocorrerá após a realização dos procedimentos de negociação e julgamento da proposta.</w:t>
      </w:r>
    </w:p>
    <w:p>
      <w:pPr>
        <w:keepNext w:val="0"/>
        <w:numPr>
          <w:ilvl w:val="1"/>
          <w:numId w:val="3"/>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Os documentos que compõem a proposta e a habilitação do licitante melhor classificado somente </w:t>
      </w:r>
      <w:r>
        <w:rPr>
          <w:rFonts w:ascii="Verdana" w:hAnsi="Verdana" w:cs="Arial"/>
          <w:color w:val="000000"/>
          <w:sz w:val="20"/>
          <w:szCs w:val="20"/>
        </w:rPr>
        <w:t>serão</w:t>
      </w:r>
      <w:r>
        <w:rPr>
          <w:rFonts w:ascii="Verdana" w:hAnsi="Verdana" w:cs="Arial"/>
          <w:color w:val="000000" w:themeColor="text1"/>
          <w:sz w:val="20"/>
          <w:szCs w:val="20"/>
        </w:rPr>
        <w:t xml:space="preserve"> disponibilizados para avaliação do pregoeiro e para acesso público após o encerramento do envio de lances.</w:t>
      </w:r>
      <w:r>
        <w:rPr>
          <w:rFonts w:ascii="Verdana" w:hAnsi="Verdana" w:cs="Arial"/>
          <w:sz w:val="20"/>
          <w:szCs w:val="20"/>
        </w:rPr>
        <w:t xml:space="preserve"> </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color w:val="000000" w:themeColor="text1"/>
          <w:sz w:val="20"/>
          <w:szCs w:val="20"/>
        </w:rPr>
      </w:pPr>
    </w:p>
    <w:p>
      <w:pPr>
        <w:keepNext w:val="0"/>
        <w:numPr>
          <w:ilvl w:val="0"/>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20"/>
          <w:szCs w:val="20"/>
        </w:rPr>
      </w:pPr>
      <w:r>
        <w:rPr>
          <w:rFonts w:ascii="Verdana" w:hAnsi="Verdana" w:cs="Arial"/>
          <w:b/>
          <w:color w:val="000000" w:themeColor="text1"/>
          <w:sz w:val="20"/>
          <w:szCs w:val="20"/>
        </w:rPr>
        <w:t>DO PREENCHIMENTO DA PROPOSTA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auto"/>
          <w:sz w:val="20"/>
          <w:szCs w:val="20"/>
        </w:rPr>
        <w:t>O licitante deverá enviar sua proposta mediante o preenchimento, no sistema eletrônico, dos seguintes campos:</w:t>
      </w:r>
    </w:p>
    <w:p>
      <w:pPr>
        <w:pStyle w:val="64"/>
        <w:keepNext w:val="0"/>
        <w:numPr>
          <w:ilvl w:val="2"/>
          <w:numId w:val="3"/>
        </w:numPr>
        <w:tabs>
          <w:tab w:val="clear" w:pos="-12"/>
          <w:tab w:val="clear" w:pos="708"/>
        </w:tabs>
        <w:suppressAutoHyphens w:val="0"/>
        <w:overflowPunct/>
        <w:spacing w:before="120" w:after="120" w:line="276" w:lineRule="auto"/>
        <w:jc w:val="both"/>
        <w:rPr>
          <w:rFonts w:ascii="Verdana" w:hAnsi="Verdana" w:cs="Arial"/>
          <w:sz w:val="18"/>
          <w:szCs w:val="18"/>
        </w:rPr>
      </w:pPr>
      <w:r>
        <w:rPr>
          <w:rFonts w:ascii="Verdana" w:hAnsi="Verdana" w:cs="Arial"/>
          <w:sz w:val="18"/>
          <w:szCs w:val="18"/>
        </w:rPr>
        <w:t>valor do seu preço global para a execução dos serviços, igual ou inferior ao valor estimado pela Administração na planilha de orçamento do Anexo III-B;</w:t>
      </w:r>
    </w:p>
    <w:p>
      <w:pPr>
        <w:keepNext w:val="0"/>
        <w:numPr>
          <w:ilvl w:val="2"/>
          <w:numId w:val="3"/>
        </w:numPr>
        <w:shd w:val="clear" w:color="auto" w:fill="auto"/>
        <w:tabs>
          <w:tab w:val="clear" w:pos="708"/>
        </w:tabs>
        <w:suppressAutoHyphens w:val="0"/>
        <w:overflowPunct/>
        <w:spacing w:before="120" w:after="120" w:line="276" w:lineRule="auto"/>
        <w:jc w:val="both"/>
        <w:textAlignment w:val="auto"/>
        <w:rPr>
          <w:rFonts w:ascii="Verdana" w:hAnsi="Verdana" w:cs="Arial"/>
          <w:color w:val="000000" w:themeColor="text1"/>
          <w:sz w:val="18"/>
          <w:szCs w:val="18"/>
        </w:rPr>
      </w:pPr>
      <w:r>
        <w:rPr>
          <w:rFonts w:ascii="Verdana" w:hAnsi="Verdana" w:eastAsia="WenQuanYi Micro Hei" w:cs="Arial"/>
          <w:color w:val="auto"/>
          <w:sz w:val="18"/>
          <w:szCs w:val="18"/>
        </w:rPr>
        <w:t>Descrição do objeto, contendo as informações similares à especificação do Termo de Referência</w:t>
      </w:r>
      <w:r>
        <w:rPr>
          <w:rFonts w:ascii="Verdana" w:hAnsi="Verdana" w:cs="Arial"/>
          <w:color w:val="auto"/>
          <w:sz w:val="18"/>
          <w:szCs w:val="18"/>
        </w:rPr>
        <w:t>.</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Todas as especificações do objeto contidas na proposta vinculam a Contratada.</w:t>
      </w:r>
    </w:p>
    <w:p>
      <w:pPr>
        <w:keepNext w:val="0"/>
        <w:numPr>
          <w:ilvl w:val="1"/>
          <w:numId w:val="3"/>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auto"/>
          <w:sz w:val="20"/>
          <w:szCs w:val="20"/>
        </w:rPr>
      </w:pPr>
      <w:r>
        <w:rPr>
          <w:rFonts w:ascii="Verdana" w:hAnsi="Verdana" w:cs="Arial"/>
          <w:color w:val="auto"/>
          <w:sz w:val="20"/>
          <w:szCs w:val="20"/>
        </w:rPr>
        <w:t>Nos valores propostos estarão inclusos todos os custos operacionais, encargos previdenciários, trabalhistas, tributários, comerciais e quaisquer outros que incidam direta ou indiretamente na prestação dos serviços, apurados mediante o preenchimento do modelo de Planilha de Orçamento, conforme anexo III-B deste Edital;</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 xml:space="preserve"> A Contratada deverá arcar com o ônus decorrente de eventual equívoco quanto aos custos variáveis decorrentes de fatores futuros e incertos, tais como os valores providos com o quantitativo de vale transporte, devendo complementá-los, caso o previsto </w:t>
      </w:r>
      <w:r>
        <w:rPr>
          <w:rFonts w:ascii="Verdana" w:hAnsi="Verdana" w:cs="Arial"/>
          <w:color w:val="000000" w:themeColor="text1"/>
          <w:sz w:val="18"/>
          <w:szCs w:val="18"/>
        </w:rPr>
        <w:t>inicialmente em sua proposta não seja satisfatório para o atendimento do objeto da licitação, exceto quando ocorrer algum dos eventos arrolados nos incisos do §1° do artigo 57 da Lei n° 8.666, de 1993.</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000000" w:themeColor="text1"/>
          <w:sz w:val="18"/>
          <w:szCs w:val="18"/>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 n.5/2017. </w:t>
      </w:r>
    </w:p>
    <w:p>
      <w:pPr>
        <w:keepNext w:val="0"/>
        <w:numPr>
          <w:ilvl w:val="2"/>
          <w:numId w:val="3"/>
        </w:numPr>
        <w:shd w:val="clear" w:color="auto" w:fill="auto"/>
        <w:tabs>
          <w:tab w:val="clear" w:pos="708"/>
        </w:tabs>
        <w:suppressAutoHyphens w:val="0"/>
        <w:overflowPunct/>
        <w:spacing w:before="120" w:after="120" w:line="276" w:lineRule="auto"/>
        <w:ind w:left="1134" w:hanging="414"/>
        <w:jc w:val="both"/>
        <w:textAlignment w:val="auto"/>
        <w:rPr>
          <w:rFonts w:ascii="Verdana" w:hAnsi="Verdana" w:cs="Arial"/>
          <w:color w:val="auto"/>
          <w:sz w:val="18"/>
          <w:szCs w:val="18"/>
        </w:rPr>
      </w:pPr>
      <w:r>
        <w:rPr>
          <w:rFonts w:ascii="Verdana" w:hAnsi="Verdana" w:cs="Arial"/>
          <w:color w:val="auto"/>
          <w:sz w:val="18"/>
          <w:szCs w:val="18"/>
        </w:rPr>
        <w:t>A empresa é a única responsável pela cotação correta dos encargos tributários. Em caso de erro ou cotação incompatível com o regime tributário a que se submete, o percentual será mantido durante toda a execução contratual, caso a cotação de percentual for menor que o adequado; se a cotação for maior que o adequado, o excesso será suprimido, unilateralmente, quando do pagamento, e/ou redução, quando da repactuação, para fins de total ressarcimento do débito.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Independentemente do percentual de tributo inserido na planilha, no pagamento dos serviços, serão retidos na fonte os percentuais estabelecidos na legislação vigente.</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A apresentação da proposta implica obrigatoriedade do cumprimento das disposições nela contida, em conformidade com o que dispõe o Termo de Referência,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auto"/>
          <w:sz w:val="20"/>
          <w:szCs w:val="20"/>
        </w:rPr>
      </w:pPr>
      <w:r>
        <w:rPr>
          <w:rFonts w:ascii="Verdana" w:hAnsi="Verdana" w:cs="Arial"/>
          <w:color w:val="auto"/>
          <w:sz w:val="20"/>
          <w:szCs w:val="20"/>
        </w:rPr>
        <w:t>O preço ofertado, tanto na proposta inicial, quanto na etapa de lances, será de exclusiva responsabilidade do licitante, não lhe assistindo o direito de pleitear qualquer alteração, sob alegação de erro, omissão ou qualquer outro pretexto.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auto"/>
          <w:sz w:val="20"/>
          <w:szCs w:val="20"/>
        </w:rPr>
        <w:t>O prazo de validade da proposta não será inferior a 90 (noventa) dias</w:t>
      </w:r>
      <w:r>
        <w:rPr>
          <w:rFonts w:ascii="Verdana" w:hAnsi="Verdana" w:cs="Arial"/>
          <w:b/>
          <w:bCs/>
          <w:color w:val="auto"/>
          <w:sz w:val="20"/>
          <w:szCs w:val="20"/>
        </w:rPr>
        <w:t>,</w:t>
      </w:r>
      <w:r>
        <w:rPr>
          <w:rFonts w:ascii="Verdana" w:hAnsi="Verdana" w:cs="Arial"/>
          <w:color w:val="auto"/>
          <w:sz w:val="20"/>
          <w:szCs w:val="20"/>
        </w:rPr>
        <w:t xml:space="preserve"> a</w:t>
      </w:r>
      <w:r>
        <w:rPr>
          <w:rFonts w:ascii="Verdana" w:hAnsi="Verdana" w:cs="Arial"/>
          <w:color w:val="000000" w:themeColor="text1"/>
          <w:sz w:val="20"/>
          <w:szCs w:val="20"/>
        </w:rPr>
        <w:t xml:space="preserve"> contar da data de sua apresentação.</w:t>
      </w:r>
    </w:p>
    <w:p>
      <w:pPr>
        <w:keepNext w:val="0"/>
        <w:numPr>
          <w:ilvl w:val="1"/>
          <w:numId w:val="3"/>
        </w:numPr>
        <w:shd w:val="clear" w:color="auto" w:fill="auto"/>
        <w:tabs>
          <w:tab w:val="clear" w:pos="708"/>
        </w:tabs>
        <w:suppressAutoHyphens w:val="0"/>
        <w:overflowPunct/>
        <w:spacing w:before="120" w:after="120" w:line="276" w:lineRule="auto"/>
        <w:ind w:left="851" w:hanging="355"/>
        <w:jc w:val="both"/>
        <w:textAlignment w:val="auto"/>
        <w:rPr>
          <w:rFonts w:ascii="Verdana" w:hAnsi="Verdana" w:cs="Arial"/>
          <w:color w:val="000000" w:themeColor="text1"/>
          <w:sz w:val="20"/>
          <w:szCs w:val="20"/>
        </w:rPr>
      </w:pPr>
      <w:r>
        <w:rPr>
          <w:rFonts w:ascii="Verdana" w:hAnsi="Verdana" w:cs="Arial"/>
          <w:color w:val="000000" w:themeColor="text1"/>
          <w:sz w:val="20"/>
          <w:szCs w:val="20"/>
        </w:rPr>
        <w:t>Os licitantes devem respeitar os preços máximos estabelecidos nas normas de regência de contratações públicas federais, quando participarem de licitações públicas; portanto, os preços unitários e global/total propostos não podem ser superiores aos estimados pela Administração.</w:t>
      </w:r>
    </w:p>
    <w:p>
      <w:pPr>
        <w:keepNext w:val="0"/>
        <w:numPr>
          <w:ilvl w:val="2"/>
          <w:numId w:val="3"/>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sz w:val="18"/>
          <w:szCs w:val="18"/>
        </w:rPr>
      </w:pPr>
      <w:r>
        <w:rPr>
          <w:rFonts w:ascii="Verdana" w:hAnsi="Verdana" w:cs="Arial"/>
          <w:color w:val="000000" w:themeColor="text1"/>
          <w:sz w:val="18"/>
          <w:szCs w:val="18"/>
        </w:rPr>
        <w:t>O descumprimento das regras supramencionadas pela Administração por parte do contratado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keepNext w:val="0"/>
        <w:shd w:val="clear" w:color="auto" w:fill="auto"/>
        <w:tabs>
          <w:tab w:val="clear" w:pos="708"/>
        </w:tabs>
        <w:suppressAutoHyphens w:val="0"/>
        <w:overflowPunct/>
        <w:spacing w:before="120" w:after="120" w:line="276" w:lineRule="auto"/>
        <w:ind w:left="360"/>
        <w:jc w:val="both"/>
        <w:textAlignment w:val="auto"/>
        <w:rPr>
          <w:rFonts w:ascii="Verdana" w:hAnsi="Verdana" w:cs="Arial"/>
          <w:sz w:val="18"/>
          <w:szCs w:val="18"/>
        </w:rPr>
      </w:pPr>
    </w:p>
    <w:p>
      <w:pPr>
        <w:keepNext w:val="0"/>
        <w:numPr>
          <w:ilvl w:val="0"/>
          <w:numId w:val="6"/>
        </w:numPr>
        <w:shd w:val="clear" w:color="auto" w:fill="auto"/>
        <w:tabs>
          <w:tab w:val="clear" w:pos="708"/>
        </w:tabs>
        <w:suppressAutoHyphens w:val="0"/>
        <w:overflowPunct/>
        <w:spacing w:before="120" w:after="120" w:line="276" w:lineRule="auto"/>
        <w:jc w:val="both"/>
        <w:textAlignment w:val="auto"/>
        <w:rPr>
          <w:rFonts w:ascii="Verdana" w:hAnsi="Verdana" w:cs="Arial"/>
          <w:vanish/>
          <w:sz w:val="20"/>
          <w:szCs w:val="20"/>
          <w:lang w:eastAsia="en-US"/>
        </w:rPr>
      </w:pPr>
      <w:r>
        <w:rPr>
          <w:rFonts w:ascii="Verdana" w:hAnsi="Verdana" w:cs="Arial"/>
          <w:b/>
          <w:bCs/>
          <w:color w:val="000000"/>
          <w:sz w:val="20"/>
          <w:szCs w:val="20"/>
        </w:rPr>
        <w:t>DA ABERTURA DA SESSÃO, CLASSIFICAÇÃO DAS PROPOSTAS E FORMULAÇÃO DE LANCES</w:t>
      </w: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0"/>
          <w:numId w:val="6"/>
        </w:numPr>
        <w:shd w:val="clear" w:color="auto" w:fill="auto"/>
        <w:tabs>
          <w:tab w:val="clear" w:pos="-12"/>
          <w:tab w:val="clear" w:pos="708"/>
        </w:tabs>
        <w:suppressAutoHyphens w:val="0"/>
        <w:overflowPunct/>
        <w:spacing w:before="120" w:after="120"/>
        <w:jc w:val="both"/>
        <w:textAlignment w:val="auto"/>
        <w:rPr>
          <w:rFonts w:ascii="Verdana" w:hAnsi="Verdana" w:cs="Arial"/>
          <w:vanish/>
          <w:sz w:val="20"/>
          <w:szCs w:val="20"/>
          <w:lang w:eastAsia="en-US"/>
        </w:rPr>
      </w:pPr>
    </w:p>
    <w:p>
      <w:pPr>
        <w:pStyle w:val="64"/>
        <w:keepNext w:val="0"/>
        <w:numPr>
          <w:ilvl w:val="1"/>
          <w:numId w:val="6"/>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p>
    <w:p>
      <w:pPr>
        <w:pStyle w:val="64"/>
        <w:keepNext w:val="0"/>
        <w:numPr>
          <w:ilvl w:val="1"/>
          <w:numId w:val="7"/>
        </w:numPr>
        <w:shd w:val="clear" w:color="auto" w:fill="auto"/>
        <w:tabs>
          <w:tab w:val="clear" w:pos="-12"/>
          <w:tab w:val="clear" w:pos="708"/>
        </w:tabs>
        <w:suppressAutoHyphens w:val="0"/>
        <w:overflowPunct/>
        <w:spacing w:before="120" w:after="120"/>
        <w:jc w:val="both"/>
        <w:textAlignment w:val="auto"/>
        <w:rPr>
          <w:rFonts w:ascii="Verdana" w:hAnsi="Verdana" w:cs="Arial"/>
          <w:color w:val="000000" w:themeColor="text1"/>
          <w:sz w:val="20"/>
          <w:szCs w:val="20"/>
        </w:rPr>
      </w:pPr>
      <w:r>
        <w:rPr>
          <w:rFonts w:ascii="Verdana" w:hAnsi="Verdana" w:cs="Arial"/>
          <w:sz w:val="20"/>
          <w:szCs w:val="20"/>
          <w:lang w:eastAsia="en-US"/>
        </w:rPr>
        <w:t xml:space="preserve">A abertura da presente licitação dar-se-á em sessão </w:t>
      </w:r>
      <w:r>
        <w:rPr>
          <w:rFonts w:ascii="Verdana" w:hAnsi="Verdana" w:cs="Arial"/>
          <w:color w:val="000000" w:themeColor="text1"/>
          <w:sz w:val="20"/>
          <w:szCs w:val="20"/>
          <w:lang w:eastAsia="en-US"/>
        </w:rPr>
        <w:t>pública, por meio de sistema eletrônico, na data, horário e local indicados neste Edital.</w:t>
      </w:r>
    </w:p>
    <w:p>
      <w:pPr>
        <w:pStyle w:val="64"/>
        <w:keepNext w:val="0"/>
        <w:numPr>
          <w:ilvl w:val="1"/>
          <w:numId w:val="7"/>
        </w:numPr>
        <w:shd w:val="clear" w:color="auto" w:fill="auto"/>
        <w:tabs>
          <w:tab w:val="clear" w:pos="-12"/>
          <w:tab w:val="clear" w:pos="708"/>
        </w:tabs>
        <w:suppressAutoHyphens w:val="0"/>
        <w:overflowPunct/>
        <w:spacing w:before="120" w:after="120"/>
        <w:ind w:left="782" w:hanging="357"/>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lang w:eastAsia="en-US"/>
        </w:rPr>
        <w:t xml:space="preserve">Também será desclassificada a proposta que </w:t>
      </w:r>
      <w:r>
        <w:rPr>
          <w:rFonts w:ascii="Verdana" w:hAnsi="Verdana" w:cs="Arial"/>
          <w:b/>
          <w:bCs/>
          <w:color w:val="000000" w:themeColor="text1"/>
          <w:szCs w:val="20"/>
          <w:lang w:eastAsia="en-US"/>
        </w:rPr>
        <w:t>identifique o licitante.</w:t>
      </w:r>
    </w:p>
    <w:p>
      <w:pPr>
        <w:pStyle w:val="73"/>
        <w:keepNext w:val="0"/>
        <w:widowControl/>
        <w:numPr>
          <w:ilvl w:val="1"/>
          <w:numId w:val="7"/>
        </w:numPr>
        <w:spacing w:before="120" w:after="120" w:line="240" w:lineRule="auto"/>
        <w:rPr>
          <w:rFonts w:ascii="Verdana" w:hAnsi="Verdana" w:cs="Arial"/>
          <w:szCs w:val="20"/>
        </w:rPr>
      </w:pPr>
      <w:r>
        <w:rPr>
          <w:rFonts w:ascii="Verdana" w:hAnsi="Verdana" w:cs="Arial"/>
          <w:color w:val="000000" w:themeColor="text1"/>
          <w:szCs w:val="20"/>
        </w:rPr>
        <w:t>A desclassificação será sempre fundamentada e registrada no sistema, com acompanhamento em tempo real por todos os participantes.</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A não desclassificação da proposta não impede o seu julgamento definitivo em sentido contrário, levado a efeito na fase de aceitação.</w:t>
      </w:r>
    </w:p>
    <w:p>
      <w:pPr>
        <w:pStyle w:val="73"/>
        <w:keepNext w:val="0"/>
        <w:widowControl/>
        <w:numPr>
          <w:ilvl w:val="1"/>
          <w:numId w:val="7"/>
        </w:numPr>
        <w:spacing w:before="120" w:after="120"/>
        <w:rPr>
          <w:rFonts w:ascii="Verdana" w:hAnsi="Verdana" w:cs="Arial"/>
          <w:szCs w:val="20"/>
        </w:rPr>
      </w:pPr>
      <w:r>
        <w:rPr>
          <w:rFonts w:ascii="Verdana" w:hAnsi="Verdana" w:cs="Arial"/>
          <w:color w:val="000000" w:themeColor="text1"/>
          <w:szCs w:val="20"/>
        </w:rPr>
        <w:t>O sistema ordenará automaticamente as propostas classificadas, sendo que somente estas participarão da fase de lances.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O sistema disponibilizará campo próprio para troca de mensagens entre o Pregoeiro e os licitantes.</w:t>
      </w:r>
    </w:p>
    <w:p>
      <w:pPr>
        <w:keepNext w:val="0"/>
        <w:numPr>
          <w:ilvl w:val="1"/>
          <w:numId w:val="7"/>
        </w:numPr>
        <w:shd w:val="clear" w:color="auto" w:fill="auto"/>
        <w:tabs>
          <w:tab w:val="clear" w:pos="708"/>
        </w:tabs>
        <w:suppressAutoHyphens w:val="0"/>
        <w:overflowPunct/>
        <w:spacing w:before="120" w:after="120" w:line="276" w:lineRule="auto"/>
        <w:ind w:left="851" w:hanging="426"/>
        <w:jc w:val="both"/>
        <w:textAlignment w:val="auto"/>
        <w:rPr>
          <w:rFonts w:ascii="Verdana" w:hAnsi="Verdana" w:cs="Arial"/>
          <w:color w:val="000000" w:themeColor="text1"/>
          <w:sz w:val="20"/>
          <w:szCs w:val="20"/>
        </w:rPr>
      </w:pPr>
      <w:r>
        <w:rPr>
          <w:rFonts w:ascii="Verdana" w:hAnsi="Verdana" w:cs="Arial"/>
          <w:color w:val="000000" w:themeColor="text1"/>
          <w:sz w:val="20"/>
          <w:szCs w:val="20"/>
        </w:rPr>
        <w:t xml:space="preserve">Iniciada a etapa competitiva, os licitantes deverão encaminhar lances exclusivamente por meio de sistema eletrônico, sendo imediatamente informados do seu recebimento e do valor consignado no registro. </w:t>
      </w:r>
    </w:p>
    <w:p>
      <w:pPr>
        <w:keepNext w:val="0"/>
        <w:numPr>
          <w:ilvl w:val="2"/>
          <w:numId w:val="7"/>
        </w:numPr>
        <w:shd w:val="clear" w:color="auto" w:fill="auto"/>
        <w:tabs>
          <w:tab w:val="clear" w:pos="708"/>
        </w:tabs>
        <w:suppressAutoHyphens w:val="0"/>
        <w:overflowPunct/>
        <w:autoSpaceDE w:val="0"/>
        <w:snapToGrid w:val="0"/>
        <w:spacing w:before="120" w:after="120" w:line="276" w:lineRule="auto"/>
        <w:ind w:left="1134" w:hanging="425"/>
        <w:jc w:val="both"/>
        <w:textAlignment w:val="auto"/>
        <w:rPr>
          <w:rFonts w:ascii="Verdana" w:hAnsi="Verdana" w:eastAsia="Arial" w:cs="Arial"/>
          <w:iCs/>
          <w:color w:val="auto"/>
          <w:sz w:val="18"/>
          <w:szCs w:val="18"/>
        </w:rPr>
      </w:pPr>
      <w:r>
        <w:rPr>
          <w:rFonts w:ascii="Verdana" w:hAnsi="Verdana" w:cs="Arial"/>
          <w:iCs/>
          <w:color w:val="auto"/>
          <w:sz w:val="18"/>
          <w:szCs w:val="18"/>
        </w:rPr>
        <w:t>O lance deverá ser ofertado pelo valor do preço global dos serviços.</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Os licitantes poderão oferecer lances sucessivos, observando o horário fixado para abertura da sessão e as regras estabelecidas no Edital.</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sz w:val="20"/>
          <w:szCs w:val="20"/>
        </w:rPr>
      </w:pPr>
      <w:r>
        <w:rPr>
          <w:rFonts w:ascii="Verdana" w:hAnsi="Verdana" w:cs="Arial"/>
          <w:sz w:val="20"/>
          <w:szCs w:val="20"/>
        </w:rPr>
        <w:t xml:space="preserve">O licitante somente poderá oferecer lance inferior ao último por ele ofertado e registrado pelo sistema. </w:t>
      </w:r>
    </w:p>
    <w:p>
      <w:pPr>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O </w:t>
      </w:r>
      <w:r>
        <w:rPr>
          <w:rFonts w:ascii="Verdana" w:hAnsi="Verdana" w:cs="Arial"/>
          <w:color w:val="auto"/>
          <w:sz w:val="20"/>
          <w:szCs w:val="20"/>
        </w:rPr>
        <w:t>intervalo</w:t>
      </w:r>
      <w:r>
        <w:rPr>
          <w:rFonts w:ascii="Verdana" w:hAnsi="Verdana" w:cs="Arial"/>
          <w:iCs/>
          <w:color w:val="auto"/>
          <w:sz w:val="20"/>
          <w:szCs w:val="20"/>
        </w:rPr>
        <w:t xml:space="preserve"> mínimo de diferença entre os lances, que incidirá tanto em relação aos lances intermediários quanto em relação à proposta que cobrir a melhor oferta deverá ser de R$ 100,00 (cem reais).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iCs/>
          <w:color w:val="auto"/>
          <w:sz w:val="20"/>
          <w:szCs w:val="20"/>
        </w:rPr>
        <w:t xml:space="preserve">Será adotado </w:t>
      </w:r>
      <w:r>
        <w:rPr>
          <w:rFonts w:ascii="Verdana" w:hAnsi="Verdana" w:cs="Arial"/>
          <w:color w:val="auto"/>
          <w:sz w:val="20"/>
          <w:szCs w:val="20"/>
        </w:rPr>
        <w:t xml:space="preserve">para o envio de lances no pregão eletrônico o modo de disputa “aberto”, em que os </w:t>
      </w:r>
      <w:r>
        <w:rPr>
          <w:rFonts w:ascii="Verdana" w:hAnsi="Verdana" w:cs="Arial"/>
          <w:iCs/>
          <w:color w:val="auto"/>
          <w:sz w:val="20"/>
          <w:szCs w:val="20"/>
        </w:rPr>
        <w:t>licitantes</w:t>
      </w:r>
      <w:r>
        <w:rPr>
          <w:rFonts w:ascii="Verdana" w:hAnsi="Verdana" w:cs="Arial"/>
          <w:color w:val="auto"/>
          <w:sz w:val="20"/>
          <w:szCs w:val="20"/>
        </w:rPr>
        <w:t xml:space="preserve"> apresentarão lances públicos e sucessivos, com prorrogações.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etapa de lances da sessão pública terá duração de dez minutos e, após isso, será prorrogada automaticamente pelo sistema quando houver lance ofertado nos últimos dois minutos do período de duração da sessão pública.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A prorrogação automática da etapa de lances, de que trata o item anterior, será de dois minutos e ocorrerá sucessivamente sempre que houver lances enviados nesse período de prorrogação, inclusive no caso de lances intermediários.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Não havendo novos lances na forma estabelecida nos itens anteriores, a sessão pública encerrar-se-á automaticamente.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auto"/>
          <w:sz w:val="20"/>
          <w:szCs w:val="20"/>
        </w:rPr>
        <w:t>Encerrada a fase competitiva sem que haja a prorrogação automática pelo sistema, poderá o pregoeiro, assessorado pela equipe de apoio, justificadamente, admitir o reinício da sessão pública de lances, em prol da consecução do melhor preço.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Não serão aceitos dois ou mais lances de mesmo valor, prevalecendo aquele que for recebido e registrado em </w:t>
      </w:r>
      <w:r>
        <w:rPr>
          <w:rFonts w:ascii="Verdana" w:hAnsi="Verdana" w:cs="Arial"/>
          <w:sz w:val="20"/>
          <w:szCs w:val="20"/>
        </w:rPr>
        <w:t>primeiro</w:t>
      </w:r>
      <w:r>
        <w:rPr>
          <w:rFonts w:ascii="Verdana" w:hAnsi="Verdana" w:cs="Arial"/>
          <w:color w:val="000000"/>
          <w:sz w:val="20"/>
          <w:szCs w:val="20"/>
        </w:rPr>
        <w:t xml:space="preserve"> lugar.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Durante o transcurso </w:t>
      </w:r>
      <w:r>
        <w:rPr>
          <w:rFonts w:ascii="Verdana" w:hAnsi="Verdana" w:cs="Arial"/>
          <w:sz w:val="20"/>
          <w:szCs w:val="20"/>
        </w:rPr>
        <w:t>da</w:t>
      </w:r>
      <w:r>
        <w:rPr>
          <w:rFonts w:ascii="Verdana" w:hAnsi="Verdana" w:cs="Arial"/>
          <w:color w:val="000000" w:themeColor="text1"/>
          <w:sz w:val="20"/>
          <w:szCs w:val="20"/>
        </w:rPr>
        <w:t xml:space="preserve"> sessão pública, os licitantes serão informados, em tempo real, do valor do menor lance registrado, vedada a identificação do licitante.</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No caso de desconexão com o Pregoeiro, no decorrer da etapa competitiva do Pregão, o sistema eletrônico poderá permanecer acessível aos licitantes para a recepção dos lances. </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r>
        <w:rPr>
          <w:rFonts w:ascii="Verdana" w:hAnsi="Verdana" w:cs="Arial"/>
          <w:color w:val="000000" w:themeColor="text1"/>
          <w:sz w:val="20"/>
          <w:szCs w:val="20"/>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O Critério de julgamento adotado será o de </w:t>
      </w:r>
      <w:r>
        <w:rPr>
          <w:rFonts w:ascii="Verdana" w:hAnsi="Verdana" w:cs="Arial"/>
          <w:i/>
          <w:color w:val="auto"/>
          <w:sz w:val="20"/>
          <w:szCs w:val="20"/>
          <w:u w:val="single"/>
        </w:rPr>
        <w:t>menor preço global</w:t>
      </w:r>
      <w:r>
        <w:rPr>
          <w:rFonts w:ascii="Verdana" w:hAnsi="Verdana" w:cs="Arial"/>
          <w:color w:val="000000" w:themeColor="text1"/>
          <w:sz w:val="20"/>
          <w:szCs w:val="20"/>
        </w:rPr>
        <w:t>, que deverá refletir sobre os preços unitários orçados pela UFF e constantes da planilha de orçamento (Anexo III-B) conforme definido neste Edital e seus anexos.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Caso o licitante não apresente lances, concorrerá com o valor de sua proposta inicial.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lang w:eastAsia="en-US"/>
        </w:rPr>
        <w:t>Como o item não é exclusivo para participação de microempresas e empresas de pequeno porte, uma vez encerrada a etapa de lances</w:t>
      </w:r>
      <w:r>
        <w:rPr>
          <w:rFonts w:ascii="Verdana" w:hAnsi="Verdana" w:eastAsia="Zurich BT" w:cs="Arial"/>
          <w:sz w:val="20"/>
          <w:szCs w:val="20"/>
        </w:rPr>
        <w:t>, será efetivada a verificação automática, junto à Receita Federal, do porte da entidade empresarial.</w:t>
      </w:r>
    </w:p>
    <w:p>
      <w:pPr>
        <w:pStyle w:val="64"/>
        <w:keepNext w:val="0"/>
        <w:numPr>
          <w:ilvl w:val="2"/>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18"/>
          <w:szCs w:val="18"/>
        </w:rPr>
      </w:pPr>
      <w:r>
        <w:rPr>
          <w:rFonts w:ascii="Verdana" w:hAnsi="Verdana" w:eastAsia="Zurich BT" w:cs="Arial"/>
          <w:sz w:val="18"/>
          <w:szCs w:val="18"/>
        </w:rPr>
        <w:t xml:space="preserve">O sistema identificará em coluna própria as </w:t>
      </w:r>
      <w:r>
        <w:rPr>
          <w:rFonts w:ascii="Verdana" w:hAnsi="Verdana" w:eastAsia="Zurich BT" w:cs="Arial"/>
          <w:color w:val="000000" w:themeColor="text1"/>
          <w:sz w:val="18"/>
          <w:szCs w:val="18"/>
        </w:rPr>
        <w:t>microempresas e empresas de pequeno</w:t>
      </w:r>
      <w:r>
        <w:rPr>
          <w:rFonts w:ascii="Verdana" w:hAnsi="Verdana" w:eastAsia="Zurich BT" w:cs="Arial"/>
          <w:sz w:val="18"/>
          <w:szCs w:val="18"/>
        </w:rPr>
        <w:t xml:space="preserve">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 xml:space="preserve">Nessas condições, as propostas de </w:t>
      </w:r>
      <w:r>
        <w:rPr>
          <w:rFonts w:ascii="Verdana" w:hAnsi="Verdana" w:eastAsia="Zurich BT" w:cs="Arial"/>
          <w:color w:val="000000" w:themeColor="text1"/>
          <w:sz w:val="20"/>
          <w:szCs w:val="20"/>
        </w:rPr>
        <w:t xml:space="preserve">microempresas e empresas de pequeno porte </w:t>
      </w:r>
      <w:r>
        <w:rPr>
          <w:rFonts w:ascii="Verdana" w:hAnsi="Verdana" w:cs="Arial"/>
          <w:color w:val="000000" w:themeColor="text1"/>
          <w:sz w:val="20"/>
          <w:szCs w:val="20"/>
        </w:rPr>
        <w:t>que se encontrarem na faixa de até 5% (cinco por cento) acima da melhor proposta ou melhor lance serão consideradas empatadas com a primeira colocada.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 xml:space="preserve">Caso a </w:t>
      </w:r>
      <w:r>
        <w:rPr>
          <w:rFonts w:ascii="Verdana" w:hAnsi="Verdana" w:eastAsia="Zurich BT" w:cs="Arial"/>
          <w:color w:val="000000"/>
          <w:sz w:val="20"/>
          <w:szCs w:val="20"/>
        </w:rPr>
        <w:t>microempresa ou a empresa de pequeno porte</w:t>
      </w:r>
      <w:r>
        <w:rPr>
          <w:rFonts w:ascii="Verdana" w:hAnsi="Verdana" w:cs="Arial"/>
          <w:color w:val="000000"/>
          <w:sz w:val="20"/>
          <w:szCs w:val="20"/>
        </w:rPr>
        <w:t xml:space="preserve"> melhor classificada desista ou não se manifeste no prazo estabelecido, serão convocadas as demais licitantes </w:t>
      </w:r>
      <w:r>
        <w:rPr>
          <w:rFonts w:ascii="Verdana" w:hAnsi="Verdana" w:eastAsia="Zurich BT" w:cs="Arial"/>
          <w:color w:val="000000"/>
          <w:sz w:val="20"/>
          <w:szCs w:val="20"/>
        </w:rPr>
        <w:t>microempresa e empresa de pequeno porte</w:t>
      </w:r>
      <w:r>
        <w:rPr>
          <w:rFonts w:ascii="Verdana" w:hAnsi="Verdana" w:cs="Arial"/>
          <w:color w:val="000000"/>
          <w:sz w:val="20"/>
          <w:szCs w:val="20"/>
        </w:rPr>
        <w:t xml:space="preserve"> que se encontrem naquele intervalo de 5% (cinco por cento), na ordem de classificação, para o exercício do mesmo direito, no prazo estabelecido no subitem anterior.</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themeColor="text1"/>
          <w:sz w:val="20"/>
          <w:szCs w:val="20"/>
        </w:rPr>
        <w:t>Havendo eventual empate entre propostas ou lances, o critério de desempate será aquele previsto no art. 3º, § 2º, da Lei nº 8.666, de 1993, assegurando-se a preferência, sucessivamente, aos serviços: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 xml:space="preserve">prestados por empresas brasileiras;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invistam em pesquisa e no desenvolvimento de tecnologia no País;</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18"/>
          <w:szCs w:val="18"/>
        </w:rPr>
      </w:pPr>
      <w:r>
        <w:rPr>
          <w:rFonts w:ascii="Verdana" w:hAnsi="Verdana" w:cs="Arial"/>
          <w:color w:val="000000" w:themeColor="text1"/>
          <w:sz w:val="18"/>
          <w:szCs w:val="18"/>
        </w:rPr>
        <w:t>prestados por empresas que comprovem cumprimento de reserva de cargos prevista em lei para pessoa com deficiência ou para reabilitado da Previdência Social e que atendam às regras de acessibilidade previstas na legislação.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Persistindo </w:t>
      </w:r>
      <w:r>
        <w:rPr>
          <w:rFonts w:ascii="Verdana" w:hAnsi="Verdana" w:eastAsia="Arial" w:cs="Arial"/>
          <w:sz w:val="20"/>
          <w:szCs w:val="20"/>
        </w:rPr>
        <w:t xml:space="preserve">o empate, </w:t>
      </w:r>
      <w:r>
        <w:rPr>
          <w:rFonts w:ascii="Verdana" w:hAnsi="Verdana" w:cs="Arial"/>
          <w:color w:val="000000"/>
          <w:sz w:val="20"/>
          <w:szCs w:val="20"/>
        </w:rPr>
        <w:t>a proposta vencedora será sorteada pelo sistema eletrônico dentre as propostas ou lances empatados</w:t>
      </w:r>
      <w:r>
        <w:rPr>
          <w:rFonts w:ascii="Verdana" w:hAnsi="Verdana" w:eastAsia="Arial" w:cs="Arial"/>
          <w:sz w:val="20"/>
          <w:szCs w:val="20"/>
        </w:rPr>
        <w:t>.</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Encerrada a etapa de envio de lances da sessão pública, o pregoeiro deverá encaminhar, pelo sistema eletrônico, contraproposta ao licitante que tenha apresentado o menor preço, para que seja obtida melhor proposta, vedada a negociação em condições diferentes das previstas neste Edital.</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sz w:val="20"/>
          <w:szCs w:val="20"/>
        </w:rPr>
        <w:t xml:space="preserve">A </w:t>
      </w:r>
      <w:r>
        <w:rPr>
          <w:rFonts w:ascii="Verdana" w:hAnsi="Verdana" w:eastAsia="Arial" w:cs="Arial"/>
          <w:sz w:val="20"/>
          <w:szCs w:val="20"/>
        </w:rPr>
        <w:t>negociação será realizada por meio do sistema, podendo ser acompanhada pelos demais licitantes.</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color w:val="000000"/>
          <w:sz w:val="20"/>
          <w:szCs w:val="20"/>
        </w:rPr>
        <w:t>O pregoeiro solicitará ao licitante</w:t>
      </w:r>
      <w:r>
        <w:rPr>
          <w:rFonts w:ascii="Verdana" w:hAnsi="Verdana" w:cs="Arial"/>
          <w:color w:val="000000" w:themeColor="text1"/>
          <w:sz w:val="20"/>
          <w:szCs w:val="20"/>
        </w:rPr>
        <w:t xml:space="preserve"> mais bem classificado</w:t>
      </w:r>
      <w:r>
        <w:rPr>
          <w:rFonts w:ascii="Verdana" w:hAnsi="Verdana" w:cs="Arial"/>
          <w:color w:val="000000"/>
          <w:sz w:val="20"/>
          <w:szCs w:val="20"/>
        </w:rPr>
        <w:t xml:space="preserve"> que,</w:t>
      </w:r>
      <w:r>
        <w:rPr>
          <w:rFonts w:ascii="Verdana" w:hAnsi="Verdana" w:cs="Arial"/>
          <w:color w:val="000000" w:themeColor="text1"/>
          <w:sz w:val="20"/>
          <w:szCs w:val="20"/>
        </w:rPr>
        <w:t xml:space="preserve"> no prazo </w:t>
      </w:r>
      <w:r>
        <w:rPr>
          <w:rFonts w:ascii="Verdana" w:hAnsi="Verdana" w:cs="Arial"/>
          <w:color w:val="000000" w:themeColor="text1"/>
          <w:sz w:val="20"/>
          <w:szCs w:val="20"/>
          <w:u w:val="single"/>
        </w:rPr>
        <w:t>mínimo de 02 (duas) horas</w:t>
      </w:r>
      <w:r>
        <w:rPr>
          <w:rFonts w:ascii="Verdana" w:hAnsi="Verdana" w:cs="Arial"/>
          <w:color w:val="000000" w:themeColor="text1"/>
          <w:sz w:val="20"/>
          <w:szCs w:val="20"/>
        </w:rPr>
        <w:t>, envie</w:t>
      </w:r>
      <w:r>
        <w:rPr>
          <w:rFonts w:ascii="Verdana" w:hAnsi="Verdana" w:cs="Arial"/>
          <w:color w:val="000000"/>
          <w:sz w:val="20"/>
          <w:szCs w:val="20"/>
        </w:rPr>
        <w:t xml:space="preserve"> a proposta adequada ao último lance ofertado após a negociação realizada, acompanhada, se for o caso, dos documentos complementares, quando necessários à confirmação daqueles exigidos neste Edital e já apresentados.</w:t>
      </w:r>
      <w:r>
        <w:rPr>
          <w:rFonts w:ascii="Verdana" w:hAnsi="Verdana" w:cs="Arial"/>
          <w:sz w:val="20"/>
          <w:szCs w:val="20"/>
        </w:rPr>
        <w:t xml:space="preserve"> </w:t>
      </w:r>
    </w:p>
    <w:p>
      <w:pPr>
        <w:pStyle w:val="64"/>
        <w:keepNext w:val="0"/>
        <w:numPr>
          <w:ilvl w:val="2"/>
          <w:numId w:val="7"/>
        </w:numPr>
        <w:shd w:val="clear" w:color="auto" w:fill="auto"/>
        <w:tabs>
          <w:tab w:val="clear" w:pos="708"/>
        </w:tabs>
        <w:suppressAutoHyphens w:val="0"/>
        <w:overflowPunct/>
        <w:spacing w:before="120" w:after="120" w:line="276" w:lineRule="auto"/>
        <w:ind w:left="1134" w:hanging="425"/>
        <w:jc w:val="both"/>
        <w:textAlignment w:val="auto"/>
        <w:rPr>
          <w:rFonts w:ascii="Verdana" w:hAnsi="Verdana" w:cs="Arial"/>
          <w:iCs/>
          <w:color w:val="auto"/>
          <w:sz w:val="20"/>
          <w:szCs w:val="20"/>
        </w:rPr>
      </w:pPr>
      <w:r>
        <w:rPr>
          <w:rFonts w:ascii="Verdana" w:hAnsi="Verdana" w:eastAsia="Arial" w:cs="Arial"/>
          <w:sz w:val="20"/>
          <w:szCs w:val="20"/>
        </w:rPr>
        <w:t xml:space="preserve">É facultado ao pregoeiro prorrogar o prazo estabelecido, a partir de solicitação fundamentada feita no chat </w:t>
      </w:r>
      <w:r>
        <w:rPr>
          <w:rFonts w:ascii="Arial" w:hAnsi="Arial" w:eastAsia="SimSun" w:cs="Arial"/>
          <w:b/>
          <w:bCs/>
          <w:color w:val="000000"/>
          <w:sz w:val="20"/>
          <w:szCs w:val="20"/>
          <w:shd w:val="clear" w:color="auto" w:fill="FFFFFF"/>
        </w:rPr>
        <w:t xml:space="preserve">ou também por meio do e-mail </w:t>
      </w:r>
      <w:r>
        <w:fldChar w:fldCharType="begin"/>
      </w:r>
      <w:r>
        <w:instrText xml:space="preserve"> HYPERLINK "mailto:cpl@id.uff.br" </w:instrText>
      </w:r>
      <w:r>
        <w:fldChar w:fldCharType="separate"/>
      </w:r>
      <w:r>
        <w:rPr>
          <w:rStyle w:val="10"/>
          <w:rFonts w:ascii="Arial" w:hAnsi="Arial" w:eastAsia="SimSun" w:cs="Arial"/>
          <w:b/>
          <w:bCs/>
          <w:color w:val="1155CC"/>
          <w:sz w:val="20"/>
          <w:szCs w:val="20"/>
          <w:shd w:val="clear" w:color="auto" w:fill="FFFFFF"/>
        </w:rPr>
        <w:t>cpl@id.uff.b</w:t>
      </w:r>
      <w:r>
        <w:rPr>
          <w:rStyle w:val="10"/>
          <w:rFonts w:ascii="Arial" w:hAnsi="Arial" w:eastAsia="SimSun" w:cs="Arial"/>
          <w:color w:val="1155CC"/>
          <w:sz w:val="20"/>
          <w:szCs w:val="20"/>
          <w:shd w:val="clear" w:color="auto" w:fill="FFFFFF"/>
        </w:rPr>
        <w:t>r</w:t>
      </w:r>
      <w:r>
        <w:rPr>
          <w:rStyle w:val="10"/>
          <w:rFonts w:ascii="Arial" w:hAnsi="Arial" w:eastAsia="SimSun" w:cs="Arial"/>
          <w:color w:val="1155CC"/>
          <w:sz w:val="20"/>
          <w:szCs w:val="20"/>
          <w:shd w:val="clear" w:color="auto" w:fill="FFFFFF"/>
        </w:rPr>
        <w:fldChar w:fldCharType="end"/>
      </w:r>
      <w:r>
        <w:rPr>
          <w:rFonts w:ascii="SimSun" w:hAnsi="SimSun" w:eastAsia="SimSun" w:cs="SimSun"/>
        </w:rPr>
        <w:t xml:space="preserve"> </w:t>
      </w:r>
      <w:r>
        <w:rPr>
          <w:rFonts w:ascii="Verdana" w:hAnsi="Verdana" w:eastAsia="Arial" w:cs="Arial"/>
          <w:sz w:val="20"/>
          <w:szCs w:val="20"/>
        </w:rPr>
        <w:t>pelo licitante, antes de findo o prazo.</w:t>
      </w:r>
    </w:p>
    <w:p>
      <w:pPr>
        <w:pStyle w:val="64"/>
        <w:keepNext w:val="0"/>
        <w:numPr>
          <w:ilvl w:val="1"/>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eastAsia="Arial" w:cs="Arial"/>
          <w:sz w:val="20"/>
          <w:szCs w:val="20"/>
        </w:rPr>
        <w:t>Após a negociação do preço, o Pregoeiro iniciará a fase de aceitação e julgamento da proposta.</w:t>
      </w:r>
    </w:p>
    <w:p>
      <w:pPr>
        <w:pStyle w:val="64"/>
        <w:keepNext w:val="0"/>
        <w:shd w:val="clear" w:color="auto" w:fill="auto"/>
        <w:tabs>
          <w:tab w:val="clear" w:pos="708"/>
        </w:tabs>
        <w:suppressAutoHyphens w:val="0"/>
        <w:overflowPunct/>
        <w:spacing w:before="120" w:after="120" w:line="276" w:lineRule="auto"/>
        <w:ind w:left="785"/>
        <w:jc w:val="both"/>
        <w:textAlignment w:val="auto"/>
        <w:rPr>
          <w:rFonts w:ascii="Verdana" w:hAnsi="Verdana" w:cs="Arial"/>
          <w:iCs/>
          <w:color w:val="auto"/>
          <w:sz w:val="20"/>
          <w:szCs w:val="20"/>
        </w:rPr>
      </w:pPr>
    </w:p>
    <w:p>
      <w:pPr>
        <w:pStyle w:val="64"/>
        <w:keepNext w:val="0"/>
        <w:numPr>
          <w:ilvl w:val="0"/>
          <w:numId w:val="7"/>
        </w:numPr>
        <w:shd w:val="clear" w:color="auto" w:fill="auto"/>
        <w:tabs>
          <w:tab w:val="clear" w:pos="708"/>
        </w:tabs>
        <w:suppressAutoHyphens w:val="0"/>
        <w:overflowPunct/>
        <w:spacing w:before="120" w:after="120" w:line="276" w:lineRule="auto"/>
        <w:jc w:val="both"/>
        <w:textAlignment w:val="auto"/>
        <w:rPr>
          <w:rFonts w:ascii="Verdana" w:hAnsi="Verdana" w:cs="Arial"/>
          <w:iCs/>
          <w:color w:val="auto"/>
          <w:sz w:val="20"/>
          <w:szCs w:val="20"/>
        </w:rPr>
      </w:pPr>
      <w:r>
        <w:rPr>
          <w:rFonts w:ascii="Verdana" w:hAnsi="Verdana" w:cs="Arial"/>
          <w:b/>
          <w:bCs/>
          <w:color w:val="000000"/>
          <w:sz w:val="20"/>
          <w:szCs w:val="20"/>
          <w:lang w:eastAsia="en-US"/>
        </w:rPr>
        <w:t>DA ACEITABILIDADE DA PROPOSTA VENCEDORA.</w:t>
      </w:r>
      <w:r>
        <w:rPr>
          <w:rFonts w:ascii="Verdana" w:hAnsi="Verdana" w:cs="Arial"/>
          <w:color w:val="000000"/>
          <w:sz w:val="20"/>
          <w:szCs w:val="20"/>
        </w:rPr>
        <w:t xml:space="preserve"> </w:t>
      </w:r>
    </w:p>
    <w:p>
      <w:pPr>
        <w:pStyle w:val="73"/>
        <w:keepNext w:val="0"/>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Encerrada a etapa de negociação, o pregoeiro examinará a proposta classificada em primeiro lugar quanto à adequação ao objeto e à compatibilidade dos preços em relação ao máximo estipulado para contratação neste Edital e em seus anexos, observado o disposto no parágrafo único do art. 7º e no § 9º do art. 26 do Decreto n.º 10.024/2019.</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A proposta a ser encaminhada deverá ser composta e conterem:</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Carta de apresentação da proposta</w:t>
      </w:r>
      <w:r>
        <w:rPr>
          <w:rFonts w:ascii="Verdana" w:hAnsi="Verdana" w:cs="Arial"/>
          <w:sz w:val="18"/>
          <w:szCs w:val="18"/>
        </w:rPr>
        <w:t xml:space="preserve"> conforme modelo do Anexo VI;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Valor do preço global para a execução dos serviços proposto, discriminados também por extenso.</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Prazo de validade da proposta não inferior a 90 (noventa) dias, a contar da data de abertura do certame.</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Prazo de execução dos serviços, de acordo com o contido no Termo de Referência; </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Especificações do objeto de forma clara, observadas as especificações constantes dos anexos elaborados pela Administração;</w:t>
      </w:r>
    </w:p>
    <w:p>
      <w:pPr>
        <w:pStyle w:val="73"/>
        <w:keepNext w:val="0"/>
        <w:widowControl/>
        <w:numPr>
          <w:ilvl w:val="1"/>
          <w:numId w:val="7"/>
        </w:numPr>
        <w:spacing w:before="120" w:after="120"/>
        <w:textAlignment w:val="auto"/>
        <w:rPr>
          <w:rFonts w:ascii="Verdana" w:hAnsi="Verdana" w:eastAsia="Times New Roman" w:cs="Arial"/>
          <w:szCs w:val="20"/>
        </w:rPr>
      </w:pPr>
      <w:r>
        <w:rPr>
          <w:rFonts w:ascii="Verdana" w:hAnsi="Verdana" w:eastAsia="Times New Roman" w:cs="Arial"/>
          <w:szCs w:val="20"/>
        </w:rPr>
        <w:t xml:space="preserve"> Anexo à Carta Proposta deverá apresentar os seguintes documentos, todos conforme modelos anexos a este edital:</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vistoria</w:t>
      </w:r>
      <w:r>
        <w:rPr>
          <w:rFonts w:ascii="Verdana" w:hAnsi="Verdana" w:cs="Arial"/>
          <w:sz w:val="18"/>
          <w:szCs w:val="18"/>
        </w:rPr>
        <w:t xml:space="preserve"> ao local dos serviços, conforme Anexo VII </w:t>
      </w:r>
      <w:r>
        <w:rPr>
          <w:rFonts w:ascii="Verdana" w:hAnsi="Verdana" w:cs="Arial"/>
          <w:b/>
          <w:bCs/>
          <w:sz w:val="18"/>
          <w:szCs w:val="18"/>
          <w:u w:val="single"/>
        </w:rPr>
        <w:t>ou declaração de não vistoria</w:t>
      </w:r>
      <w:r>
        <w:rPr>
          <w:rFonts w:ascii="Verdana" w:hAnsi="Verdana" w:cs="Arial"/>
          <w:sz w:val="18"/>
          <w:szCs w:val="18"/>
        </w:rPr>
        <w:t xml:space="preserve"> dos serviços conforme Anexo VIII;</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Declaração de responsabilidade</w:t>
      </w:r>
      <w:r>
        <w:rPr>
          <w:rFonts w:ascii="Verdana" w:hAnsi="Verdana" w:cs="Arial"/>
          <w:sz w:val="18"/>
          <w:szCs w:val="18"/>
        </w:rPr>
        <w:t xml:space="preserve"> conforme modelo do Anexo IX;</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Orçamentária</w:t>
      </w:r>
      <w:r>
        <w:rPr>
          <w:rFonts w:ascii="Verdana" w:hAnsi="Verdana" w:cs="Arial"/>
          <w:sz w:val="18"/>
          <w:szCs w:val="18"/>
        </w:rPr>
        <w:t xml:space="preserve"> com os preços unitários e valor global da proposta para execução dos serviços, ajustada adequadamente ao último lance vencedor, em algarismo, expresso em moeda corrente nacional (real), de acordo com os preços praticados no mercado, considerando o modelo de Planilha Orçamentária anexo III-B ao Edital;</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Como o critério de julgamento será o de menor preço global, esse deverá refletir sobre os preços </w:t>
      </w:r>
      <w:r>
        <w:rPr>
          <w:rFonts w:ascii="Verdana" w:hAnsi="Verdana" w:cs="Arial"/>
          <w:color w:val="000000"/>
          <w:sz w:val="18"/>
          <w:szCs w:val="18"/>
        </w:rPr>
        <w:t>unitários dos itens do orçamento apresentado pela UFF (Anexo III-B), que tratando-se de menor preço, os novos preços unitários propostos pela licitante, serão obrigatoriamente iguais ou inferiores aos apresentados pela UFF;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color w:val="000000"/>
          <w:sz w:val="18"/>
          <w:szCs w:val="18"/>
        </w:rPr>
        <w:t xml:space="preserve">– Não serão admitidas alterações de especificações, unidades, quantitativos, custos unitários, valor de BDI e preços unitários utilizados pela UFF; se tal ocorrência for constatada, será motivo de desclassificação da proposta; seus valores estão bloqueados para edição no Anexo III-B. </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xml:space="preserve">- </w:t>
      </w:r>
      <w:bookmarkStart w:id="4" w:name="_Hlk103941167"/>
      <w:r>
        <w:rPr>
          <w:rFonts w:ascii="Verdana" w:hAnsi="Verdana"/>
          <w:sz w:val="18"/>
          <w:szCs w:val="18"/>
        </w:rPr>
        <w:t>A soma dos preços totais ajustados de cada item de serviço,</w:t>
      </w:r>
      <w:bookmarkEnd w:id="4"/>
      <w:r>
        <w:rPr>
          <w:rFonts w:ascii="Verdana" w:hAnsi="Verdana"/>
          <w:sz w:val="18"/>
          <w:szCs w:val="18"/>
        </w:rPr>
        <w:t xml:space="preserve"> comporá o preço global proposto pela empresa vencedora, que deverá estar consignado na Carta de Apresentação da Proposta </w:t>
      </w:r>
      <w:r>
        <w:rPr>
          <w:rFonts w:ascii="Verdana" w:hAnsi="Verdana"/>
          <w:bCs/>
          <w:sz w:val="18"/>
          <w:szCs w:val="18"/>
        </w:rPr>
        <w:t>em algarismo arábico e por extenso</w:t>
      </w:r>
      <w:r>
        <w:rPr>
          <w:rFonts w:ascii="Verdana" w:hAnsi="Verdana"/>
          <w:sz w:val="18"/>
          <w:szCs w:val="18"/>
        </w:rPr>
        <w:t>.</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sz w:val="18"/>
          <w:szCs w:val="18"/>
        </w:rPr>
        <w:t>- A</w:t>
      </w:r>
      <w:r>
        <w:rPr>
          <w:rFonts w:ascii="Verdana" w:hAnsi="Verdana" w:cs="Arial"/>
          <w:bCs/>
          <w:sz w:val="18"/>
          <w:szCs w:val="18"/>
        </w:rPr>
        <w:t xml:space="preserve"> planilha de orçamento deve estar assinada pelo responsável técnico pela sua confecção (Art. 14 Lei Federal 5.194/66), identificado com o nome e número do seu CREA/CAU/CRT e pelo representante legal da empresa, identificado pelo seu nome, CPF e com carimbo do CNPJ, no formato PDF;</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bCs/>
          <w:sz w:val="18"/>
          <w:szCs w:val="18"/>
        </w:rPr>
        <w:t xml:space="preserve">- </w:t>
      </w:r>
      <w:r>
        <w:rPr>
          <w:rFonts w:ascii="Verdana" w:hAnsi="Verdana" w:cs="Arial"/>
          <w:sz w:val="18"/>
          <w:szCs w:val="18"/>
        </w:rPr>
        <w:t>Nos preços cotados deverão estar incluídos todos os insumos que os compõem, tais como despesas com impostos, taxas, fretes, seguros e quaisquer outros que incidam na contratação do objeto;</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 Todos os dados informados pelo licitante em sua planilha deverão refletir com fidelidade os custos especificados e a margem de lucro pretendida;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 Não se admitirá, na proposta de preços, custos identificados mediante o uso da expressão “verba” ou de unidades genéricas.</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eastAsia="Times New Roman" w:cs="Arial"/>
          <w:sz w:val="18"/>
          <w:szCs w:val="18"/>
        </w:rPr>
        <w:t xml:space="preserve">– </w:t>
      </w:r>
      <w:r>
        <w:rPr>
          <w:rFonts w:ascii="Verdana" w:hAnsi="Verdana" w:eastAsia="Times New Roman" w:cs="Arial"/>
          <w:b/>
          <w:bCs/>
          <w:sz w:val="18"/>
          <w:szCs w:val="18"/>
          <w:u w:val="single"/>
        </w:rPr>
        <w:t>Planilha Resumo do Orçamento:</w:t>
      </w:r>
      <w:r>
        <w:rPr>
          <w:rFonts w:ascii="Verdana" w:hAnsi="Verdana" w:eastAsia="Times New Roman" w:cs="Arial"/>
          <w:sz w:val="18"/>
          <w:szCs w:val="18"/>
        </w:rPr>
        <w:t xml:space="preserve"> conforme modelo da planilha do Anexo III-A, onde será demonstrado, inclusive os preços orçados pela UFF;</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 de Cronograma Físico e Financeiro</w:t>
      </w:r>
      <w:r>
        <w:rPr>
          <w:rFonts w:ascii="Verdana" w:hAnsi="Verdana" w:cs="Arial"/>
          <w:sz w:val="18"/>
          <w:szCs w:val="18"/>
        </w:rPr>
        <w:t>, conforme modelo da planilha do Anexo III-C;</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de BDI</w:t>
      </w:r>
      <w:r>
        <w:rPr>
          <w:rFonts w:ascii="Verdana" w:hAnsi="Verdana" w:cs="Arial"/>
          <w:sz w:val="18"/>
          <w:szCs w:val="18"/>
        </w:rPr>
        <w:t>, aplicados aos preços unitários, detalhando todos os seus componentes, inclusive em forma percentual, conforme modelos contidos nos Anexo IV;</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custos relativos a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As alíquotas de tributos cotadas pelo licitante não podem ser superiores aos limites estabelecidos na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Fonts w:ascii="Verdana" w:hAnsi="Verdana" w:cs="Arial"/>
          <w:sz w:val="18"/>
          <w:szCs w:val="18"/>
        </w:rPr>
        <w:t>Os tributos considerados de natureza direta e personalística, como o Imposto de Renda de Pessoa Jurídica - IRPJ e a Contribuição Sobre o Lucro Líquido - CSLL, não deverão ser incluídos no BDI;</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73"/>
        <w:keepNext w:val="0"/>
        <w:widowControl/>
        <w:numPr>
          <w:ilvl w:val="3"/>
          <w:numId w:val="7"/>
        </w:numPr>
        <w:spacing w:before="120" w:after="120"/>
        <w:ind w:left="1701" w:hanging="567"/>
        <w:textAlignment w:val="auto"/>
        <w:rPr>
          <w:rFonts w:ascii="Verdana" w:hAnsi="Verdana" w:eastAsia="Times New Roman" w:cs="Arial"/>
          <w:sz w:val="18"/>
          <w:szCs w:val="18"/>
        </w:rPr>
      </w:pPr>
      <w:r>
        <w:rPr>
          <w:rStyle w:val="61"/>
          <w:rFonts w:ascii="Verdana" w:hAnsi="Verdana"/>
          <w:color w:val="000000" w:themeColor="text1"/>
          <w:sz w:val="18"/>
          <w:szCs w:val="18"/>
        </w:rPr>
        <w:t>As empresas optantes pelo Simples Nacional deverão apresentar os percentuais de ISS, PIS e COFINS, discriminados na composição do BDI, compatíveis com as alíquotas a que estão obrigadas a recolher, conforme previsão contida na Lei Complementar 123/2006.</w:t>
      </w:r>
    </w:p>
    <w:p>
      <w:pPr>
        <w:pStyle w:val="73"/>
        <w:keepNext w:val="0"/>
        <w:widowControl/>
        <w:numPr>
          <w:ilvl w:val="2"/>
          <w:numId w:val="7"/>
        </w:numPr>
        <w:spacing w:before="120" w:after="120"/>
        <w:ind w:left="1134" w:hanging="425"/>
        <w:textAlignment w:val="auto"/>
        <w:rPr>
          <w:rFonts w:ascii="Verdana" w:hAnsi="Verdana" w:eastAsia="Times New Roman" w:cs="Arial"/>
          <w:sz w:val="18"/>
          <w:szCs w:val="18"/>
        </w:rPr>
      </w:pPr>
      <w:r>
        <w:rPr>
          <w:rFonts w:ascii="Verdana" w:hAnsi="Verdana" w:cs="Arial"/>
          <w:sz w:val="18"/>
          <w:szCs w:val="18"/>
        </w:rPr>
        <w:t xml:space="preserve">– </w:t>
      </w:r>
      <w:r>
        <w:rPr>
          <w:rFonts w:ascii="Verdana" w:hAnsi="Verdana" w:cs="Arial"/>
          <w:b/>
          <w:bCs/>
          <w:sz w:val="18"/>
          <w:szCs w:val="18"/>
          <w:u w:val="single"/>
        </w:rPr>
        <w:t>Planilhas demonstrativas dos cálculos dos encargos sociais</w:t>
      </w:r>
      <w:r>
        <w:rPr>
          <w:rFonts w:ascii="Verdana" w:hAnsi="Verdana" w:cs="Arial"/>
          <w:sz w:val="18"/>
          <w:szCs w:val="18"/>
        </w:rPr>
        <w:t>, aplicados na composição dos preços unitários, conforme modelos dos Anexos V;</w:t>
      </w:r>
    </w:p>
    <w:p>
      <w:pPr>
        <w:pStyle w:val="73"/>
        <w:keepNext w:val="0"/>
        <w:widowControl/>
        <w:numPr>
          <w:ilvl w:val="3"/>
          <w:numId w:val="7"/>
        </w:numPr>
        <w:spacing w:before="120" w:after="120"/>
        <w:ind w:left="1701" w:hanging="567"/>
        <w:textAlignment w:val="auto"/>
        <w:rPr>
          <w:rStyle w:val="61"/>
          <w:rFonts w:ascii="Verdana" w:hAnsi="Verdana" w:eastAsia="Times New Roman"/>
          <w:color w:val="auto"/>
          <w:sz w:val="18"/>
          <w:szCs w:val="18"/>
        </w:rPr>
      </w:pPr>
      <w:r>
        <w:rPr>
          <w:rStyle w:val="61"/>
          <w:rFonts w:ascii="Verdana" w:hAnsi="Verdana"/>
          <w:color w:val="000000" w:themeColor="text1"/>
          <w:sz w:val="18"/>
          <w:szCs w:val="18"/>
        </w:rPr>
        <w:t>A composição de encargos sociais das empresas optantes pelo Simples Nacional não poderá incluir os gastos relativos às contribuições que estão dispensadas de recolhimento, conforme dispõe o art. 13, § 3º, da referida Lei Complementar;</w:t>
      </w:r>
    </w:p>
    <w:p>
      <w:pPr>
        <w:pStyle w:val="73"/>
        <w:keepNext w:val="0"/>
        <w:widowControl/>
        <w:numPr>
          <w:ilvl w:val="1"/>
          <w:numId w:val="7"/>
        </w:numPr>
        <w:spacing w:before="120" w:after="120"/>
        <w:textAlignment w:val="auto"/>
        <w:rPr>
          <w:rStyle w:val="61"/>
          <w:rFonts w:ascii="Verdana" w:hAnsi="Verdana" w:eastAsia="Ecofont_Spranq_eco_Sans,Lohit H"/>
          <w:color w:val="auto"/>
          <w:szCs w:val="20"/>
        </w:rPr>
      </w:pPr>
      <w:r>
        <w:rPr>
          <w:rFonts w:ascii="Verdana" w:hAnsi="Verdana" w:cs="Arial"/>
          <w:szCs w:val="20"/>
        </w:rPr>
        <w:t xml:space="preserve"> Para fins de análise da proposta quanto ao cumprimento das especificações do objeto, poderá ser colhida a manifestação escrita do setor requisitante do serviço ou da área especializada no objeto.</w:t>
      </w:r>
    </w:p>
    <w:p>
      <w:pPr>
        <w:pStyle w:val="73"/>
        <w:keepNext w:val="0"/>
        <w:widowControl/>
        <w:numPr>
          <w:ilvl w:val="1"/>
          <w:numId w:val="7"/>
        </w:numPr>
        <w:spacing w:before="120" w:after="120"/>
        <w:textAlignment w:val="auto"/>
        <w:rPr>
          <w:rFonts w:ascii="Verdana" w:hAnsi="Verdana" w:cs="Arial"/>
          <w:color w:val="FF0000"/>
          <w:szCs w:val="20"/>
        </w:rPr>
      </w:pPr>
      <w:r>
        <w:rPr>
          <w:rFonts w:ascii="Verdana" w:hAnsi="Verdana" w:cs="Arial"/>
          <w:szCs w:val="20"/>
        </w:rPr>
        <w:t xml:space="preserve"> Será desclassificada a proposta</w:t>
      </w:r>
      <w:r>
        <w:rPr>
          <w:rFonts w:ascii="Verdana" w:hAnsi="Verdana" w:cs="Arial"/>
          <w:color w:val="FF0000"/>
          <w:szCs w:val="20"/>
        </w:rPr>
        <w:t xml:space="preserve"> </w:t>
      </w:r>
      <w:r>
        <w:rPr>
          <w:rFonts w:ascii="Verdana" w:hAnsi="Verdana" w:cs="Arial"/>
          <w:szCs w:val="20"/>
        </w:rPr>
        <w:t>ou o lance vencedor, nos termos do item 9.1 do Anexo VII-A da In SEGES/MP n. 5/2017, que:</w:t>
      </w:r>
      <w:r>
        <w:rPr>
          <w:rFonts w:ascii="Verdana" w:hAnsi="Verdana" w:eastAsia="Arial" w:cs="Arial"/>
          <w:szCs w:val="20"/>
          <w:highlight w:val="yellow"/>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estiver em conformidade com os requisitos estabelecidos neste edital;</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contenha vício insanável ou ilegalidade;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não apresente as especificações técnicas exigidas no Termo de Referência e/ou anexos;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preços unitários e preço global/total dos serviços que sejam superiores ao da planilha do anexo III-B – Planilha Orçamentária;</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na composição de seus preços:</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taxa de Encargos Sociais ou taxa de B.D.I. inverossímil;</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custo de insumos em desacordo com os preços de mercado;</w:t>
      </w:r>
    </w:p>
    <w:p>
      <w:pPr>
        <w:pStyle w:val="73"/>
        <w:keepNext w:val="0"/>
        <w:widowControl/>
        <w:numPr>
          <w:ilvl w:val="3"/>
          <w:numId w:val="7"/>
        </w:numPr>
        <w:spacing w:before="120" w:after="120"/>
        <w:ind w:left="1701" w:hanging="567"/>
        <w:textAlignment w:val="auto"/>
        <w:rPr>
          <w:rFonts w:ascii="Verdana" w:hAnsi="Verdana" w:cs="Arial"/>
          <w:sz w:val="18"/>
          <w:szCs w:val="18"/>
        </w:rPr>
      </w:pPr>
      <w:r>
        <w:rPr>
          <w:rFonts w:ascii="Verdana" w:hAnsi="Verdana" w:cs="Arial"/>
          <w:sz w:val="18"/>
          <w:szCs w:val="18"/>
        </w:rPr>
        <w:t>quantitativos de mão de obra, materiais ou equipamentos insuficientes para compor a unidade dos serviços.</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w:t>
      </w:r>
      <w:r>
        <w:rPr>
          <w:rFonts w:ascii="Verdana" w:hAnsi="Verdana" w:cs="Arial"/>
          <w:color w:val="000000" w:themeColor="text1"/>
          <w:sz w:val="18"/>
          <w:szCs w:val="18"/>
          <w:lang w:eastAsia="en-US"/>
        </w:rPr>
        <w:t xml:space="preserve"> preço final superior ao preço máximo fixado </w:t>
      </w:r>
      <w:r>
        <w:rPr>
          <w:rFonts w:ascii="Verdana" w:hAnsi="Verdana" w:cs="Arial"/>
          <w:color w:val="000000" w:themeColor="text1"/>
          <w:sz w:val="18"/>
          <w:szCs w:val="18"/>
        </w:rPr>
        <w:t xml:space="preserve">(Acórdão nº 1455/2018 -TCU - Plenário), tanto </w:t>
      </w:r>
      <w:r>
        <w:rPr>
          <w:rFonts w:ascii="Verdana" w:hAnsi="Verdana" w:cs="Arial"/>
          <w:color w:val="000000" w:themeColor="text1"/>
          <w:sz w:val="18"/>
          <w:szCs w:val="18"/>
          <w:lang w:eastAsia="en-US"/>
        </w:rPr>
        <w:t>em custos unitários como no valor global, ou que apresentar preço manifestamente inexequível</w:t>
      </w:r>
      <w:r>
        <w:rPr>
          <w:rFonts w:ascii="Verdana" w:hAnsi="Verdana" w:cs="Arial"/>
          <w:color w:val="000000" w:themeColor="text1"/>
          <w:sz w:val="18"/>
          <w:szCs w:val="18"/>
        </w:rPr>
        <w:t>;</w:t>
      </w:r>
      <w:r>
        <w:rPr>
          <w:rFonts w:ascii="Verdana" w:hAnsi="Verdana" w:cs="Arial"/>
          <w:sz w:val="18"/>
          <w:szCs w:val="18"/>
        </w:rPr>
        <w:t xml:space="preserve"> </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 xml:space="preserve">O regime de execução será o de empreitada por preço unitário, portanto será desclassificada a proposta ou o lance vencedor nos quais se verifique que qualquer um dos seus custos unitários supera o correspondente custo unitário de referência fixado pela Administração, em conformidade com os projetos anexos a este edital.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Quando a licitante não conseguir comprovar que possui ou possuirá recursos suficientes para executar a contento o objeto, será considerada inexequível a proposta de preços ou menor lance que:</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for insuficiente para a cobertura dos custos da contratação, apresente preços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apresentar um ou mais valores da planilha de custo que sejam inferiores àqueles fixados em instrumentos de caráter normativo obrigatório, tais como leis, medidas provisórias e convenções coletivas de trabalho vigentes</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 O exame da inexequibilidade observará a fórmula prevista no art. 48, §§ 1º e 2º, da Lei nº 8.666, de 1993.</w:t>
      </w: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sz w:val="18"/>
          <w:szCs w:val="18"/>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 Qualquer </w:t>
      </w:r>
      <w:r>
        <w:rPr>
          <w:rFonts w:ascii="Verdana" w:hAnsi="Verdana" w:cs="Arial"/>
          <w:szCs w:val="20"/>
        </w:rPr>
        <w:t>interessado</w:t>
      </w:r>
      <w:r>
        <w:rPr>
          <w:rFonts w:ascii="Verdana" w:hAnsi="Verdana" w:cs="Arial"/>
          <w:color w:val="000000"/>
          <w:szCs w:val="20"/>
        </w:rPr>
        <w:t xml:space="preserve"> poderá requerer que se realizem diligências para aferir a exequibilidade e a legalidade das propostas, devendo apresentar as provas ou os indícios que fundamentam a suspeita.</w:t>
      </w:r>
    </w:p>
    <w:p>
      <w:pPr>
        <w:pStyle w:val="73"/>
        <w:keepNext w:val="0"/>
        <w:widowControl/>
        <w:numPr>
          <w:ilvl w:val="2"/>
          <w:numId w:val="7"/>
        </w:numPr>
        <w:spacing w:before="120" w:after="120"/>
        <w:ind w:left="1134" w:hanging="425"/>
        <w:textAlignment w:val="auto"/>
        <w:rPr>
          <w:rFonts w:ascii="Verdana" w:hAnsi="Verdana" w:cs="Arial"/>
          <w:color w:val="000000" w:themeColor="text1"/>
          <w:sz w:val="18"/>
          <w:szCs w:val="18"/>
          <w:lang w:eastAsia="en-US"/>
        </w:rPr>
      </w:pPr>
      <w:r>
        <w:rPr>
          <w:rFonts w:ascii="Verdana" w:hAnsi="Verdana" w:cs="Arial"/>
          <w:color w:val="000000"/>
          <w:sz w:val="18"/>
          <w:szCs w:val="18"/>
        </w:rPr>
        <w:t xml:space="preserve">Na hipótese de necessidade de suspensão da sessão pública para a realização de diligências, com vistas ao saneamento das propostas, a sessão pública somente poderá ser reiniciada mediante aviso prévio no sistema com, no mínimo, vinte e quatro horas de </w:t>
      </w:r>
      <w:r>
        <w:rPr>
          <w:rFonts w:ascii="Verdana" w:hAnsi="Verdana" w:cs="Arial"/>
          <w:sz w:val="18"/>
          <w:szCs w:val="18"/>
        </w:rPr>
        <w:t>antecedência</w:t>
      </w:r>
      <w:r>
        <w:rPr>
          <w:rFonts w:ascii="Verdana" w:hAnsi="Verdana" w:cs="Arial"/>
          <w:color w:val="000000"/>
          <w:sz w:val="18"/>
          <w:szCs w:val="18"/>
        </w:rPr>
        <w:t>, e a ocorrência será registrada em ata.</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lang w:eastAsia="en-US"/>
        </w:rPr>
        <w:t xml:space="preserve"> O Pregoeiro poderá convocar o licitante para enviar documento digital complementar, por meio de funcionalidade disponível no sistema, no prazo de mínimo de 02 (duas) horas, sob pena de não aceitação da </w:t>
      </w:r>
      <w:r>
        <w:rPr>
          <w:rFonts w:ascii="Verdana" w:hAnsi="Verdana" w:cs="Arial"/>
          <w:szCs w:val="20"/>
        </w:rPr>
        <w:t>proposta</w:t>
      </w:r>
      <w:r>
        <w:rPr>
          <w:rFonts w:ascii="Verdana" w:hAnsi="Verdana" w:cs="Arial"/>
          <w:szCs w:val="20"/>
          <w:lang w:eastAsia="en-US"/>
        </w:rPr>
        <w:t>.</w:t>
      </w:r>
      <w:r>
        <w:rPr>
          <w:rFonts w:ascii="Verdana" w:hAnsi="Verdana" w:cs="Arial"/>
          <w:szCs w:val="20"/>
        </w:rPr>
        <w:t xml:space="preserve"> </w:t>
      </w: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0"/>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64"/>
        <w:keepNext w:val="0"/>
        <w:numPr>
          <w:ilvl w:val="1"/>
          <w:numId w:val="8"/>
        </w:numPr>
        <w:shd w:val="clear" w:color="auto" w:fill="auto"/>
        <w:tabs>
          <w:tab w:val="clear" w:pos="-12"/>
          <w:tab w:val="clear" w:pos="708"/>
        </w:tabs>
        <w:suppressAutoHyphens w:val="0"/>
        <w:overflowPunct/>
        <w:spacing w:before="120" w:after="120" w:line="276" w:lineRule="auto"/>
        <w:jc w:val="both"/>
        <w:textAlignment w:val="auto"/>
        <w:rPr>
          <w:rFonts w:ascii="Verdana" w:hAnsi="Verdana" w:eastAsia="WenQuanYi Micro Hei" w:cs="Arial"/>
          <w:vanish/>
          <w:color w:val="000000"/>
          <w:sz w:val="20"/>
          <w:szCs w:val="20"/>
          <w:lang w:eastAsia="en-US" w:bidi="hi-IN"/>
        </w:rPr>
      </w:pPr>
    </w:p>
    <w:p>
      <w:pPr>
        <w:pStyle w:val="73"/>
        <w:keepNext w:val="0"/>
        <w:widowControl/>
        <w:numPr>
          <w:ilvl w:val="2"/>
          <w:numId w:val="7"/>
        </w:numPr>
        <w:spacing w:before="120" w:after="120"/>
        <w:ind w:left="1134" w:hanging="425"/>
        <w:textAlignment w:val="auto"/>
        <w:rPr>
          <w:rFonts w:ascii="Verdana" w:hAnsi="Verdana" w:cs="Arial"/>
          <w:sz w:val="18"/>
          <w:szCs w:val="18"/>
        </w:rPr>
      </w:pPr>
      <w:r>
        <w:rPr>
          <w:rFonts w:ascii="Verdana" w:hAnsi="Verdana" w:cs="Arial"/>
          <w:color w:val="000000"/>
          <w:sz w:val="18"/>
          <w:szCs w:val="18"/>
          <w:lang w:eastAsia="en-US"/>
        </w:rPr>
        <w:t>É facultado ao pregoeiro prorrogar o prazo estabelecido, a partir de solicitação fundamentada feita no chat pelo licitante, antes de findo o prazo.</w:t>
      </w:r>
    </w:p>
    <w:p>
      <w:pPr>
        <w:pStyle w:val="73"/>
        <w:keepNext w:val="0"/>
        <w:widowControl/>
        <w:numPr>
          <w:ilvl w:val="1"/>
          <w:numId w:val="7"/>
        </w:numPr>
        <w:spacing w:before="120" w:after="120"/>
        <w:textAlignment w:val="auto"/>
        <w:rPr>
          <w:rFonts w:ascii="Verdana" w:hAnsi="Verdana" w:eastAsia="Times New Roman" w:cs="Arial"/>
          <w:color w:val="000000" w:themeColor="text1"/>
          <w:szCs w:val="20"/>
          <w:lang w:eastAsia="en-US" w:bidi="ar-SA"/>
        </w:rPr>
      </w:pPr>
      <w:r>
        <w:rPr>
          <w:rFonts w:ascii="Verdana" w:hAnsi="Verdana" w:cs="Arial"/>
          <w:color w:val="000000" w:themeColor="text1"/>
          <w:szCs w:val="20"/>
          <w:lang w:eastAsia="en-US"/>
        </w:rPr>
        <w:t>Erros</w:t>
      </w:r>
      <w:r>
        <w:rPr>
          <w:rFonts w:ascii="Verdana" w:hAnsi="Verdana" w:cs="Arial"/>
          <w:szCs w:val="20"/>
        </w:rPr>
        <w:t xml:space="preserve"> no preenchimento da planilha não constituem motivo para a desclassificaç</w:t>
      </w:r>
      <w:r>
        <w:rPr>
          <w:rFonts w:ascii="Arial" w:hAnsi="Arial" w:cs="Arial"/>
          <w:szCs w:val="20"/>
        </w:rPr>
        <w:t>ã</w:t>
      </w:r>
      <w:r>
        <w:rPr>
          <w:rFonts w:ascii="Verdana" w:hAnsi="Verdana" w:cs="Arial"/>
          <w:szCs w:val="20"/>
        </w:rPr>
        <w:t>o da proposta. A planilha poderá́ ser ajustada pelo licitante, no prazo indicado pelo Pregoeiro, desde que não haja majoração do preço.</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themeColor="text1"/>
          <w:sz w:val="18"/>
          <w:szCs w:val="18"/>
          <w:lang w:eastAsia="en-US"/>
        </w:rPr>
        <w:t xml:space="preserve">O </w:t>
      </w:r>
      <w:r>
        <w:rPr>
          <w:rFonts w:ascii="Verdana" w:hAnsi="Verdana" w:cs="Arial"/>
          <w:color w:val="000000"/>
          <w:sz w:val="18"/>
          <w:szCs w:val="18"/>
          <w:lang w:eastAsia="en-US"/>
        </w:rPr>
        <w:t>ajuste de que trata este dispositivo se limita a sanar erros ou falhas que não alterem a substância das propostas;</w:t>
      </w:r>
    </w:p>
    <w:p>
      <w:pPr>
        <w:pStyle w:val="73"/>
        <w:keepNext w:val="0"/>
        <w:widowControl/>
        <w:numPr>
          <w:ilvl w:val="2"/>
          <w:numId w:val="7"/>
        </w:numPr>
        <w:spacing w:before="120" w:after="120"/>
        <w:ind w:left="1134" w:hanging="425"/>
        <w:textAlignment w:val="auto"/>
        <w:rPr>
          <w:rFonts w:ascii="Verdana" w:hAnsi="Verdana" w:cs="Arial"/>
          <w:color w:val="000000"/>
          <w:sz w:val="18"/>
          <w:szCs w:val="18"/>
          <w:lang w:eastAsia="en-US"/>
        </w:rPr>
      </w:pPr>
      <w:r>
        <w:rPr>
          <w:rFonts w:ascii="Verdana" w:hAnsi="Verdana" w:cs="Arial"/>
          <w:color w:val="000000"/>
          <w:sz w:val="18"/>
          <w:szCs w:val="18"/>
          <w:lang w:eastAsia="en-US"/>
        </w:rPr>
        <w:t>Considera-se erro no preenchimento da planilha passível de correção a indicaç</w:t>
      </w:r>
      <w:r>
        <w:rPr>
          <w:rFonts w:ascii="Arial" w:hAnsi="Arial" w:cs="Arial"/>
          <w:color w:val="000000"/>
          <w:sz w:val="18"/>
          <w:szCs w:val="18"/>
          <w:lang w:eastAsia="en-US"/>
        </w:rPr>
        <w:t>ã</w:t>
      </w:r>
      <w:r>
        <w:rPr>
          <w:rFonts w:ascii="Verdana" w:hAnsi="Verdana" w:cs="Arial"/>
          <w:color w:val="000000"/>
          <w:sz w:val="18"/>
          <w:szCs w:val="18"/>
          <w:lang w:eastAsia="en-US"/>
        </w:rPr>
        <w:t>o de recolhimento de impostos e contribuiç</w:t>
      </w:r>
      <w:r>
        <w:rPr>
          <w:rFonts w:ascii="Arial" w:hAnsi="Arial" w:cs="Arial"/>
          <w:color w:val="000000"/>
          <w:sz w:val="18"/>
          <w:szCs w:val="18"/>
          <w:lang w:eastAsia="en-US"/>
        </w:rPr>
        <w:t>õ</w:t>
      </w:r>
      <w:r>
        <w:rPr>
          <w:rFonts w:ascii="Verdana" w:hAnsi="Verdana" w:cs="Arial"/>
          <w:color w:val="000000"/>
          <w:sz w:val="18"/>
          <w:szCs w:val="18"/>
          <w:lang w:eastAsia="en-US"/>
        </w:rPr>
        <w:t>es na forma do Simples Nacional, quando não cabível esse regime.</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Se a proposta ou lance vencedor for desclassificado, o Pregoeiro examinará a proposta ou lance subsequente, e, assim sucessivamente, na ordem de classificação.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 xml:space="preserve">Havendo necessidade, o Pregoeiro suspenderá a sessão, informando no “chat” a nova data e horário para sua continuidade. </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color w:val="000000"/>
          <w:szCs w:val="20"/>
        </w:rPr>
        <w:t xml:space="preserve">Encerrada a análise quanto à aceitação da proposta, o pregoeiro verificará a habilitação do licitante, </w:t>
      </w:r>
      <w:r>
        <w:rPr>
          <w:rFonts w:ascii="Verdana" w:hAnsi="Verdana" w:cs="Arial"/>
          <w:color w:val="000000" w:themeColor="text1"/>
          <w:szCs w:val="20"/>
          <w:lang w:eastAsia="en-US"/>
        </w:rPr>
        <w:t>observado</w:t>
      </w:r>
      <w:r>
        <w:rPr>
          <w:rFonts w:ascii="Verdana" w:hAnsi="Verdana" w:cs="Arial"/>
          <w:color w:val="000000"/>
          <w:szCs w:val="20"/>
        </w:rPr>
        <w:t xml:space="preserve"> o disposto neste Edital.</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color w:val="000000"/>
          <w:szCs w:val="20"/>
          <w:lang w:eastAsia="en-US"/>
        </w:rPr>
        <w:t>DA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
    <w:p>
      <w:pPr>
        <w:pStyle w:val="73"/>
        <w:keepNext w:val="0"/>
        <w:numPr>
          <w:ilvl w:val="2"/>
          <w:numId w:val="7"/>
        </w:numPr>
        <w:ind w:left="1418" w:hanging="567"/>
        <w:rPr>
          <w:rFonts w:ascii="Verdana" w:hAnsi="Verdana" w:cs="Arial"/>
          <w:bCs/>
          <w:color w:val="000000"/>
          <w:sz w:val="18"/>
          <w:szCs w:val="18"/>
        </w:rPr>
      </w:pPr>
      <w:r>
        <w:rPr>
          <w:rFonts w:ascii="Verdana" w:hAnsi="Verdana" w:cs="Arial"/>
          <w:bCs/>
          <w:color w:val="000000"/>
          <w:sz w:val="18"/>
          <w:szCs w:val="18"/>
        </w:rPr>
        <w:t>SICAF;</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Empresas Inidôneas e Suspensas - CEIS, mantido pela Controladoria-Geral da União (</w:t>
      </w:r>
      <w:r>
        <w:fldChar w:fldCharType="begin"/>
      </w:r>
      <w:r>
        <w:instrText xml:space="preserve"> HYPERLINK "http://www.portaldatransparencia.gov.br/ceis" </w:instrText>
      </w:r>
      <w:r>
        <w:fldChar w:fldCharType="separate"/>
      </w:r>
      <w:r>
        <w:rPr>
          <w:rStyle w:val="10"/>
          <w:rFonts w:ascii="Verdana" w:hAnsi="Verdana" w:cs="Arial"/>
          <w:sz w:val="18"/>
          <w:szCs w:val="18"/>
          <w:lang w:eastAsia="ar-SA"/>
        </w:rPr>
        <w:t>www.portaldatransparencia.gov.br/ceis</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Cadastro Nacional de Condenações Cíveis por Atos de Improbidade Administrativa, mantido pelo Conselho Nacional de Justiça (</w:t>
      </w:r>
      <w:r>
        <w:fldChar w:fldCharType="begin"/>
      </w:r>
      <w:r>
        <w:instrText xml:space="preserve"> HYPERLINK "http://www.cnj.jus.br/improbidade_adm/consultar_requerido.php" </w:instrText>
      </w:r>
      <w:r>
        <w:fldChar w:fldCharType="separate"/>
      </w:r>
      <w:r>
        <w:rPr>
          <w:rStyle w:val="10"/>
          <w:rFonts w:ascii="Verdana" w:hAnsi="Verdana" w:cs="Arial"/>
          <w:sz w:val="18"/>
          <w:szCs w:val="18"/>
          <w:lang w:eastAsia="ar-SA"/>
        </w:rPr>
        <w:t>www.cnj.jus.br/improbidade_adm/consultar_requerido.php</w:t>
      </w:r>
      <w:r>
        <w:rPr>
          <w:rStyle w:val="10"/>
          <w:rFonts w:ascii="Verdana" w:hAnsi="Verdana" w:cs="Arial"/>
          <w:sz w:val="18"/>
          <w:szCs w:val="18"/>
          <w:lang w:eastAsia="ar-SA"/>
        </w:rPr>
        <w:fldChar w:fldCharType="end"/>
      </w:r>
      <w:r>
        <w:rPr>
          <w:rFonts w:ascii="Verdana" w:hAnsi="Verdana" w:cs="Arial"/>
          <w:sz w:val="18"/>
          <w:szCs w:val="18"/>
          <w:lang w:eastAsia="ar-SA"/>
        </w:rPr>
        <w:t>).</w:t>
      </w:r>
    </w:p>
    <w:p>
      <w:pPr>
        <w:pStyle w:val="73"/>
        <w:keepNext w:val="0"/>
        <w:widowControl/>
        <w:numPr>
          <w:ilvl w:val="2"/>
          <w:numId w:val="7"/>
        </w:numPr>
        <w:spacing w:before="120" w:after="120"/>
        <w:ind w:left="1418" w:hanging="567"/>
        <w:textAlignment w:val="auto"/>
        <w:rPr>
          <w:rFonts w:ascii="Verdana" w:hAnsi="Verdana" w:cs="Arial"/>
          <w:sz w:val="18"/>
          <w:szCs w:val="18"/>
          <w:lang w:eastAsia="ar-SA"/>
        </w:rPr>
      </w:pPr>
      <w:r>
        <w:rPr>
          <w:rFonts w:ascii="Verdana" w:hAnsi="Verdana" w:cs="Arial"/>
          <w:sz w:val="18"/>
          <w:szCs w:val="18"/>
          <w:lang w:eastAsia="ar-SA"/>
        </w:rPr>
        <w:t>- Lista de Inidôneos e o Cadastro Integrado de Condenações por Ilícitos Administrativos - CADICON, mantidos pelo Tribunal de Contas da União - TCU;</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lang w:eastAsia="ar-SA"/>
        </w:rPr>
        <w:t>Para a consulta de licitantes pessoa jurídica poderá haver a substituição das consultas dos subitens “b”, “c” e “d” acima pela Consulta Consolidada de Pessoa Jurídica do TCU (</w:t>
      </w:r>
      <w:r>
        <w:fldChar w:fldCharType="begin"/>
      </w:r>
      <w:r>
        <w:instrText xml:space="preserve"> HYPERLINK "https://certidoesapf.apps.tcu.gov.br/" </w:instrText>
      </w:r>
      <w:r>
        <w:fldChar w:fldCharType="separate"/>
      </w:r>
      <w:r>
        <w:rPr>
          <w:rStyle w:val="10"/>
          <w:rFonts w:ascii="Verdana" w:hAnsi="Verdana" w:cs="Arial"/>
          <w:szCs w:val="20"/>
          <w:lang w:eastAsia="ar-SA"/>
        </w:rPr>
        <w:t>https://certidoesapf.apps.tcu.gov.br/</w:t>
      </w:r>
      <w:r>
        <w:rPr>
          <w:rStyle w:val="10"/>
          <w:rFonts w:ascii="Verdana" w:hAnsi="Verdana" w:cs="Arial"/>
          <w:szCs w:val="20"/>
          <w:lang w:eastAsia="ar-SA"/>
        </w:rPr>
        <w:fldChar w:fldCharType="end"/>
      </w:r>
      <w:r>
        <w:rPr>
          <w:rFonts w:ascii="Verdana" w:hAnsi="Verdana" w:cs="Arial"/>
          <w:szCs w:val="20"/>
          <w:lang w:eastAsia="ar-SA"/>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A tentativa de burla será verificada por meio dos vínculos societários, linhas de fornecimento similares, dentre outros.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O licitante será convocado para manifestação previamente à sua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Constatada a existência de sanção, o Pregoeiro reputará o licitante inabilitado, por falta de condição de participação.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lang w:eastAsia="en-US"/>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Caso atendidas as condições de participação, </w:t>
      </w:r>
      <w:r>
        <w:rPr>
          <w:rFonts w:ascii="Verdana" w:hAnsi="Verdana" w:cs="Arial"/>
          <w:szCs w:val="20"/>
        </w:rPr>
        <w:t>a habilitação do licitante será verificada por meio do SICAF, nos documentos por ele abrangidos,</w:t>
      </w:r>
      <w:r>
        <w:rPr>
          <w:rFonts w:ascii="Verdana" w:hAnsi="Verdana" w:cs="Arial"/>
          <w:color w:val="000000" w:themeColor="text1"/>
          <w:szCs w:val="20"/>
        </w:rPr>
        <w:t xml:space="preserve"> em relação à habilitação jurídica, à regularidade fiscal e à qualificação econômica financeira, conforme o disposto na Instrução Normativa SEGES/MP nº 03, de 2018</w:t>
      </w:r>
      <w:r>
        <w:rPr>
          <w:rFonts w:ascii="Verdana" w:hAnsi="Verdana" w:cs="Arial"/>
          <w:szCs w:val="20"/>
        </w:rPr>
        <w:t>;</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bookmarkStart w:id="5" w:name="_Hlk88838545"/>
      <w:r>
        <w:rPr>
          <w:rFonts w:ascii="Verdana" w:hAnsi="Verdana" w:cs="Arial"/>
          <w:b/>
          <w:szCs w:val="20"/>
        </w:rPr>
        <w:t xml:space="preserve"> HABILITAÇÃO JURÍDICA, REGULARIDADE FISCAL E QUALIFICAÇÃO ECÔNOMICA</w:t>
      </w:r>
      <w:bookmarkEnd w:id="5"/>
      <w:r>
        <w:rPr>
          <w:rFonts w:ascii="Verdana" w:hAnsi="Verdana" w:cs="Arial"/>
          <w:b/>
          <w:szCs w:val="20"/>
        </w:rPr>
        <w:t xml:space="preserve"> E FINANCEIRA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themeColor="text1"/>
          <w:szCs w:val="20"/>
        </w:rPr>
        <w:t xml:space="preserve"> Havendo a n</w:t>
      </w:r>
      <w:r>
        <w:rPr>
          <w:rFonts w:ascii="Verdana" w:hAnsi="Verdana" w:cs="Arial"/>
          <w:color w:val="000000"/>
          <w:szCs w:val="20"/>
        </w:rPr>
        <w:t>ecessidade de envio de documentos de habilitação complementares</w:t>
      </w:r>
      <w:r>
        <w:rPr>
          <w:rFonts w:ascii="Verdana" w:hAnsi="Verdana" w:cs="Arial"/>
          <w:color w:val="000000" w:themeColor="text1"/>
          <w:szCs w:val="20"/>
        </w:rPr>
        <w:t xml:space="preserve">, </w:t>
      </w:r>
      <w:r>
        <w:rPr>
          <w:rFonts w:ascii="Verdana" w:hAnsi="Verdana" w:cs="Arial"/>
          <w:color w:val="000000"/>
          <w:szCs w:val="20"/>
        </w:rPr>
        <w:t>necessários à confirmação daqueles exigidos neste Edital e já apresentados, </w:t>
      </w:r>
      <w:r>
        <w:rPr>
          <w:rFonts w:ascii="Verdana" w:hAnsi="Verdana" w:cs="Arial"/>
          <w:color w:val="000000" w:themeColor="text1"/>
          <w:szCs w:val="20"/>
        </w:rPr>
        <w:t xml:space="preserve">o licitante será convocado a encaminhá-los, </w:t>
      </w:r>
      <w:r>
        <w:rPr>
          <w:rFonts w:ascii="Verdana" w:hAnsi="Verdana" w:cs="Arial"/>
          <w:color w:val="000000"/>
          <w:szCs w:val="20"/>
        </w:rPr>
        <w:t>em formato digital, via sistema,</w:t>
      </w:r>
      <w:r>
        <w:rPr>
          <w:rFonts w:ascii="Verdana" w:hAnsi="Verdana" w:cs="Arial"/>
          <w:color w:val="000000" w:themeColor="text1"/>
          <w:szCs w:val="20"/>
        </w:rPr>
        <w:t xml:space="preserve"> no prazo de mínimo de 02</w:t>
      </w:r>
      <w:r>
        <w:rPr>
          <w:rFonts w:ascii="Verdana" w:hAnsi="Verdana" w:cs="Arial"/>
          <w:color w:val="FF0000"/>
          <w:szCs w:val="20"/>
        </w:rPr>
        <w:t xml:space="preserve"> </w:t>
      </w:r>
      <w:r>
        <w:rPr>
          <w:rFonts w:ascii="Verdana" w:hAnsi="Verdana" w:cs="Arial"/>
          <w:szCs w:val="20"/>
        </w:rPr>
        <w:t>(duas)</w:t>
      </w:r>
      <w:r>
        <w:rPr>
          <w:rFonts w:ascii="Verdana" w:hAnsi="Verdana" w:cs="Arial"/>
          <w:i/>
          <w:iCs/>
          <w:szCs w:val="20"/>
        </w:rPr>
        <w:t xml:space="preserve"> </w:t>
      </w:r>
      <w:r>
        <w:rPr>
          <w:rFonts w:ascii="Verdana" w:hAnsi="Verdana" w:cs="Arial"/>
          <w:szCs w:val="20"/>
        </w:rPr>
        <w:t>horas, sob pena de inabilitação;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Os licitantes deverão encaminhar, nos termos deste Edital, a documentação relacionada nos itens a seguir.</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Habilitação jurídica: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No caso de empresário individual: inscrição no Registro Público de Empresas Mercantis, a cargo da Junta Comercial da respectiva sede;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Inscrição no Registro Público de Empresas Mercantis onde opera, com averbação no Registro onde tem sede a matriz, no caso de ser o participante sucursal, filial ou agência;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No caso de sociedade simples: inscrição do ato constitutivo no Registro Civil das Pessoas Jurídicas do local de sua sede, acompanhada de prova da indicação dos seus administradores;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Decreto de autorização, em se tratando de sociedade empresária estrangeira em funcionamento no País;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Os documentos acima deverão estar acompanhados de todas as alterações ou da consolidação respectiva;</w:t>
      </w:r>
    </w:p>
    <w:p>
      <w:pPr>
        <w:pStyle w:val="73"/>
        <w:keepNext w:val="0"/>
        <w:widowControl/>
        <w:spacing w:before="120" w:after="120"/>
        <w:ind w:left="785" w:firstLine="0"/>
        <w:textAlignment w:val="auto"/>
        <w:rPr>
          <w:rFonts w:ascii="Verdana" w:hAnsi="Verdana" w:cs="Arial"/>
          <w:szCs w:val="20"/>
          <w:lang w:eastAsia="ar-SA"/>
        </w:rPr>
      </w:pP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 xml:space="preserve">Regularidade fiscal </w:t>
      </w:r>
      <w:r>
        <w:rPr>
          <w:rFonts w:ascii="Verdana" w:hAnsi="Verdana" w:cs="Arial"/>
          <w:b/>
          <w:szCs w:val="20"/>
        </w:rPr>
        <w:t>e trabalhista</w:t>
      </w:r>
      <w:r>
        <w:rPr>
          <w:rFonts w:ascii="Verdana" w:hAnsi="Verdana" w:eastAsia="Times New Roman" w:cs="Arial"/>
          <w:b/>
          <w:color w:val="000000"/>
          <w:szCs w:val="20"/>
        </w:rPr>
        <w:t>:</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inscrição no Cadastro Nacional de Pessoas Jurídicas;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lang w:eastAsia="en-US"/>
        </w:rPr>
        <w:t>prova de regularidade com o Fundo de Garantia do Tempo de Serviço (FGTS);</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lang w:eastAsia="en-US"/>
        </w:rPr>
        <w:t xml:space="preserve">prova de inexistência de débitos inadimplidos perante a justiça do trabalho, mediante a apresentação de certidão negativa ou positiva com efeito de </w:t>
      </w:r>
      <w:r>
        <w:rPr>
          <w:rFonts w:ascii="Verdana" w:hAnsi="Verdana" w:cs="Arial"/>
          <w:color w:val="000000" w:themeColor="text1"/>
          <w:sz w:val="18"/>
          <w:szCs w:val="18"/>
          <w:lang w:eastAsia="en-US"/>
        </w:rPr>
        <w:t>negativa, nos termos do Título VII-A da consolidação das leis do trabalho, aprovada pelo decreto-lei nº 5.452, de 1º de maio de 1943;</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prova de inscrição no cadastro de contribuintes municipal, relativo ao domicílio ou sede do licitante, pertinente ao seu ramo de atividade e compatível com o objeto contratual;</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 xml:space="preserve">prova de regularidade com a Fazenda Municipal do domicílio ou sede do licitante, </w:t>
      </w:r>
      <w:r>
        <w:rPr>
          <w:rFonts w:ascii="Verdana" w:hAnsi="Verdana" w:cs="Arial"/>
          <w:sz w:val="18"/>
          <w:szCs w:val="18"/>
        </w:rPr>
        <w:t>relativa à atividade em cujo exercício contrata ou concorre;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themeColor="text1"/>
          <w:sz w:val="18"/>
          <w:szCs w:val="18"/>
        </w:rPr>
        <w:t>caso o licitante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b/>
          <w:color w:val="000000"/>
          <w:szCs w:val="20"/>
        </w:rPr>
        <w:t>Qualificação Econômico-Financeira:</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sz w:val="18"/>
          <w:szCs w:val="18"/>
        </w:rPr>
        <w:t xml:space="preserve">Certidão negativa de falência </w:t>
      </w:r>
      <w:r>
        <w:rPr>
          <w:rFonts w:ascii="Verdana" w:hAnsi="Verdana" w:cs="Arial"/>
          <w:color w:val="000000"/>
          <w:sz w:val="18"/>
          <w:szCs w:val="18"/>
        </w:rPr>
        <w:t>expedida pelo distribuidor da sede do licitante;</w:t>
      </w:r>
    </w:p>
    <w:p>
      <w:pPr>
        <w:pStyle w:val="73"/>
        <w:keepNext w:val="0"/>
        <w:widowControl/>
        <w:numPr>
          <w:ilvl w:val="2"/>
          <w:numId w:val="7"/>
        </w:numPr>
        <w:spacing w:before="120" w:after="120"/>
        <w:ind w:left="1134" w:hanging="425"/>
        <w:textAlignment w:val="auto"/>
        <w:rPr>
          <w:rFonts w:ascii="Verdana" w:hAnsi="Verdana" w:cs="Arial"/>
          <w:sz w:val="18"/>
          <w:szCs w:val="18"/>
          <w:lang w:eastAsia="ar-SA"/>
        </w:rPr>
      </w:pPr>
      <w:r>
        <w:rPr>
          <w:rFonts w:ascii="Verdana" w:hAnsi="Verdana" w:cs="Arial"/>
          <w:color w:val="000000"/>
          <w:sz w:val="18"/>
          <w:szCs w:val="18"/>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lang w:eastAsia="en-US"/>
        </w:rPr>
        <w:t>no caso de empresa constituída no exercício social vigente, admite-se a apresentação de balanço patrimoni</w:t>
      </w:r>
      <w:r>
        <w:rPr>
          <w:rFonts w:ascii="Verdana" w:hAnsi="Verdana" w:cs="Arial"/>
          <w:color w:val="000000"/>
          <w:sz w:val="18"/>
          <w:szCs w:val="18"/>
          <w:lang w:eastAsia="en-US" w:bidi="pt-BR"/>
        </w:rPr>
        <w:t>al e demonstrações con</w:t>
      </w:r>
      <w:r>
        <w:rPr>
          <w:rFonts w:ascii="Verdana" w:hAnsi="Verdana" w:cs="Arial"/>
          <w:color w:val="000000"/>
          <w:sz w:val="18"/>
          <w:szCs w:val="18"/>
          <w:lang w:eastAsia="en-US"/>
        </w:rPr>
        <w:t>tábeis referentes ao período de existência da sociedade;</w:t>
      </w:r>
    </w:p>
    <w:p>
      <w:pPr>
        <w:pStyle w:val="73"/>
        <w:keepNext w:val="0"/>
        <w:widowControl/>
        <w:numPr>
          <w:ilvl w:val="3"/>
          <w:numId w:val="7"/>
        </w:numPr>
        <w:spacing w:before="120" w:after="120"/>
        <w:ind w:left="1701" w:hanging="567"/>
        <w:textAlignment w:val="auto"/>
        <w:rPr>
          <w:rFonts w:ascii="Verdana" w:hAnsi="Verdana" w:cs="Arial"/>
          <w:sz w:val="18"/>
          <w:szCs w:val="18"/>
          <w:lang w:eastAsia="ar-SA"/>
        </w:rPr>
      </w:pPr>
      <w:r>
        <w:rPr>
          <w:rFonts w:ascii="Verdana" w:hAnsi="Verdana" w:cs="Arial"/>
          <w:color w:val="000000"/>
          <w:sz w:val="18"/>
          <w:szCs w:val="18"/>
        </w:rPr>
        <w:t>é admissível o balanço intermediário, se decorrer de lei ou contrato/estatuto social.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color w:val="000000" w:themeColor="text1"/>
          <w:sz w:val="18"/>
          <w:szCs w:val="18"/>
        </w:rPr>
        <w:t>comprovação da situação financeira da empresa será constatada mediante obtenção de índices de Liquidez Geral (LG), Solvência Geral (SG) e Liquidez Corrente (LC), superiores a 1 (um), resultantes da aplicação das fórmulas:</w:t>
      </w:r>
    </w:p>
    <w:tbl>
      <w:tblPr>
        <w:tblStyle w:val="23"/>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SG = </w:t>
            </w:r>
          </w:p>
        </w:tc>
        <w:tc>
          <w:tcPr>
            <w:tcW w:w="4961" w:type="dxa"/>
            <w:gridSpan w:val="2"/>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4961" w:type="dxa"/>
            <w:gridSpan w:val="2"/>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restart"/>
            <w:tcBorders>
              <w:top w:val="nil"/>
              <w:left w:val="nil"/>
              <w:bottom w:val="nil"/>
              <w:right w:val="nil"/>
            </w:tcBorders>
            <w:vAlign w:val="center"/>
          </w:tcPr>
          <w:p>
            <w:pPr>
              <w:pStyle w:val="73"/>
              <w:keepNext w:val="0"/>
              <w:widowControl/>
              <w:shd w:val="clear" w:color="auto" w:fill="auto"/>
              <w:spacing w:before="120" w:after="120"/>
              <w:ind w:firstLine="0"/>
              <w:jc w:val="right"/>
              <w:rPr>
                <w:rFonts w:ascii="Verdana" w:hAnsi="Verdana" w:cs="Arial"/>
                <w:sz w:val="18"/>
                <w:szCs w:val="18"/>
              </w:rPr>
            </w:pPr>
            <w:r>
              <w:rPr>
                <w:rFonts w:ascii="Verdana" w:hAnsi="Verdana" w:cs="Arial"/>
                <w:sz w:val="18"/>
                <w:szCs w:val="18"/>
              </w:rPr>
              <w:t xml:space="preserve">LC = </w:t>
            </w:r>
          </w:p>
        </w:tc>
        <w:tc>
          <w:tcPr>
            <w:tcW w:w="2409" w:type="dxa"/>
            <w:tcBorders>
              <w:top w:val="nil"/>
              <w:left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73"/>
              <w:keepNext w:val="0"/>
              <w:widowControl/>
              <w:shd w:val="clear" w:color="auto" w:fill="auto"/>
              <w:spacing w:before="120" w:after="120"/>
              <w:ind w:firstLine="0"/>
              <w:rPr>
                <w:rFonts w:ascii="Verdana" w:hAnsi="Verdana" w:cs="Arial"/>
                <w:sz w:val="18"/>
                <w:szCs w:val="18"/>
              </w:rPr>
            </w:pPr>
          </w:p>
        </w:tc>
        <w:tc>
          <w:tcPr>
            <w:tcW w:w="2409" w:type="dxa"/>
            <w:tcBorders>
              <w:left w:val="nil"/>
              <w:bottom w:val="nil"/>
              <w:right w:val="nil"/>
            </w:tcBorders>
          </w:tcPr>
          <w:p>
            <w:pPr>
              <w:pStyle w:val="73"/>
              <w:keepNext w:val="0"/>
              <w:widowControl/>
              <w:shd w:val="clear" w:color="auto" w:fill="auto"/>
              <w:spacing w:before="120" w:after="120"/>
              <w:ind w:firstLine="0"/>
              <w:jc w:val="center"/>
              <w:rPr>
                <w:rFonts w:ascii="Verdana" w:hAnsi="Verdana" w:cs="Arial"/>
                <w:sz w:val="18"/>
                <w:szCs w:val="18"/>
              </w:rPr>
            </w:pPr>
            <w:r>
              <w:rPr>
                <w:rFonts w:ascii="Verdana" w:hAnsi="Verdana" w:cs="Arial"/>
                <w:sz w:val="18"/>
                <w:szCs w:val="18"/>
              </w:rPr>
              <w:t>Passivo Circulante</w:t>
            </w:r>
          </w:p>
        </w:tc>
      </w:tr>
    </w:tbl>
    <w:p>
      <w:pPr>
        <w:pStyle w:val="73"/>
        <w:numPr>
          <w:ilvl w:val="3"/>
          <w:numId w:val="7"/>
        </w:numPr>
        <w:spacing w:before="120" w:after="120"/>
        <w:rPr>
          <w:rFonts w:ascii="Verdana" w:hAnsi="Verdana" w:cs="Arial"/>
          <w:color w:val="000000" w:themeColor="text1"/>
          <w:sz w:val="18"/>
          <w:szCs w:val="18"/>
        </w:rPr>
      </w:pPr>
      <w:r>
        <w:rPr>
          <w:rFonts w:ascii="Verdana" w:hAnsi="Verdana" w:cs="Arial"/>
          <w:color w:val="000000"/>
          <w:sz w:val="18"/>
          <w:szCs w:val="18"/>
        </w:rPr>
        <w:t xml:space="preserve">As empresas, que apresentarem resultado inferior ou igual a 1(um) em qualquer </w:t>
      </w:r>
      <w:r>
        <w:rPr>
          <w:rFonts w:ascii="Verdana" w:hAnsi="Verdana" w:cs="Arial"/>
          <w:color w:val="000000" w:themeColor="text1"/>
          <w:sz w:val="18"/>
          <w:szCs w:val="18"/>
        </w:rPr>
        <w:t>dos</w:t>
      </w:r>
      <w:r>
        <w:rPr>
          <w:rFonts w:ascii="Verdana" w:hAnsi="Verdana" w:cs="Arial"/>
          <w:color w:val="000000"/>
          <w:sz w:val="18"/>
          <w:szCs w:val="18"/>
        </w:rPr>
        <w:t xml:space="preserve"> índices de Liquidez Geral (LG), Solvência Geral (SG) e Liquidez Corrente (LC), deverão comprovar patrimônio líquido de 10% (dez porcento) do valor total estimado da contratação ou do item pertinente.</w:t>
      </w:r>
    </w:p>
    <w:p>
      <w:pPr>
        <w:pStyle w:val="73"/>
        <w:spacing w:before="120" w:after="120"/>
        <w:ind w:left="785" w:firstLine="0"/>
        <w:rPr>
          <w:rFonts w:ascii="Verdana" w:hAnsi="Verdana" w:cs="Arial"/>
          <w:color w:val="000000" w:themeColor="text1"/>
          <w:szCs w:val="20"/>
        </w:rPr>
      </w:pPr>
    </w:p>
    <w:p>
      <w:pPr>
        <w:pStyle w:val="73"/>
        <w:numPr>
          <w:ilvl w:val="0"/>
          <w:numId w:val="7"/>
        </w:numPr>
        <w:spacing w:before="120" w:after="120"/>
        <w:rPr>
          <w:rFonts w:ascii="Verdana" w:hAnsi="Verdana" w:cs="Arial"/>
          <w:color w:val="000000" w:themeColor="text1"/>
          <w:szCs w:val="20"/>
        </w:rPr>
      </w:pPr>
      <w:r>
        <w:rPr>
          <w:rFonts w:ascii="Verdana" w:hAnsi="Verdana" w:cs="Arial"/>
          <w:b/>
          <w:bCs/>
          <w:iCs/>
          <w:color w:val="000000"/>
          <w:szCs w:val="20"/>
        </w:rPr>
        <w:t>HABILITAÇÃO TÉCNICA: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hAnsi="Verdana" w:cs="Calibri" w:eastAsiaTheme="minorHAnsi"/>
          <w:szCs w:val="20"/>
          <w:lang w:eastAsia="en-US"/>
        </w:rPr>
        <w:t>Os critérios de qualificação técnica a serem atendidos pela Licitante, estão previstos no subitem 19.3 e 19.4 do Termo de Referência (Anexo I).</w:t>
      </w:r>
    </w:p>
    <w:p>
      <w:pPr>
        <w:pStyle w:val="73"/>
        <w:keepNext w:val="0"/>
        <w:widowControl/>
        <w:numPr>
          <w:ilvl w:val="1"/>
          <w:numId w:val="7"/>
        </w:numPr>
        <w:spacing w:before="120" w:after="120"/>
        <w:textAlignment w:val="auto"/>
        <w:rPr>
          <w:rFonts w:ascii="Verdana" w:hAnsi="Verdana" w:cs="Arial"/>
          <w:sz w:val="18"/>
          <w:szCs w:val="18"/>
          <w:lang w:eastAsia="ar-SA"/>
        </w:rPr>
      </w:pPr>
      <w:r>
        <w:rPr>
          <w:rFonts w:ascii="Verdana" w:hAnsi="Verdana"/>
          <w:szCs w:val="20"/>
        </w:rPr>
        <w:t>– O acervo técnico de uma pessoa jurídica é representado pelos acervos técnicos dos profissionais do seu quadro técnico e de seus consultores técnicos devidamente contratados, de acordo com o art. 4º da Resolução 317/86 do CONFEA;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73"/>
        <w:keepNext w:val="0"/>
        <w:widowControl/>
        <w:spacing w:before="120" w:after="120"/>
        <w:ind w:left="360" w:firstLine="0"/>
        <w:textAlignment w:val="auto"/>
        <w:rPr>
          <w:rFonts w:ascii="Verdana" w:hAnsi="Verdana" w:cs="Arial"/>
          <w:b/>
          <w:bCs/>
          <w:szCs w:val="20"/>
          <w:lang w:eastAsia="ar-SA"/>
        </w:rPr>
      </w:pPr>
    </w:p>
    <w:p>
      <w:pPr>
        <w:pStyle w:val="73"/>
        <w:keepNext w:val="0"/>
        <w:widowControl/>
        <w:numPr>
          <w:ilvl w:val="0"/>
          <w:numId w:val="7"/>
        </w:numPr>
        <w:spacing w:before="120" w:after="120"/>
        <w:textAlignment w:val="auto"/>
        <w:rPr>
          <w:rFonts w:ascii="Verdana" w:hAnsi="Verdana" w:cs="Arial"/>
          <w:b/>
          <w:bCs/>
          <w:szCs w:val="20"/>
          <w:lang w:eastAsia="ar-SA"/>
        </w:rPr>
      </w:pPr>
      <w:r>
        <w:rPr>
          <w:rFonts w:ascii="Verdana" w:hAnsi="Verdana"/>
          <w:b/>
          <w:bCs/>
          <w:color w:val="000000"/>
        </w:rPr>
        <w:t>DA DOCUMENTAÇÃO</w:t>
      </w:r>
    </w:p>
    <w:p>
      <w:pPr>
        <w:pStyle w:val="73"/>
        <w:keepNext w:val="0"/>
        <w:widowControl/>
        <w:numPr>
          <w:ilvl w:val="1"/>
          <w:numId w:val="7"/>
        </w:numPr>
        <w:spacing w:before="120" w:after="120"/>
        <w:textAlignment w:val="auto"/>
        <w:rPr>
          <w:rFonts w:ascii="Verdana" w:hAnsi="Verdana" w:cs="Arial"/>
          <w:szCs w:val="20"/>
        </w:rPr>
      </w:pPr>
      <w:r>
        <w:rPr>
          <w:rFonts w:ascii="Verdana" w:hAnsi="Verdana" w:cs="Arial"/>
          <w:szCs w:val="20"/>
        </w:rPr>
        <w:t>A desclassificação da licitante sem que lhe seja conferida a oportunidade para sanear os seus documentos de habilitação e/ou proposta, resulta em objetivo dissociado do interesse público (Acordão n.º 1211/2021 – Plenário do TCU).</w:t>
      </w:r>
    </w:p>
    <w:p>
      <w:pPr>
        <w:pStyle w:val="73"/>
        <w:keepNext w:val="0"/>
        <w:widowControl/>
        <w:numPr>
          <w:ilvl w:val="2"/>
          <w:numId w:val="7"/>
        </w:numPr>
        <w:spacing w:before="120" w:after="120"/>
        <w:textAlignment w:val="auto"/>
        <w:rPr>
          <w:rFonts w:ascii="Verdana" w:hAnsi="Verdana" w:cs="Arial"/>
          <w:sz w:val="18"/>
          <w:szCs w:val="18"/>
        </w:rPr>
      </w:pPr>
      <w:r>
        <w:rPr>
          <w:rFonts w:ascii="Verdana" w:hAnsi="Verdana" w:cs="Arial"/>
          <w:sz w:val="18"/>
          <w:szCs w:val="18"/>
        </w:rPr>
        <w:t>A admissão de juntada de documentos, que apenas venham a atestar condição pré-existente à abertura da sessão pública do certame, não fere os princípios da isonomia e igualdade entre as licitantes. Portanto, não deve ser vedada a inclusão de novo documento comprobatório de condição atendida pela licitante, quando apresentou sua proposta e que não foi juntado com os demais comprovantes de habilitação e/ou proposta. (Acórdão n.º 468/2022 – TCU Plenário)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Não serão aceitos documentos de habilitação com indicação de CNPJ/CPF diferentes, salvo aqueles legalmente permitidos.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Serão aceitos registros de CNPJ de licitante matriz e filial com diferenças de números de documentos pertinentes ao CND e ao CRF/FGTS, quando for comprovada a centralização do recolhimento dessas contribuições.</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não 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Havendo necessidade de analisar minuciosamente os documentos exigidos, o Pregoeiro suspenderá a sessão, informando no “chat” a nova data e horário para sua continuidade.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Será inabilitado o licitante que não comprovar sua habilitação, deixar de apresentar quaisquer dos documentos exigidos para a habilitação, ou apresentá-los em desacordo com o estabelecido neste Edital.</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73"/>
        <w:keepNext w:val="0"/>
        <w:widowControl/>
        <w:spacing w:before="120" w:after="120"/>
        <w:ind w:left="360" w:firstLine="0"/>
        <w:textAlignment w:val="auto"/>
        <w:rPr>
          <w:rFonts w:ascii="Verdana" w:hAnsi="Verdana" w:cs="Arial"/>
          <w:szCs w:val="20"/>
          <w:lang w:eastAsia="ar-SA"/>
        </w:rPr>
      </w:pPr>
    </w:p>
    <w:p>
      <w:pPr>
        <w:pStyle w:val="73"/>
        <w:keepNext w:val="0"/>
        <w:widowControl/>
        <w:numPr>
          <w:ilvl w:val="0"/>
          <w:numId w:val="7"/>
        </w:numPr>
        <w:spacing w:before="120" w:after="120"/>
        <w:textAlignment w:val="auto"/>
        <w:rPr>
          <w:rFonts w:ascii="Verdana" w:hAnsi="Verdana" w:cs="Arial"/>
          <w:szCs w:val="20"/>
          <w:lang w:eastAsia="ar-SA"/>
        </w:rPr>
      </w:pPr>
      <w:r>
        <w:rPr>
          <w:rFonts w:ascii="Verdana" w:hAnsi="Verdana" w:cs="Arial"/>
          <w:b/>
          <w:bCs/>
          <w:color w:val="000000"/>
          <w:szCs w:val="20"/>
          <w:lang w:eastAsia="en-US"/>
        </w:rPr>
        <w:t>DO ENCAMINHAMENTO DA PROPOSTA VENCEDORA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do licitante declarado vencedor deverá ser encaminhada no prazo mínimo de 02 (duas) horas</w:t>
      </w:r>
      <w:r>
        <w:rPr>
          <w:rFonts w:ascii="Verdana" w:hAnsi="Verdana" w:cs="Arial"/>
          <w:b/>
          <w:szCs w:val="20"/>
        </w:rPr>
        <w:t>,</w:t>
      </w:r>
      <w:r>
        <w:rPr>
          <w:rFonts w:ascii="Verdana" w:hAnsi="Verdana" w:cs="Arial"/>
          <w:szCs w:val="20"/>
        </w:rPr>
        <w:t xml:space="preserve"> a ser fixada e a contar da solicitação do Pregoeiro no sistema eletrônico e deverá:</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ser redigida em língua portuguesa, datilografada ou digitada, em uma via, sem emendas, rasuras, entrelinhas ou ressalvas, devendo a última folha ser assinada e as demais rubricadas pelo licitante ou seu representante legal, conforme modelo contido no Anexo VI deste edital;</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deverá apresentar como anexo a declaração de vistoria ao local dos serviços (Anexo VII) ou a declaração de não vistoria (Anexo VIII);</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em anexo a declaração de responsabilidade, conforme modelo do Anexo IX do edital;</w:t>
      </w:r>
    </w:p>
    <w:p>
      <w:pPr>
        <w:pStyle w:val="73"/>
        <w:keepNext w:val="0"/>
        <w:widowControl/>
        <w:numPr>
          <w:ilvl w:val="2"/>
          <w:numId w:val="7"/>
        </w:numPr>
        <w:spacing w:before="120" w:after="120"/>
        <w:textAlignment w:val="auto"/>
        <w:rPr>
          <w:rFonts w:ascii="Verdana" w:hAnsi="Verdana" w:cs="Arial"/>
          <w:sz w:val="18"/>
          <w:szCs w:val="18"/>
          <w:lang w:eastAsia="ar-SA"/>
        </w:rPr>
      </w:pPr>
      <w:bookmarkStart w:id="6" w:name="_Hlk103942059"/>
      <w:r>
        <w:rPr>
          <w:rFonts w:ascii="Verdana" w:hAnsi="Verdana" w:cs="Arial"/>
          <w:sz w:val="18"/>
          <w:szCs w:val="18"/>
        </w:rPr>
        <w:t>apresentar a planilha de orçamento de preços, devidamente ajustada ao lance vencedor, em conformidade com o modelo anexo III-B a este instrumento convocatório, juntamente com a planilha Resumo (Anexo III-A) e o cronograma físico financeiro (Anexo III-C) correspondente;</w:t>
      </w:r>
      <w:bookmarkEnd w:id="6"/>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todos os preços unitários que compõem a planilha deverão ser ajustados ao lance vencedor, para se obter o valor monetário global proposto;</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apresentar ainda como anexo:</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demonstrativa de BDI em conformidade com o Anexo IV; e </w:t>
      </w:r>
    </w:p>
    <w:p>
      <w:pPr>
        <w:pStyle w:val="73"/>
        <w:keepNext w:val="0"/>
        <w:widowControl/>
        <w:numPr>
          <w:ilvl w:val="3"/>
          <w:numId w:val="7"/>
        </w:numPr>
        <w:spacing w:before="120" w:after="120"/>
        <w:textAlignment w:val="auto"/>
        <w:rPr>
          <w:rFonts w:ascii="Verdana" w:hAnsi="Verdana" w:cs="Arial"/>
          <w:sz w:val="18"/>
          <w:szCs w:val="18"/>
          <w:lang w:eastAsia="ar-SA"/>
        </w:rPr>
      </w:pPr>
      <w:r>
        <w:rPr>
          <w:rFonts w:ascii="Verdana" w:hAnsi="Verdana" w:cs="Arial"/>
          <w:sz w:val="18"/>
          <w:szCs w:val="18"/>
        </w:rPr>
        <w:t xml:space="preserve">– a planilha de encargos sociais, em conformidade também com o Anexo V deste edital; </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conter a indicação do banco, número da conta e agência do licitante vencedor, para fins de pagamento.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final deverá ser documentada nos autos e será levada em consideração no decorrer da execução do contrato e aplicação de eventual sanção à Contratada, se for o caso.</w:t>
      </w:r>
    </w:p>
    <w:p>
      <w:pPr>
        <w:pStyle w:val="73"/>
        <w:keepNext w:val="0"/>
        <w:widowControl/>
        <w:numPr>
          <w:ilvl w:val="2"/>
          <w:numId w:val="7"/>
        </w:numPr>
        <w:spacing w:before="120" w:after="120"/>
        <w:textAlignment w:val="auto"/>
        <w:rPr>
          <w:rFonts w:ascii="Verdana" w:hAnsi="Verdana" w:cs="Arial"/>
          <w:sz w:val="18"/>
          <w:szCs w:val="18"/>
          <w:lang w:eastAsia="ar-SA"/>
        </w:rPr>
      </w:pPr>
      <w:r>
        <w:rPr>
          <w:rFonts w:ascii="Verdana" w:hAnsi="Verdana" w:cs="Arial"/>
          <w:sz w:val="18"/>
          <w:szCs w:val="18"/>
        </w:rPr>
        <w:t>Todas as especificações do objeto contidas na proposta vinculam a Contratada.</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Os preços deverão ser expressos em moeda corrente nacional, o valor unitário em algarismos e o valor global em algarismos e por extenso (art. 5º da Lei nº 8.666/93).</w:t>
      </w:r>
    </w:p>
    <w:p>
      <w:pPr>
        <w:pStyle w:val="73"/>
        <w:keepNext w:val="0"/>
        <w:widowControl/>
        <w:numPr>
          <w:ilvl w:val="1"/>
          <w:numId w:val="7"/>
        </w:numPr>
        <w:spacing w:before="120" w:after="120"/>
        <w:textAlignment w:val="auto"/>
        <w:rPr>
          <w:rFonts w:ascii="Verdana" w:hAnsi="Verdana" w:cs="Arial"/>
          <w:szCs w:val="20"/>
          <w:lang w:eastAsia="ar-SA"/>
        </w:rPr>
      </w:pPr>
      <w:bookmarkStart w:id="7" w:name="_Hlk103942371"/>
      <w:r>
        <w:rPr>
          <w:rFonts w:ascii="Verdana" w:hAnsi="Verdana" w:cs="Arial"/>
          <w:szCs w:val="20"/>
        </w:rPr>
        <w:t>Ocorrendo divergência entre os preços unitários dos serviços e os seus preços totais, prevalecerão os primeiros; no caso de divergência entre os valores numéricos e os valores expressos por extenso, prevalecerão estes últimos.</w:t>
      </w:r>
      <w:bookmarkEnd w:id="7"/>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oferta deverá ser firme e precisa, limitada, rigorosamente, ao objeto deste Edital, sem conter alternativas de preço ou de qualquer outra condição que induza o julgamento a mais de um resultado, sob pena de desclassificação.</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szCs w:val="20"/>
        </w:rPr>
        <w:t>A proposta deverá obedecer aos termos deste Edital e seus Anexos, não sendo considerada aquela que não corresponda às especificações ali contidas ou que estabeleça vínculo à proposta de outro licitante.</w:t>
      </w:r>
    </w:p>
    <w:p>
      <w:pPr>
        <w:pStyle w:val="73"/>
        <w:keepNext w:val="0"/>
        <w:widowControl/>
        <w:numPr>
          <w:ilvl w:val="1"/>
          <w:numId w:val="7"/>
        </w:numPr>
        <w:spacing w:before="120" w:after="120"/>
        <w:textAlignment w:val="auto"/>
        <w:rPr>
          <w:rFonts w:ascii="Verdana" w:hAnsi="Verdana" w:cs="Arial"/>
          <w:szCs w:val="20"/>
          <w:lang w:eastAsia="ar-SA"/>
        </w:rPr>
      </w:pPr>
      <w:r>
        <w:rPr>
          <w:rFonts w:ascii="Verdana" w:hAnsi="Verdana" w:cs="Arial"/>
          <w:color w:val="000000"/>
          <w:szCs w:val="20"/>
        </w:rPr>
        <w:t>As propostas que contenham a descrição do objeto, o valor e os documentos complementares estarão disponíveis na internet, após a homologação.</w:t>
      </w:r>
    </w:p>
    <w:p>
      <w:pPr>
        <w:pStyle w:val="64"/>
        <w:keepNext w:val="0"/>
        <w:tabs>
          <w:tab w:val="clear" w:pos="-12"/>
          <w:tab w:val="clear" w:pos="708"/>
        </w:tabs>
        <w:suppressAutoHyphens w:val="0"/>
        <w:overflowPunct/>
        <w:spacing w:before="120" w:after="120" w:line="276" w:lineRule="auto"/>
        <w:ind w:left="0"/>
        <w:jc w:val="both"/>
        <w:rPr>
          <w:rFonts w:ascii="Verdana" w:hAnsi="Verdana" w:cs="Arial"/>
          <w:sz w:val="20"/>
          <w:szCs w:val="20"/>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b/>
          <w:vanish/>
          <w:color w:val="000000"/>
          <w:sz w:val="20"/>
          <w:szCs w:val="20"/>
          <w:lang w:eastAsia="en-US"/>
        </w:rPr>
      </w:pPr>
    </w:p>
    <w:p>
      <w:pPr>
        <w:pStyle w:val="64"/>
        <w:keepNext w:val="0"/>
        <w:numPr>
          <w:ilvl w:val="0"/>
          <w:numId w:val="9"/>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b/>
          <w:color w:val="000000"/>
          <w:sz w:val="20"/>
          <w:szCs w:val="20"/>
          <w:lang w:eastAsia="en-US"/>
        </w:rPr>
        <w:t>DOS RECURSOS</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cs="Arial"/>
          <w:szCs w:val="20"/>
        </w:rPr>
        <w:t>sociedade cooperativa</w:t>
      </w:r>
      <w:r>
        <w:rPr>
          <w:rFonts w:ascii="Verdana" w:hAnsi="Verdana" w:cs="Arial"/>
          <w:color w:val="000000"/>
          <w:szCs w:val="20"/>
          <w:lang w:eastAsia="en-US"/>
        </w:rPr>
        <w:t xml:space="preserve">, se for o caso, será concedido o </w:t>
      </w:r>
      <w:r>
        <w:rPr>
          <w:rFonts w:ascii="Verdana" w:hAnsi="Verdana" w:cs="Arial"/>
          <w:color w:val="000000"/>
          <w:szCs w:val="20"/>
        </w:rPr>
        <w:t>prazo de no mínimo trinta minutos, para que qualquer licitante manifeste a intenção de recorrer, de forma motivada, isto é, indicando contra qual(is) decisão(ões) pretende recorrer e por quais motivos, em campo próprio do sistema.</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Havendo quem se manifeste, caberá ao Pregoeiro verificar a tempestividade e a existência de motivação da intenção de recorrer, para decidir se admite ou não o recurso, fundamentadamente.</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Nesse momento o Pregoeiro não adentrará no mérito recursal, mas apenas verificará as condições de admissibilidade do recurso.</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falta de manifestação motivada do licitante quanto à intenção de recorrer importará a decadência desse direito.</w:t>
      </w:r>
    </w:p>
    <w:p>
      <w:pPr>
        <w:pStyle w:val="73"/>
        <w:keepNext w:val="0"/>
        <w:widowControl/>
        <w:numPr>
          <w:ilvl w:val="1"/>
          <w:numId w:val="9"/>
        </w:numPr>
        <w:spacing w:before="120" w:after="120"/>
        <w:rPr>
          <w:rFonts w:ascii="Verdana" w:hAnsi="Verdana" w:cs="Arial"/>
          <w:szCs w:val="20"/>
        </w:rPr>
      </w:pPr>
      <w:r>
        <w:rPr>
          <w:rFonts w:ascii="Verdana" w:hAnsi="Verdana" w:cs="Arial"/>
          <w:color w:val="000000"/>
          <w:szCs w:val="20"/>
        </w:rPr>
        <w:t>Uma vez admitido 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O acolhimento do recurso invalida tão somente os atos insuscetíveis de aproveitamento.</w:t>
      </w:r>
    </w:p>
    <w:p>
      <w:pPr>
        <w:pStyle w:val="73"/>
        <w:keepNext w:val="0"/>
        <w:widowControl/>
        <w:numPr>
          <w:ilvl w:val="1"/>
          <w:numId w:val="9"/>
        </w:numPr>
        <w:spacing w:before="120" w:after="120"/>
        <w:ind w:left="425"/>
        <w:rPr>
          <w:rFonts w:ascii="Verdana" w:hAnsi="Verdana" w:cs="Arial"/>
          <w:szCs w:val="20"/>
        </w:rPr>
      </w:pPr>
      <w:r>
        <w:rPr>
          <w:rFonts w:ascii="Verdana" w:hAnsi="Verdana" w:cs="Arial"/>
          <w:color w:val="000000"/>
          <w:szCs w:val="20"/>
        </w:rPr>
        <w:t>Os autos do processo permanecerão com vista franqueada aos interessados, no endereço constante neste Edital.</w:t>
      </w:r>
    </w:p>
    <w:p>
      <w:pPr>
        <w:pStyle w:val="73"/>
        <w:keepNext w:val="0"/>
        <w:widowControl/>
        <w:spacing w:before="120" w:after="120"/>
        <w:ind w:left="425" w:firstLine="0"/>
        <w:rPr>
          <w:rFonts w:ascii="Verdana" w:hAnsi="Verdana" w:cs="Arial"/>
          <w:szCs w:val="20"/>
        </w:rPr>
      </w:pPr>
    </w:p>
    <w:p>
      <w:pPr>
        <w:pStyle w:val="73"/>
        <w:keepNext w:val="0"/>
        <w:widowControl/>
        <w:numPr>
          <w:ilvl w:val="0"/>
          <w:numId w:val="9"/>
        </w:numPr>
        <w:spacing w:before="120" w:after="120"/>
        <w:rPr>
          <w:rFonts w:ascii="Verdana" w:hAnsi="Verdana" w:cs="Arial"/>
          <w:b/>
          <w:szCs w:val="20"/>
        </w:rPr>
      </w:pPr>
      <w:r>
        <w:rPr>
          <w:rFonts w:ascii="Verdana" w:hAnsi="Verdana" w:cs="Arial"/>
          <w:b/>
          <w:szCs w:val="20"/>
        </w:rPr>
        <w:t>DA REABERTURA DA SESSÃO PÚBLICA</w:t>
      </w:r>
    </w:p>
    <w:p>
      <w:pPr>
        <w:pStyle w:val="73"/>
        <w:keepNext w:val="0"/>
        <w:widowControl/>
        <w:numPr>
          <w:ilvl w:val="1"/>
          <w:numId w:val="9"/>
        </w:numPr>
        <w:spacing w:before="120" w:after="120"/>
        <w:ind w:left="851" w:hanging="425"/>
        <w:rPr>
          <w:rFonts w:ascii="Verdana" w:hAnsi="Verdana" w:cs="Arial"/>
          <w:szCs w:val="20"/>
        </w:rPr>
      </w:pPr>
      <w:r>
        <w:rPr>
          <w:rFonts w:ascii="Verdana" w:hAnsi="Verdana" w:cs="Arial"/>
          <w:szCs w:val="20"/>
        </w:rPr>
        <w:t>A sessão pública poderá ser reaberta:</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Nas hipóteses de provimento de recurso que leve à anulação de atos anteriores à realização da sessão pública precedente ou em que seja anulada a própria sessão pública, situação em que serão repetidos os atos anulados e os que dele dependam.</w:t>
      </w:r>
    </w:p>
    <w:p>
      <w:pPr>
        <w:pStyle w:val="73"/>
        <w:keepNext w:val="0"/>
        <w:widowControl/>
        <w:numPr>
          <w:ilvl w:val="2"/>
          <w:numId w:val="9"/>
        </w:numPr>
        <w:spacing w:before="120" w:after="120"/>
        <w:rPr>
          <w:rFonts w:ascii="Verdana" w:hAnsi="Verdana" w:cs="Arial"/>
          <w:szCs w:val="20"/>
        </w:rPr>
      </w:pPr>
      <w:r>
        <w:rPr>
          <w:rFonts w:ascii="Verdana" w:hAnsi="Verdana" w:cs="Arial"/>
          <w:sz w:val="18"/>
          <w:szCs w:val="18"/>
        </w:rPr>
        <w:t>Quando houver erro na aceitação do preço mais bem classificado ou quando o licitante declarado vencedor não assinar o contrato, não retirar o instrumento equivalente ou não comprovar a regularização fiscal, nos termos do art. 43, §1º da LC nº 123/2006. Nessas hipóteses, serão adotados os procedimentos imediatamente posteriores ao encerramento da etapa de lances.</w:t>
      </w:r>
      <w:r>
        <w:rPr>
          <w:rFonts w:ascii="Verdana" w:hAnsi="Verdana" w:cs="Arial"/>
          <w:szCs w:val="20"/>
        </w:rPr>
        <w:t xml:space="preserve"> </w:t>
      </w:r>
    </w:p>
    <w:p>
      <w:pPr>
        <w:pStyle w:val="73"/>
        <w:keepNext w:val="0"/>
        <w:widowControl/>
        <w:numPr>
          <w:ilvl w:val="1"/>
          <w:numId w:val="9"/>
        </w:numPr>
        <w:spacing w:before="120" w:after="120"/>
        <w:ind w:left="851" w:hanging="425"/>
        <w:rPr>
          <w:rFonts w:ascii="Verdana" w:hAnsi="Verdana" w:cs="Arial"/>
          <w:szCs w:val="20"/>
        </w:rPr>
      </w:pPr>
      <w:r>
        <w:rPr>
          <w:rFonts w:ascii="Verdana" w:hAnsi="Verdana" w:cs="Arial"/>
          <w:szCs w:val="20"/>
        </w:rPr>
        <w:t>Todos os licitantes remanescentes deverão ser convocados para acompanhar a sessão reaberta.</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se dará por meio do sistema eletrônico (“chat”), e-mail, de acordo com a fase do procedimento licitatório.</w:t>
      </w:r>
    </w:p>
    <w:p>
      <w:pPr>
        <w:pStyle w:val="73"/>
        <w:keepNext w:val="0"/>
        <w:widowControl/>
        <w:numPr>
          <w:ilvl w:val="2"/>
          <w:numId w:val="9"/>
        </w:numPr>
        <w:spacing w:before="120" w:after="120"/>
        <w:rPr>
          <w:rFonts w:ascii="Verdana" w:hAnsi="Verdana" w:cs="Arial"/>
          <w:sz w:val="18"/>
          <w:szCs w:val="18"/>
        </w:rPr>
      </w:pPr>
      <w:r>
        <w:rPr>
          <w:rFonts w:ascii="Verdana" w:hAnsi="Verdana" w:cs="Arial"/>
          <w:sz w:val="18"/>
          <w:szCs w:val="18"/>
        </w:rPr>
        <w:t>A convocação feita por e-mail dar-se-á de acordo com os dados contidos no SICAF, sendo responsabilidade do licitante manter seus dados cadastrais atualizados.</w:t>
      </w:r>
    </w:p>
    <w:p>
      <w:pPr>
        <w:pStyle w:val="73"/>
        <w:keepNext w:val="0"/>
        <w:ind w:left="567" w:firstLine="0"/>
        <w:rPr>
          <w:rFonts w:ascii="Verdana" w:hAnsi="Verdana" w:cs="Arial"/>
          <w:szCs w:val="20"/>
        </w:rPr>
      </w:pPr>
    </w:p>
    <w:p>
      <w:pPr>
        <w:pStyle w:val="73"/>
        <w:keepNext w:val="0"/>
        <w:widowControl/>
        <w:numPr>
          <w:ilvl w:val="0"/>
          <w:numId w:val="9"/>
        </w:numPr>
        <w:spacing w:before="120" w:after="120"/>
        <w:rPr>
          <w:rFonts w:ascii="Verdana" w:hAnsi="Verdana" w:cs="Arial"/>
          <w:szCs w:val="20"/>
        </w:rPr>
      </w:pPr>
      <w:r>
        <w:rPr>
          <w:rFonts w:ascii="Verdana" w:hAnsi="Verdana" w:cs="Arial"/>
          <w:b/>
          <w:color w:val="000000"/>
          <w:szCs w:val="20"/>
        </w:rPr>
        <w:t>DA ADJUDICAÇÃO E HOMOLOGAÇÃO</w:t>
      </w:r>
    </w:p>
    <w:p>
      <w:pPr>
        <w:pStyle w:val="73"/>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O objeto da licitação será adjudicado ao licitante declarado vencedor, por ato do Pregoeiro, caso não haja interposição de recurso, ou pela autoridade competente, após a regular decisão dos recursos apresentados.</w:t>
      </w:r>
    </w:p>
    <w:p>
      <w:pPr>
        <w:pStyle w:val="73"/>
        <w:keepNext w:val="0"/>
        <w:widowControl/>
        <w:numPr>
          <w:ilvl w:val="1"/>
          <w:numId w:val="9"/>
        </w:numPr>
        <w:spacing w:before="120" w:after="120"/>
        <w:ind w:left="851" w:hanging="426"/>
        <w:rPr>
          <w:rFonts w:ascii="Verdana" w:hAnsi="Verdana" w:cs="Arial"/>
          <w:szCs w:val="20"/>
        </w:rPr>
      </w:pPr>
      <w:r>
        <w:rPr>
          <w:rFonts w:ascii="Verdana" w:hAnsi="Verdana" w:cs="Arial"/>
          <w:color w:val="000000"/>
          <w:szCs w:val="20"/>
        </w:rPr>
        <w:t>Após a fase recursal, constatada a regularidade dos atos praticados, a autoridade competente homologará o procedimento licitatório.</w:t>
      </w:r>
    </w:p>
    <w:p>
      <w:pPr>
        <w:pStyle w:val="73"/>
        <w:keepNext w:val="0"/>
        <w:widowControl/>
        <w:tabs>
          <w:tab w:val="left" w:pos="3179"/>
        </w:tabs>
        <w:spacing w:before="120" w:after="120"/>
        <w:ind w:left="425" w:firstLine="0"/>
        <w:rPr>
          <w:rFonts w:ascii="Verdana" w:hAnsi="Verdana" w:cs="Arial"/>
          <w:szCs w:val="20"/>
        </w:rPr>
      </w:pPr>
      <w:r>
        <w:rPr>
          <w:rFonts w:ascii="Verdana" w:hAnsi="Verdana" w:cs="Arial"/>
          <w:szCs w:val="20"/>
        </w:rPr>
        <w:tab/>
      </w:r>
    </w:p>
    <w:p>
      <w:pPr>
        <w:pStyle w:val="73"/>
        <w:keepNext w:val="0"/>
        <w:widowControl/>
        <w:numPr>
          <w:ilvl w:val="0"/>
          <w:numId w:val="9"/>
        </w:numPr>
        <w:spacing w:before="120" w:after="120"/>
        <w:rPr>
          <w:rFonts w:ascii="Verdana" w:hAnsi="Verdana" w:cs="Arial"/>
          <w:szCs w:val="20"/>
        </w:rPr>
      </w:pPr>
      <w:r>
        <w:rPr>
          <w:rFonts w:ascii="Verdana" w:hAnsi="Verdana" w:cs="Arial"/>
          <w:b/>
          <w:szCs w:val="20"/>
        </w:rPr>
        <w:t>DA GARANTIA DE EXECUÇÃO</w:t>
      </w:r>
    </w:p>
    <w:p>
      <w:pPr>
        <w:pStyle w:val="64"/>
        <w:keepNext w:val="0"/>
        <w:numPr>
          <w:ilvl w:val="0"/>
          <w:numId w:val="10"/>
        </w:numPr>
        <w:shd w:val="clear" w:color="auto" w:fill="auto"/>
        <w:tabs>
          <w:tab w:val="clear" w:pos="-12"/>
          <w:tab w:val="clear" w:pos="708"/>
        </w:tabs>
        <w:suppressAutoHyphens w:val="0"/>
        <w:overflowPunct/>
        <w:spacing w:before="120" w:after="120" w:line="276" w:lineRule="auto"/>
        <w:jc w:val="both"/>
        <w:textAlignment w:val="auto"/>
        <w:rPr>
          <w:rFonts w:ascii="Verdana" w:hAnsi="Verdana" w:cs="Arial"/>
          <w:vanish/>
          <w:color w:val="FF0000"/>
          <w:sz w:val="20"/>
          <w:szCs w:val="20"/>
        </w:rPr>
      </w:pPr>
    </w:p>
    <w:p>
      <w:pPr>
        <w:pStyle w:val="64"/>
        <w:keepNext w:val="0"/>
        <w:numPr>
          <w:ilvl w:val="1"/>
          <w:numId w:val="9"/>
        </w:numPr>
        <w:shd w:val="clear" w:color="auto" w:fill="auto"/>
        <w:tabs>
          <w:tab w:val="clear" w:pos="-12"/>
          <w:tab w:val="clear" w:pos="708"/>
        </w:tabs>
        <w:suppressAutoHyphens w:val="0"/>
        <w:overflowPunct/>
        <w:spacing w:before="120" w:after="120" w:line="276" w:lineRule="auto"/>
        <w:ind w:left="851" w:hanging="425"/>
        <w:jc w:val="both"/>
        <w:textAlignment w:val="auto"/>
        <w:rPr>
          <w:rFonts w:ascii="Verdana" w:hAnsi="Verdana" w:cs="Arial"/>
          <w:color w:val="auto"/>
          <w:sz w:val="20"/>
          <w:szCs w:val="20"/>
        </w:rPr>
      </w:pPr>
      <w:r>
        <w:rPr>
          <w:rFonts w:ascii="Verdana" w:hAnsi="Verdana" w:cs="Arial"/>
          <w:color w:val="auto"/>
          <w:sz w:val="20"/>
          <w:szCs w:val="20"/>
        </w:rPr>
        <w:t>Será exigida a prestação de garantia na presente contratação, conforme regras constantes do Termo de Referência.</w:t>
      </w:r>
    </w:p>
    <w:p>
      <w:pPr>
        <w:pStyle w:val="73"/>
        <w:keepNext w:val="0"/>
        <w:ind w:firstLine="0"/>
        <w:rPr>
          <w:rFonts w:ascii="Verdana" w:hAnsi="Verdana" w:cs="Arial"/>
          <w:bCs/>
          <w:iCs/>
          <w:color w:val="000000"/>
          <w:szCs w:val="20"/>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64"/>
        <w:keepNext w:val="0"/>
        <w:numPr>
          <w:ilvl w:val="0"/>
          <w:numId w:val="11"/>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73"/>
        <w:keepNext w:val="0"/>
        <w:widowControl/>
        <w:numPr>
          <w:ilvl w:val="0"/>
          <w:numId w:val="11"/>
        </w:numPr>
        <w:spacing w:before="120" w:after="120"/>
        <w:rPr>
          <w:rFonts w:ascii="Verdana" w:hAnsi="Verdana" w:cs="Arial"/>
          <w:szCs w:val="20"/>
        </w:rPr>
      </w:pPr>
      <w:r>
        <w:rPr>
          <w:rFonts w:ascii="Verdana" w:hAnsi="Verdana" w:cs="Arial"/>
          <w:b/>
          <w:color w:val="000000"/>
          <w:szCs w:val="20"/>
        </w:rPr>
        <w:t>DO TERMO DE CONTRATO OU INSTRUMENTO EQUIVALENTE</w:t>
      </w:r>
    </w:p>
    <w:p>
      <w:pPr>
        <w:pStyle w:val="73"/>
        <w:keepNext w:val="0"/>
        <w:widowControl/>
        <w:numPr>
          <w:ilvl w:val="1"/>
          <w:numId w:val="11"/>
        </w:numPr>
        <w:spacing w:before="120" w:after="120"/>
        <w:ind w:left="851" w:hanging="425"/>
        <w:rPr>
          <w:rFonts w:ascii="Verdana" w:hAnsi="Verdana" w:cs="Arial"/>
          <w:szCs w:val="20"/>
        </w:rPr>
      </w:pPr>
      <w:r>
        <w:rPr>
          <w:rFonts w:ascii="Verdana" w:hAnsi="Verdana" w:cs="Arial"/>
          <w:szCs w:val="20"/>
        </w:rPr>
        <w:t>Após a homologação da licitação, em sendo realizada a contratação,</w:t>
      </w:r>
      <w:r>
        <w:rPr>
          <w:rFonts w:ascii="Verdana" w:hAnsi="Verdana" w:eastAsia="Arial" w:cs="Arial"/>
          <w:szCs w:val="20"/>
        </w:rPr>
        <w:t xml:space="preserve"> </w:t>
      </w:r>
      <w:r>
        <w:rPr>
          <w:rFonts w:ascii="Verdana" w:hAnsi="Verdana" w:cs="Arial"/>
          <w:szCs w:val="20"/>
        </w:rPr>
        <w:t>será firmado o Termo de Contrato com a empresa licitante vencedora.</w:t>
      </w:r>
    </w:p>
    <w:p>
      <w:pPr>
        <w:keepNext w:val="0"/>
        <w:numPr>
          <w:ilvl w:val="1"/>
          <w:numId w:val="11"/>
        </w:numPr>
        <w:shd w:val="clear" w:color="auto" w:fill="auto"/>
        <w:tabs>
          <w:tab w:val="left" w:pos="1440"/>
          <w:tab w:val="clear" w:pos="708"/>
        </w:tabs>
        <w:suppressAutoHyphens w:val="0"/>
        <w:overflowPunct/>
        <w:autoSpaceDE w:val="0"/>
        <w:snapToGrid w:val="0"/>
        <w:spacing w:before="120" w:after="120"/>
        <w:ind w:left="851" w:hanging="425"/>
        <w:jc w:val="both"/>
        <w:textAlignment w:val="auto"/>
        <w:rPr>
          <w:rFonts w:ascii="Verdana" w:hAnsi="Verdana" w:cs="Arial"/>
          <w:iCs/>
          <w:color w:val="auto"/>
          <w:sz w:val="20"/>
          <w:szCs w:val="20"/>
        </w:rPr>
      </w:pPr>
      <w:r>
        <w:rPr>
          <w:rFonts w:ascii="Verdana" w:hAnsi="Verdana" w:cs="Arial"/>
          <w:iCs/>
          <w:color w:val="auto"/>
          <w:sz w:val="20"/>
          <w:szCs w:val="20"/>
        </w:rPr>
        <w:t xml:space="preserve">O adjudicatário terá prazo de 05 (cinco) dias úteis, contados a partir da data de sua convocação, para assinar o Termo </w:t>
      </w:r>
      <w:r>
        <w:rPr>
          <w:rFonts w:ascii="Verdana" w:hAnsi="Verdana" w:cs="Arial"/>
          <w:color w:val="auto"/>
          <w:sz w:val="20"/>
          <w:szCs w:val="20"/>
        </w:rPr>
        <w:t>ou aceitar instrumento equivalente, conforme o caso (Nota de Empenho/Carta Contrato/Autorização)</w:t>
      </w:r>
      <w:r>
        <w:rPr>
          <w:rFonts w:ascii="Verdana" w:hAnsi="Verdana" w:cs="Arial"/>
          <w:iCs/>
          <w:color w:val="auto"/>
          <w:sz w:val="20"/>
          <w:szCs w:val="20"/>
        </w:rPr>
        <w:t>, sob pena de decair do direito à contratação, sem prejuízo das sanções previstas neste Edital.</w:t>
      </w:r>
    </w:p>
    <w:p>
      <w:pPr>
        <w:keepNext w:val="0"/>
        <w:numPr>
          <w:ilvl w:val="2"/>
          <w:numId w:val="11"/>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02 (dois) dias, a contar da data de seu recebimento. </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O prazo previsto no subitem anterior poderá ser prorrogado, por igual período, por solicitação justificada do adjudicatário e aceita pela Administração.</w:t>
      </w:r>
    </w:p>
    <w:p>
      <w:pPr>
        <w:keepNext w:val="0"/>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
          <w:iCs/>
          <w:color w:val="auto"/>
          <w:sz w:val="20"/>
          <w:szCs w:val="20"/>
        </w:rPr>
      </w:pPr>
      <w:r>
        <w:rPr>
          <w:rFonts w:ascii="Verdana" w:hAnsi="Verdana" w:cs="Arial"/>
          <w:i/>
          <w:iCs/>
          <w:color w:val="auto"/>
          <w:sz w:val="20"/>
          <w:szCs w:val="20"/>
        </w:rPr>
        <w:t xml:space="preserve"> </w:t>
      </w:r>
    </w:p>
    <w:p>
      <w:pPr>
        <w:keepNext w:val="0"/>
        <w:numPr>
          <w:ilvl w:val="1"/>
          <w:numId w:val="11"/>
        </w:numPr>
        <w:shd w:val="clear" w:color="auto" w:fill="auto"/>
        <w:tabs>
          <w:tab w:val="left" w:pos="1440"/>
          <w:tab w:val="clear" w:pos="708"/>
        </w:tabs>
        <w:suppressAutoHyphens w:val="0"/>
        <w:overflowPunct/>
        <w:autoSpaceDE w:val="0"/>
        <w:snapToGrid w:val="0"/>
        <w:spacing w:line="276" w:lineRule="auto"/>
        <w:ind w:left="851" w:hanging="425"/>
        <w:jc w:val="both"/>
        <w:textAlignment w:val="auto"/>
        <w:rPr>
          <w:rFonts w:ascii="Verdana" w:hAnsi="Verdana" w:cs="Arial"/>
          <w:iCs/>
          <w:color w:val="auto"/>
          <w:sz w:val="20"/>
          <w:szCs w:val="20"/>
        </w:rPr>
      </w:pPr>
      <w:r>
        <w:rPr>
          <w:rFonts w:ascii="Verdana" w:hAnsi="Verdana" w:cs="Arial"/>
          <w:iCs/>
          <w:color w:val="auto"/>
          <w:sz w:val="20"/>
          <w:szCs w:val="20"/>
        </w:rPr>
        <w:t>O Aceite da Nota de Empenho ou do instrumento equivalente, emitida à empresa adjudicada, implica no reconhecimento de que:</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 xml:space="preserve"> referida Nota está substituindo o contrato, aplicando-se à relação de negócios ali estabelecida as disposições da Lei nº 8.666, de 1993;</w:t>
      </w:r>
    </w:p>
    <w:p>
      <w:pPr>
        <w:keepNext w:val="0"/>
        <w:numPr>
          <w:ilvl w:val="2"/>
          <w:numId w:val="11"/>
        </w:numPr>
        <w:shd w:val="clear" w:color="auto" w:fill="auto"/>
        <w:tabs>
          <w:tab w:val="left" w:pos="1440"/>
          <w:tab w:val="clear" w:pos="708"/>
        </w:tabs>
        <w:suppressAutoHyphens w:val="0"/>
        <w:overflowPunct/>
        <w:autoSpaceDE w:val="0"/>
        <w:snapToGrid w:val="0"/>
        <w:spacing w:line="276" w:lineRule="auto"/>
        <w:jc w:val="both"/>
        <w:textAlignment w:val="auto"/>
        <w:rPr>
          <w:rFonts w:ascii="Verdana" w:hAnsi="Verdana" w:cs="Arial"/>
          <w:iCs/>
          <w:color w:val="auto"/>
          <w:sz w:val="18"/>
          <w:szCs w:val="18"/>
        </w:rPr>
      </w:pPr>
      <w:r>
        <w:rPr>
          <w:rFonts w:ascii="Verdana" w:hAnsi="Verdana" w:cs="Arial"/>
          <w:iCs/>
          <w:color w:val="auto"/>
          <w:sz w:val="18"/>
          <w:szCs w:val="18"/>
        </w:rPr>
        <w:t>a contratada se vincula à sua proposta e às previsões contidas no edital e seus anexos;</w:t>
      </w:r>
    </w:p>
    <w:p>
      <w:pPr>
        <w:keepNext w:val="0"/>
        <w:numPr>
          <w:ilvl w:val="2"/>
          <w:numId w:val="11"/>
        </w:numPr>
        <w:shd w:val="clear" w:color="auto" w:fill="auto"/>
        <w:tabs>
          <w:tab w:val="left" w:pos="1440"/>
          <w:tab w:val="clear" w:pos="708"/>
        </w:tabs>
        <w:suppressAutoHyphens w:val="0"/>
        <w:overflowPunct/>
        <w:autoSpaceDE w:val="0"/>
        <w:snapToGrid w:val="0"/>
        <w:spacing w:before="120" w:after="120"/>
        <w:jc w:val="both"/>
        <w:textAlignment w:val="auto"/>
        <w:rPr>
          <w:rFonts w:ascii="Verdana" w:hAnsi="Verdana" w:cs="Arial"/>
          <w:iCs/>
          <w:color w:val="auto"/>
          <w:sz w:val="18"/>
          <w:szCs w:val="18"/>
        </w:rPr>
      </w:pPr>
      <w:r>
        <w:rPr>
          <w:rFonts w:ascii="Verdana" w:hAnsi="Verdana" w:cs="Arial"/>
          <w:iCs/>
          <w:color w:val="auto"/>
          <w:sz w:val="18"/>
          <w:szCs w:val="18"/>
        </w:rPr>
        <w:t xml:space="preserve"> a contratada reconhece </w:t>
      </w:r>
      <w:r>
        <w:rPr>
          <w:rFonts w:ascii="Verdana" w:hAnsi="Verdana" w:cs="Arial"/>
          <w:color w:val="auto"/>
          <w:sz w:val="18"/>
          <w:szCs w:val="18"/>
        </w:rPr>
        <w:t>que as hipóteses de rescisão são aquelas previstas nos artigos 77 e 78 da Lei nº 8.666/93 e reconhece os direitos da Administração previstos nos artigos 79 e 80 da mesma Lei.</w:t>
      </w:r>
    </w:p>
    <w:p>
      <w:pPr>
        <w:pStyle w:val="94"/>
        <w:numPr>
          <w:ilvl w:val="1"/>
          <w:numId w:val="11"/>
        </w:numPr>
        <w:spacing w:before="120" w:after="120"/>
        <w:ind w:left="851" w:hanging="425"/>
        <w:jc w:val="both"/>
        <w:rPr>
          <w:rFonts w:ascii="Verdana" w:hAnsi="Verdana" w:cs="Arial"/>
          <w:iCs/>
          <w:sz w:val="18"/>
          <w:szCs w:val="18"/>
        </w:rPr>
      </w:pPr>
      <w:r>
        <w:rPr>
          <w:rFonts w:ascii="Verdana" w:hAnsi="Verdana" w:eastAsia="Arial" w:cs="Arial"/>
          <w:color w:val="000000"/>
          <w:sz w:val="20"/>
          <w:szCs w:val="20"/>
        </w:rPr>
        <w:t>O prazo de vigência da contratação será superior ao de execução dos serviços, que no caso é de 06 (seis) meses.</w:t>
      </w:r>
    </w:p>
    <w:p>
      <w:pPr>
        <w:pStyle w:val="94"/>
        <w:numPr>
          <w:ilvl w:val="1"/>
          <w:numId w:val="11"/>
        </w:numPr>
        <w:tabs>
          <w:tab w:val="left" w:pos="709"/>
        </w:tabs>
        <w:spacing w:before="120" w:after="120"/>
        <w:jc w:val="both"/>
        <w:rPr>
          <w:rFonts w:ascii="Verdana" w:hAnsi="Verdana" w:cs="Arial"/>
          <w:iCs/>
          <w:sz w:val="20"/>
          <w:szCs w:val="20"/>
        </w:rPr>
      </w:pPr>
      <w:r>
        <w:rPr>
          <w:rFonts w:ascii="Verdana" w:hAnsi="Verdana" w:cs="Arial"/>
          <w:sz w:val="20"/>
          <w:szCs w:val="20"/>
        </w:rPr>
        <w:t>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w:t>
      </w:r>
    </w:p>
    <w:p>
      <w:pPr>
        <w:pStyle w:val="94"/>
        <w:numPr>
          <w:ilvl w:val="2"/>
          <w:numId w:val="11"/>
        </w:numPr>
        <w:spacing w:before="120" w:after="120"/>
        <w:jc w:val="both"/>
        <w:rPr>
          <w:rFonts w:ascii="Verdana" w:hAnsi="Verdana" w:cs="Arial"/>
          <w:iCs/>
          <w:sz w:val="18"/>
          <w:szCs w:val="18"/>
        </w:rPr>
      </w:pPr>
      <w:r>
        <w:rPr>
          <w:rFonts w:ascii="Verdana" w:hAnsi="Verdana" w:cs="Arial"/>
          <w:sz w:val="18"/>
          <w:szCs w:val="18"/>
        </w:rPr>
        <w:t>Nos casos em que houver necessidade de assinatura do instrumento de contrato, e o fornecedor não estiver inscrito no SICAF, este deverá proceder ao seu cadastramento, sem ônus, antes da contratação.</w:t>
      </w:r>
      <w:r>
        <w:rPr>
          <w:rFonts w:ascii="Verdana" w:hAnsi="Verdana" w:cs="Arial"/>
          <w:i/>
          <w:iCs/>
          <w:sz w:val="18"/>
          <w:szCs w:val="18"/>
        </w:rPr>
        <w:t xml:space="preserve"> </w:t>
      </w:r>
    </w:p>
    <w:p>
      <w:pPr>
        <w:pStyle w:val="94"/>
        <w:numPr>
          <w:ilvl w:val="2"/>
          <w:numId w:val="11"/>
        </w:numPr>
        <w:jc w:val="both"/>
        <w:rPr>
          <w:rFonts w:ascii="Verdana" w:hAnsi="Verdana" w:cs="Arial"/>
          <w:iCs/>
          <w:sz w:val="18"/>
          <w:szCs w:val="18"/>
        </w:rPr>
      </w:pPr>
      <w:r>
        <w:rPr>
          <w:rFonts w:ascii="Verdana" w:hAnsi="Verdana" w:cs="Arial"/>
          <w:color w:val="000000"/>
          <w:sz w:val="18"/>
          <w:szCs w:val="18"/>
        </w:rPr>
        <w:t>Na hipótese de irregularidade do registro no SICAF, o contratado deverá regularizar a sua situação perante o cadastro no prazo de até 05 (cinco) dias úteis, sob pena de aplicação das penalidades previstas no edital e anexos.</w:t>
      </w:r>
    </w:p>
    <w:p>
      <w:pPr>
        <w:pStyle w:val="94"/>
        <w:ind w:left="1134"/>
        <w:jc w:val="both"/>
        <w:rPr>
          <w:rFonts w:ascii="Verdana" w:hAnsi="Verdana" w:cs="Arial"/>
          <w:iCs/>
          <w:sz w:val="20"/>
          <w:szCs w:val="20"/>
        </w:rPr>
      </w:pPr>
    </w:p>
    <w:p>
      <w:pPr>
        <w:pStyle w:val="94"/>
        <w:numPr>
          <w:ilvl w:val="1"/>
          <w:numId w:val="11"/>
        </w:numPr>
        <w:ind w:left="851" w:hanging="425"/>
        <w:jc w:val="both"/>
        <w:rPr>
          <w:rFonts w:ascii="Verdana" w:hAnsi="Verdana" w:cs="Arial"/>
          <w:iCs/>
          <w:sz w:val="20"/>
          <w:szCs w:val="20"/>
        </w:rPr>
      </w:pPr>
      <w:r>
        <w:rPr>
          <w:rFonts w:ascii="Verdana" w:hAnsi="Verdana" w:cs="Arial"/>
          <w:color w:val="000000"/>
          <w:sz w:val="20"/>
          <w:szCs w:val="20"/>
        </w:rPr>
        <w:t>Na assinatura do contrato será exigida a comprovação das condições de habilitação consignadas no edital, que deverão ser mantidas pelo licitante durante a vigência do contrato.</w:t>
      </w:r>
      <w:r>
        <w:rPr>
          <w:rFonts w:ascii="Verdana" w:hAnsi="Verdana" w:cs="Arial"/>
          <w:sz w:val="20"/>
          <w:szCs w:val="20"/>
        </w:rPr>
        <w:t xml:space="preserve"> </w:t>
      </w:r>
    </w:p>
    <w:p>
      <w:pPr>
        <w:pStyle w:val="94"/>
        <w:ind w:left="1134"/>
        <w:jc w:val="both"/>
        <w:rPr>
          <w:rFonts w:ascii="Verdana" w:hAnsi="Verdana" w:cs="Arial"/>
          <w:iCs/>
          <w:sz w:val="20"/>
          <w:szCs w:val="20"/>
        </w:rPr>
      </w:pPr>
    </w:p>
    <w:p>
      <w:pPr>
        <w:pStyle w:val="64"/>
        <w:keepNext w:val="0"/>
        <w:numPr>
          <w:ilvl w:val="1"/>
          <w:numId w:val="11"/>
        </w:numPr>
        <w:shd w:val="clear" w:color="auto" w:fill="auto"/>
        <w:tabs>
          <w:tab w:val="clear" w:pos="708"/>
        </w:tabs>
        <w:suppressAutoHyphens w:val="0"/>
        <w:overflowPunct/>
        <w:ind w:left="851" w:hanging="425"/>
        <w:jc w:val="both"/>
        <w:rPr>
          <w:rFonts w:ascii="Verdana" w:hAnsi="Verdana" w:cs="Arial"/>
          <w:color w:val="auto"/>
          <w:sz w:val="20"/>
          <w:szCs w:val="20"/>
        </w:rPr>
      </w:pPr>
      <w:r>
        <w:rPr>
          <w:rFonts w:ascii="Verdana" w:hAnsi="Verdana" w:cs="Arial"/>
          <w:color w:val="000000"/>
          <w:sz w:val="20"/>
          <w:szCs w:val="20"/>
        </w:rPr>
        <w:t>Na hipótese de o vencedor da licitação não comprovar as condições de habilitação consignadas no edital ou se recusar a assinar o contrato,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w:t>
      </w:r>
      <w:r>
        <w:rPr>
          <w:rFonts w:ascii="Verdana" w:hAnsi="Verdana" w:eastAsia="Arial" w:cs="Arial"/>
          <w:color w:val="000000"/>
          <w:sz w:val="20"/>
          <w:szCs w:val="20"/>
        </w:rPr>
        <w:t>.</w:t>
      </w:r>
    </w:p>
    <w:p>
      <w:pPr>
        <w:pStyle w:val="73"/>
        <w:keepNext w:val="0"/>
        <w:ind w:left="567" w:firstLine="0"/>
        <w:rPr>
          <w:rFonts w:ascii="Verdana" w:hAnsi="Verdana" w:cs="Arial"/>
          <w:szCs w:val="20"/>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64"/>
        <w:keepNext w:val="0"/>
        <w:widowControl w:val="0"/>
        <w:numPr>
          <w:ilvl w:val="0"/>
          <w:numId w:val="12"/>
        </w:numPr>
        <w:tabs>
          <w:tab w:val="clear" w:pos="-12"/>
          <w:tab w:val="clear" w:pos="708"/>
        </w:tabs>
        <w:suppressAutoHyphens w:val="0"/>
        <w:overflowPunct/>
        <w:spacing w:before="119" w:after="119" w:line="276" w:lineRule="auto"/>
        <w:jc w:val="both"/>
        <w:rPr>
          <w:rFonts w:ascii="Verdana" w:hAnsi="Verdana" w:eastAsia="WenQuanYi Micro Hei" w:cs="Arial"/>
          <w:b/>
          <w:vanish/>
          <w:color w:val="000000"/>
          <w:sz w:val="20"/>
          <w:szCs w:val="20"/>
          <w:lang w:eastAsia="zh-CN" w:bidi="hi-IN"/>
        </w:rPr>
      </w:pPr>
    </w:p>
    <w:p>
      <w:pPr>
        <w:pStyle w:val="73"/>
        <w:keepNext w:val="0"/>
        <w:numPr>
          <w:ilvl w:val="0"/>
          <w:numId w:val="12"/>
        </w:numPr>
        <w:rPr>
          <w:rFonts w:ascii="Verdana" w:hAnsi="Verdana" w:cs="Arial"/>
          <w:szCs w:val="20"/>
        </w:rPr>
      </w:pPr>
      <w:r>
        <w:rPr>
          <w:rFonts w:ascii="Verdana" w:hAnsi="Verdana" w:cs="Arial"/>
          <w:b/>
          <w:color w:val="000000"/>
          <w:szCs w:val="20"/>
        </w:rPr>
        <w:t>DO REAJUSTAMENTO EM SENTIDO GERAL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regras acerca do reajustamento em sentido geral do valor contratual são as estabelecidas no Termo de Referência, anexo a este Edital.</w:t>
      </w:r>
    </w:p>
    <w:p>
      <w:pPr>
        <w:pStyle w:val="102"/>
        <w:numPr>
          <w:ilvl w:val="0"/>
          <w:numId w:val="12"/>
        </w:numPr>
        <w:rPr>
          <w:rFonts w:ascii="Verdana" w:hAnsi="Verdana" w:cs="Arial"/>
          <w:sz w:val="20"/>
          <w:szCs w:val="20"/>
        </w:rPr>
      </w:pPr>
      <w:r>
        <w:rPr>
          <w:rFonts w:ascii="Verdana" w:hAnsi="Verdana" w:cs="Arial"/>
          <w:sz w:val="20"/>
          <w:szCs w:val="20"/>
        </w:rPr>
        <w:t>DA ACEITAÇÃO DO OBJETO E DA FISCALIZAÇÃO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lang w:eastAsia="en-US"/>
        </w:rPr>
        <w:t>Os critérios de aceitação do objeto e de fiscalização estão previstos no Termo de Referência.</w:t>
      </w:r>
    </w:p>
    <w:p>
      <w:pPr>
        <w:pStyle w:val="73"/>
        <w:keepNext w:val="0"/>
        <w:ind w:left="567"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lang w:eastAsia="en-US"/>
        </w:rPr>
        <w:t>As obrigações da Contratante e da Contratada são as estabelecidas no Termo de Referência.</w:t>
      </w:r>
    </w:p>
    <w:p>
      <w:pPr>
        <w:pStyle w:val="73"/>
        <w:keepNext w:val="0"/>
        <w:ind w:left="567"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rPr>
        <w:t>DO PAGAMENTO</w:t>
      </w:r>
    </w:p>
    <w:p>
      <w:pPr>
        <w:pStyle w:val="73"/>
        <w:keepNext w:val="0"/>
        <w:widowControl/>
        <w:numPr>
          <w:ilvl w:val="1"/>
          <w:numId w:val="12"/>
        </w:numPr>
        <w:shd w:val="clear" w:color="auto" w:fill="auto"/>
        <w:spacing w:before="120" w:after="120"/>
        <w:ind w:left="851" w:hanging="426"/>
        <w:textAlignment w:val="auto"/>
        <w:rPr>
          <w:rFonts w:ascii="Verdana" w:hAnsi="Verdana" w:cs="Arial"/>
          <w:szCs w:val="20"/>
        </w:rPr>
      </w:pPr>
      <w:r>
        <w:rPr>
          <w:rFonts w:ascii="Verdana" w:hAnsi="Verdana" w:cs="Arial"/>
          <w:color w:val="000000"/>
          <w:szCs w:val="20"/>
        </w:rPr>
        <w:t>As regras</w:t>
      </w:r>
      <w:r>
        <w:rPr>
          <w:rFonts w:ascii="Verdana" w:hAnsi="Verdana" w:eastAsia="Arial" w:cs="Arial"/>
          <w:color w:val="000000"/>
          <w:szCs w:val="20"/>
        </w:rPr>
        <w:t xml:space="preserve"> acerca</w:t>
      </w:r>
      <w:r>
        <w:rPr>
          <w:rFonts w:ascii="Verdana" w:hAnsi="Verdana" w:cs="Arial"/>
          <w:color w:val="000000"/>
          <w:szCs w:val="20"/>
        </w:rPr>
        <w:t xml:space="preserve"> do pagamento são as estabelecidas no Termo de Referência, anexo a este Edital.</w:t>
      </w:r>
    </w:p>
    <w:p>
      <w:pPr>
        <w:pStyle w:val="73"/>
        <w:keepNext w:val="0"/>
        <w:widowControl/>
        <w:numPr>
          <w:ilvl w:val="1"/>
          <w:numId w:val="12"/>
        </w:numPr>
        <w:shd w:val="clear" w:color="auto" w:fill="auto"/>
        <w:spacing w:before="120" w:after="120"/>
        <w:ind w:left="851" w:hanging="426"/>
        <w:textAlignment w:val="auto"/>
        <w:rPr>
          <w:rFonts w:ascii="Verdana" w:hAnsi="Verdana" w:cs="Arial"/>
          <w:szCs w:val="20"/>
        </w:rPr>
      </w:pPr>
      <w:r>
        <w:rPr>
          <w:rStyle w:val="61"/>
          <w:rFonts w:ascii="Verdana" w:hAnsi="Verdana"/>
          <w:color w:val="auto"/>
        </w:rPr>
        <w:t>Será adotado o pagamento proporcional dos valores pertinentes à administração local relativamente ao andamento físico do objeto contratual, nos termos definidos no Termo de Referência e no respectivo cronograma.</w:t>
      </w:r>
    </w:p>
    <w:p>
      <w:pPr>
        <w:pStyle w:val="73"/>
        <w:keepNext w:val="0"/>
        <w:ind w:left="660" w:firstLine="0"/>
        <w:rPr>
          <w:rFonts w:ascii="Verdana" w:hAnsi="Verdana" w:cs="Arial"/>
          <w:szCs w:val="20"/>
        </w:rPr>
      </w:pPr>
    </w:p>
    <w:p>
      <w:pPr>
        <w:pStyle w:val="73"/>
        <w:keepNext w:val="0"/>
        <w:numPr>
          <w:ilvl w:val="0"/>
          <w:numId w:val="12"/>
        </w:numPr>
        <w:rPr>
          <w:rFonts w:ascii="Verdana" w:hAnsi="Verdana" w:cs="Arial"/>
          <w:szCs w:val="20"/>
        </w:rPr>
      </w:pPr>
      <w:r>
        <w:rPr>
          <w:rFonts w:ascii="Verdana" w:hAnsi="Verdana" w:cs="Arial"/>
          <w:b/>
          <w:color w:val="000000"/>
          <w:szCs w:val="20"/>
        </w:rPr>
        <w:t>DAS SANÇÕES ADMINISTRATIVAS DURANTE A LICITAÇÃO.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Comete infração administrativa, nos termos da Lei nº 10.520, de 2002, o licitante/adjudicatário que:</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assinar o termo de contrato ou aceitar/retirar o instrumento equivalente, quando convocado dentro do prazo de validade da proposta;</w:t>
      </w:r>
    </w:p>
    <w:p>
      <w:pPr>
        <w:pStyle w:val="64"/>
        <w:numPr>
          <w:ilvl w:val="2"/>
          <w:numId w:val="12"/>
        </w:numPr>
        <w:ind w:left="1134" w:hanging="567"/>
        <w:rPr>
          <w:rFonts w:ascii="Verdana" w:hAnsi="Verdana" w:eastAsia="WenQuanYi Micro Hei" w:cs="Arial"/>
          <w:color w:val="auto"/>
          <w:sz w:val="18"/>
          <w:szCs w:val="18"/>
          <w:lang w:eastAsia="zh-CN" w:bidi="hi-IN"/>
        </w:rPr>
      </w:pPr>
      <w:r>
        <w:rPr>
          <w:rFonts w:ascii="Verdana" w:hAnsi="Verdana" w:eastAsia="WenQuanYi Micro Hei" w:cs="Arial"/>
          <w:color w:val="auto"/>
          <w:sz w:val="18"/>
          <w:szCs w:val="18"/>
          <w:lang w:eastAsia="zh-CN" w:bidi="hi-IN"/>
        </w:rPr>
        <w:t>não assinar a ata de registro de preços, quando cabível;</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apresentar documentação falsa</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deixar de entregar os documentos exigidos no certame</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ensejar o retardamento da execução do objeto;</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não mantiver a proposta</w:t>
      </w:r>
      <w:r>
        <w:rPr>
          <w:rFonts w:ascii="Verdana" w:hAnsi="Verdana" w:eastAsia="Times New Roman" w:cs="Arial"/>
          <w:sz w:val="18"/>
          <w:szCs w:val="18"/>
          <w:shd w:val="clear" w:color="auto" w:fill="FFFFFF"/>
        </w:rPr>
        <w:t>;</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shd w:val="clear" w:color="auto" w:fill="FFFFFF"/>
        </w:rPr>
        <w:t>cometer fraude fiscal;</w:t>
      </w:r>
    </w:p>
    <w:p>
      <w:pPr>
        <w:pStyle w:val="73"/>
        <w:keepNext w:val="0"/>
        <w:widowControl/>
        <w:numPr>
          <w:ilvl w:val="2"/>
          <w:numId w:val="12"/>
        </w:numPr>
        <w:shd w:val="clear" w:color="auto" w:fill="auto"/>
        <w:spacing w:before="120" w:after="120"/>
        <w:ind w:left="1134" w:hanging="567"/>
        <w:textAlignment w:val="auto"/>
        <w:rPr>
          <w:rFonts w:ascii="Verdana" w:hAnsi="Verdana" w:cs="Arial"/>
          <w:color w:val="000000"/>
          <w:szCs w:val="20"/>
        </w:rPr>
      </w:pPr>
      <w:r>
        <w:rPr>
          <w:rFonts w:ascii="Verdana" w:hAnsi="Verdana" w:cs="Arial"/>
          <w:sz w:val="18"/>
          <w:szCs w:val="18"/>
          <w:shd w:val="clear" w:color="auto" w:fill="FFFFFF"/>
        </w:rPr>
        <w:t>comportar-se de modo inidôneo;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Considera-se comportamento inidôneo, entre outros, a declaração falsa quanto às condições de participação, quanto ao enquadramento como ME/EPP ou o conluio entre os licitantes, em qualquer momento da licitação, mesmo após o encerramento da fase de lances.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O licitante/adjudicatário que cometer qualquer das infrações discriminadas nos subitens anteriores ficará sujeito, sem prejuízo da responsabilidade civil e criminal, às seguintes sanções: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Advertência por faltas leves, assim entendidas como aquelas que não acarretarem prejuízos significativos ao objeto da contratação;</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Multa de até 10 % (dez por cento) sobre o valor estimado do(s) item(s) prejudicado(s) pela conduta do licitante;</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Suspensão de licitar e impedimento de contratar com o órgão, entidade ou unidade administrativa pela qual a Administração Pública opera e atua concretamente, pelo prazo de até dois anos;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Impedimento de licitar e de contratar com a União e descredenciamento no SICAF, pelo prazo</w:t>
      </w:r>
      <w:r>
        <w:rPr>
          <w:rFonts w:ascii="Verdana" w:hAnsi="Verdana" w:cs="Arial"/>
          <w:sz w:val="18"/>
          <w:szCs w:val="18"/>
          <w:shd w:val="clear" w:color="auto" w:fill="FFFFFF"/>
        </w:rPr>
        <w:t xml:space="preserve"> de até cinco anos;</w:t>
      </w:r>
    </w:p>
    <w:p>
      <w:pPr>
        <w:pStyle w:val="73"/>
        <w:keepNext w:val="0"/>
        <w:widowControl/>
        <w:numPr>
          <w:ilvl w:val="2"/>
          <w:numId w:val="12"/>
        </w:numPr>
        <w:spacing w:before="120" w:after="120"/>
        <w:ind w:left="1134" w:hanging="567"/>
        <w:rPr>
          <w:rFonts w:ascii="Verdana" w:hAnsi="Verdana" w:cs="Arial"/>
          <w:sz w:val="18"/>
          <w:szCs w:val="18"/>
        </w:rPr>
      </w:pPr>
      <w:r>
        <w:rPr>
          <w:rFonts w:ascii="Verdana" w:hAnsi="Verdana" w:cs="Arial"/>
          <w:sz w:val="18"/>
          <w:szCs w:val="18"/>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shd w:val="clear" w:color="auto" w:fill="FFFFFF"/>
        </w:rPr>
        <w:t>A penalidade de multa pode ser aplicada cumulativamente com as demais sanções.</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Caso o valor da multa não seja suficiente para cobrir os prejuízos causados pela conduta do licitante, a União ou Entidade poderá cobrar o valor remanescente judicialmente, conforme artigo 419 do Código Civil.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 autoridade competente, na aplicação das sanções, levará em consideração a gravidade da conduta do infrator, o caráter educativo da pena, bem como o dano causado à Administração, observado o princípio da proporcionalidade.</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As penalidades serão obrigatoriamente registradas no SICAF.</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szCs w:val="20"/>
        </w:rPr>
        <w:t>As sanções por atos praticados no decorrer da contratação estão previstas no Termo de Referência.</w:t>
      </w:r>
    </w:p>
    <w:p>
      <w:pPr>
        <w:pStyle w:val="73"/>
        <w:keepNext w:val="0"/>
        <w:widowControl/>
        <w:spacing w:before="120" w:after="120"/>
        <w:ind w:left="660" w:firstLine="0"/>
        <w:rPr>
          <w:rFonts w:ascii="Verdana" w:hAnsi="Verdana" w:cs="Arial"/>
          <w:szCs w:val="20"/>
        </w:rPr>
      </w:pPr>
    </w:p>
    <w:p>
      <w:pPr>
        <w:pStyle w:val="73"/>
        <w:keepNext w:val="0"/>
        <w:widowControl/>
        <w:numPr>
          <w:ilvl w:val="0"/>
          <w:numId w:val="12"/>
        </w:numPr>
        <w:spacing w:before="120" w:after="120"/>
        <w:ind w:left="567" w:hanging="567"/>
        <w:rPr>
          <w:rFonts w:ascii="Verdana" w:hAnsi="Verdana" w:cs="Arial"/>
          <w:szCs w:val="20"/>
        </w:rPr>
      </w:pPr>
      <w:r>
        <w:rPr>
          <w:rFonts w:ascii="Verdana" w:hAnsi="Verdana" w:cs="Arial"/>
          <w:b/>
          <w:color w:val="000000"/>
          <w:szCs w:val="20"/>
        </w:rPr>
        <w:t xml:space="preserve"> DA IMPUGNAÇÃO AO EDITAL E DO PEDIDO DE ESCLARECIMENTO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Até 03 (três) dias úteis antes da data designada para a abertura da sessão pública, qualquer pessoa poderá impugnar este Edital.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A impugnação poderá ser realizada por forma eletrônica, pelo e-mail </w:t>
      </w:r>
      <w:r>
        <w:fldChar w:fldCharType="begin"/>
      </w:r>
      <w:r>
        <w:instrText xml:space="preserve"> HYPERLINK "mailto:cpl@id.uff.br" </w:instrText>
      </w:r>
      <w:r>
        <w:fldChar w:fldCharType="separate"/>
      </w:r>
      <w:r>
        <w:rPr>
          <w:rStyle w:val="10"/>
          <w:rFonts w:ascii="Verdana" w:hAnsi="Verdana" w:eastAsia="Times New Roman" w:cs="Arial"/>
          <w:szCs w:val="20"/>
        </w:rPr>
        <w:t>cpl@id.uff.br</w:t>
      </w:r>
      <w:r>
        <w:rPr>
          <w:rStyle w:val="10"/>
          <w:rFonts w:ascii="Verdana" w:hAnsi="Verdana" w:eastAsia="Times New Roman" w:cs="Arial"/>
          <w:szCs w:val="20"/>
        </w:rPr>
        <w:fldChar w:fldCharType="end"/>
      </w:r>
      <w:r>
        <w:rPr>
          <w:rFonts w:ascii="Verdana" w:hAnsi="Verdana" w:eastAsia="Times New Roman" w:cs="Arial"/>
          <w:szCs w:val="20"/>
        </w:rPr>
        <w:t>. ,</w:t>
      </w:r>
      <w:r>
        <w:rPr>
          <w:rFonts w:ascii="Verdana" w:hAnsi="Verdana" w:cs="Arial"/>
          <w:szCs w:val="20"/>
        </w:rPr>
        <w:t xml:space="preserve"> ou por petição dirigida ou protocolada no endereço Rua Miguel de</w:t>
      </w:r>
      <w:r>
        <w:rPr>
          <w:rFonts w:ascii="Verdana" w:hAnsi="Verdana" w:cs="Arial"/>
          <w:color w:val="000000"/>
          <w:szCs w:val="20"/>
        </w:rPr>
        <w:t xml:space="preserve"> Frias n.º 09, térreo, bairro de Icaraí, Niterói-RJ – Protocolo Geral;</w:t>
      </w:r>
    </w:p>
    <w:p>
      <w:pPr>
        <w:pStyle w:val="64"/>
        <w:keepNext w:val="0"/>
        <w:numPr>
          <w:ilvl w:val="1"/>
          <w:numId w:val="12"/>
        </w:numPr>
        <w:shd w:val="clear" w:color="auto" w:fill="auto"/>
        <w:tabs>
          <w:tab w:val="clear" w:pos="708"/>
        </w:tabs>
        <w:suppressAutoHyphens w:val="0"/>
        <w:overflowPunct/>
        <w:spacing w:before="120" w:after="120"/>
        <w:ind w:left="851" w:hanging="425"/>
        <w:rPr>
          <w:rFonts w:ascii="Verdana" w:hAnsi="Verdana" w:cs="Arial"/>
          <w:sz w:val="20"/>
          <w:szCs w:val="20"/>
        </w:rPr>
      </w:pPr>
      <w:r>
        <w:rPr>
          <w:rFonts w:ascii="Verdana" w:hAnsi="Verdana" w:cs="Arial"/>
          <w:color w:val="000000"/>
          <w:sz w:val="20"/>
          <w:szCs w:val="20"/>
        </w:rPr>
        <w:t>Caberá ao Pregoeiro, auxiliado pelos responsáveis pela elaboração deste Edital e seus anexos, decidir sobre a impugnação no prazo de até dois dias úteis contados da data de recebimento da impugnação.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Acolhida a impugnação, será definida e publicada nova data para a realização do certame.</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Os pedidos de esclarecimentos referentes a este processo licitatório deverão ser enviados ao Pregoeiro, até 03 (três) dias úteis anteriores à data designada para abertura da sessão pública, </w:t>
      </w:r>
      <w:r>
        <w:rPr>
          <w:rFonts w:ascii="Verdana" w:hAnsi="Verdana" w:cs="Arial"/>
          <w:szCs w:val="20"/>
          <w:lang w:eastAsia="en-US"/>
        </w:rPr>
        <w:t>exclusivamente por meio eletrônico via internet, no endereço indicado no Edital.</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pregoeiro responderá aos pedidos de esclarecimentos no prazo de dois dias úteis, contado da data de recebimento do pedido, e poderá requisitar subsídios formais aos responsáveis pela elaboração do edital e dos anexos.</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impugnações e pedidos de esclarecimentos não suspendem os prazos previstos no certame.</w:t>
      </w:r>
    </w:p>
    <w:p>
      <w:pPr>
        <w:pStyle w:val="64"/>
        <w:keepNext w:val="0"/>
        <w:numPr>
          <w:ilvl w:val="2"/>
          <w:numId w:val="12"/>
        </w:numPr>
        <w:shd w:val="clear" w:color="auto" w:fill="auto"/>
        <w:tabs>
          <w:tab w:val="clear" w:pos="708"/>
        </w:tabs>
        <w:suppressAutoHyphens w:val="0"/>
        <w:overflowPunct/>
        <w:ind w:left="1134" w:hanging="567"/>
        <w:rPr>
          <w:rFonts w:ascii="Verdana" w:hAnsi="Verdana" w:cs="Arial"/>
          <w:color w:val="auto"/>
          <w:sz w:val="18"/>
          <w:szCs w:val="18"/>
        </w:rPr>
      </w:pPr>
      <w:r>
        <w:rPr>
          <w:rFonts w:ascii="Verdana" w:hAnsi="Verdana" w:cs="Arial"/>
          <w:color w:val="000000"/>
          <w:sz w:val="18"/>
          <w:szCs w:val="18"/>
        </w:rPr>
        <w:t>A concessão de efeito suspensivo à impugnação é medida excepcional e deverá ser motivada pelo pregoeiro, nos autos do processo de licitação</w:t>
      </w:r>
      <w:r>
        <w:rPr>
          <w:rFonts w:ascii="Verdana" w:hAnsi="Verdana" w:cs="Arial"/>
          <w:sz w:val="18"/>
          <w:szCs w:val="18"/>
        </w:rPr>
        <w:t xml:space="preserve"> </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respostas aos pedidos de esclarecimentos serão divulgadas pelo sistema e vincularão os participantes e a administração</w:t>
      </w:r>
      <w:r>
        <w:rPr>
          <w:rFonts w:ascii="Verdana" w:hAnsi="Verdana" w:cs="Arial"/>
          <w:szCs w:val="20"/>
        </w:rPr>
        <w:t>.</w:t>
      </w:r>
    </w:p>
    <w:p>
      <w:pPr>
        <w:pStyle w:val="73"/>
        <w:keepNext w:val="0"/>
        <w:widowControl/>
        <w:spacing w:before="120" w:after="120"/>
        <w:ind w:left="425" w:firstLine="0"/>
        <w:rPr>
          <w:rFonts w:ascii="Verdana" w:hAnsi="Verdana" w:cs="Arial"/>
          <w:b/>
          <w:szCs w:val="20"/>
        </w:rPr>
      </w:pPr>
    </w:p>
    <w:p>
      <w:pPr>
        <w:pStyle w:val="73"/>
        <w:keepNext w:val="0"/>
        <w:widowControl/>
        <w:numPr>
          <w:ilvl w:val="0"/>
          <w:numId w:val="12"/>
        </w:numPr>
        <w:spacing w:before="120" w:after="120"/>
        <w:ind w:left="426" w:hanging="426"/>
        <w:rPr>
          <w:rFonts w:ascii="Verdana" w:hAnsi="Verdana" w:cs="Arial"/>
          <w:b/>
          <w:szCs w:val="20"/>
        </w:rPr>
      </w:pPr>
      <w:r>
        <w:rPr>
          <w:rFonts w:ascii="Verdana" w:hAnsi="Verdana" w:cs="Arial"/>
          <w:b/>
          <w:color w:val="000000"/>
          <w:szCs w:val="20"/>
        </w:rPr>
        <w:t>DAS DISPOSIÇÕES GERAIS</w:t>
      </w:r>
    </w:p>
    <w:p>
      <w:pPr>
        <w:pStyle w:val="94"/>
        <w:numPr>
          <w:ilvl w:val="1"/>
          <w:numId w:val="12"/>
        </w:numPr>
        <w:spacing w:before="120" w:after="120"/>
        <w:ind w:left="851" w:right="-15" w:hanging="425"/>
        <w:jc w:val="both"/>
        <w:rPr>
          <w:rFonts w:ascii="Verdana" w:hAnsi="Verdana" w:cs="Arial"/>
          <w:color w:val="000000"/>
          <w:sz w:val="20"/>
          <w:szCs w:val="20"/>
          <w:lang w:eastAsia="en-US"/>
        </w:rPr>
      </w:pPr>
      <w:r>
        <w:rPr>
          <w:rFonts w:ascii="Verdana" w:hAnsi="Verdana" w:cs="Arial"/>
          <w:color w:val="000000"/>
          <w:sz w:val="20"/>
          <w:szCs w:val="20"/>
          <w:lang w:eastAsia="en-US"/>
        </w:rPr>
        <w:t>Da sessão pública do Pregão divulgar-se-á Ata no sistema eletrônico.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Todas as referências de tempo no Edital, no aviso e durante a sessão pública observarão o horário de Brasília – DF.</w:t>
      </w:r>
    </w:p>
    <w:p>
      <w:pPr>
        <w:keepNext w:val="0"/>
        <w:numPr>
          <w:ilvl w:val="1"/>
          <w:numId w:val="12"/>
        </w:numPr>
        <w:shd w:val="clear" w:color="auto" w:fill="auto"/>
        <w:tabs>
          <w:tab w:val="clear" w:pos="708"/>
        </w:tabs>
        <w:suppressAutoHyphens w:val="0"/>
        <w:overflowPunct/>
        <w:spacing w:before="120" w:after="120" w:line="276" w:lineRule="auto"/>
        <w:ind w:left="851" w:hanging="425"/>
        <w:jc w:val="both"/>
        <w:textAlignment w:val="auto"/>
        <w:rPr>
          <w:rFonts w:ascii="Verdana" w:hAnsi="Verdana" w:cs="Arial"/>
          <w:color w:val="000000"/>
          <w:sz w:val="20"/>
          <w:szCs w:val="20"/>
        </w:rPr>
      </w:pPr>
      <w:r>
        <w:rPr>
          <w:rFonts w:ascii="Verdana" w:hAnsi="Verdana" w:cs="Arial"/>
          <w:color w:val="000000"/>
          <w:sz w:val="20"/>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 homologação do resultado desta licitação não implicará direito à contratação.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Os licitantes assumem todos os custos de preparação e apresentação de suas propostas e a Administração não será, em nenhum caso, responsável por esses custos, independentemente da condução ou do resultado do processo licitatório.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Na contagem dos prazos estabelecidos neste Edital e seus Anexos, excluir-se-á o dia do início e incluir-se-á o do vencimento. Só se iniciam e vencem os prazos em dias de expediente na Administração.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O desatendimento de exigências formais não essenciais não importará o afastamento do licitante, desde que seja possível o aproveitamento do ato, observados os princípios da isonomia e do interesse público.</w:t>
      </w:r>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Em caso de divergência entre disposições deste Edital e de seus anexos ou demais peças que compõem o processo, prevalecerá as deste Edital.</w:t>
      </w:r>
    </w:p>
    <w:p>
      <w:pPr>
        <w:pStyle w:val="73"/>
        <w:keepNext w:val="0"/>
        <w:widowControl/>
        <w:numPr>
          <w:ilvl w:val="1"/>
          <w:numId w:val="12"/>
        </w:numPr>
        <w:spacing w:before="120" w:after="120"/>
        <w:ind w:left="851" w:hanging="425"/>
        <w:rPr>
          <w:rFonts w:ascii="Verdana" w:hAnsi="Verdana" w:cs="Arial"/>
          <w:szCs w:val="20"/>
        </w:rPr>
      </w:pPr>
      <w:bookmarkStart w:id="8" w:name="_Hlk109901663"/>
      <w:r>
        <w:rPr>
          <w:rFonts w:ascii="Verdana" w:hAnsi="Verdana"/>
          <w:color w:val="000000"/>
          <w:shd w:val="clear" w:color="auto" w:fill="FFFFFF"/>
        </w:rPr>
        <w:t xml:space="preserve">O Edital está disponibilizado, na íntegra, no endereço eletrônico </w:t>
      </w:r>
      <w:r>
        <w:rPr>
          <w:rStyle w:val="10"/>
          <w:rFonts w:ascii="Verdana" w:hAnsi="Verdana"/>
        </w:rPr>
        <w:t>www.gov.br/compras</w:t>
      </w:r>
      <w:r>
        <w:rPr>
          <w:rFonts w:ascii="Verdana" w:hAnsi="Verdana"/>
          <w:color w:val="00000A"/>
          <w:shd w:val="clear" w:color="auto" w:fill="FFFFFF"/>
        </w:rPr>
        <w:t> ou </w:t>
      </w:r>
      <w:r>
        <w:fldChar w:fldCharType="begin"/>
      </w:r>
      <w:r>
        <w:instrText xml:space="preserve"> HYPERLINK "http://www.uff.br/licitacoes" \t "_blank" </w:instrText>
      </w:r>
      <w:r>
        <w:fldChar w:fldCharType="separate"/>
      </w:r>
      <w:r>
        <w:rPr>
          <w:rStyle w:val="10"/>
          <w:rFonts w:ascii="Verdana" w:hAnsi="Verdana"/>
          <w:shd w:val="clear" w:color="auto" w:fill="FFFFFF"/>
        </w:rPr>
        <w:t>www.uff.br/licitacoes</w:t>
      </w:r>
      <w:r>
        <w:rPr>
          <w:rStyle w:val="10"/>
          <w:rFonts w:ascii="Verdana" w:hAnsi="Verdana"/>
          <w:shd w:val="clear" w:color="auto" w:fill="FFFFFF"/>
        </w:rPr>
        <w:fldChar w:fldCharType="end"/>
      </w:r>
      <w:r>
        <w:rPr>
          <w:rFonts w:ascii="Verdana" w:hAnsi="Verdana"/>
          <w:color w:val="00000A"/>
          <w:shd w:val="clear" w:color="auto" w:fill="FFFFFF"/>
        </w:rPr>
        <w:t>.</w:t>
      </w:r>
      <w:r>
        <w:rPr>
          <w:rFonts w:ascii="Verdana" w:hAnsi="Verdana"/>
          <w:color w:val="000000"/>
          <w:shd w:val="clear" w:color="auto" w:fill="FFFFFF"/>
        </w:rPr>
        <w:t> Os autos do processo administrativo são digitais e podem ser consultados, por qualquer interessado, por meio do clique no nº do processo, constantes também do endereço eletrônico &lt;</w:t>
      </w:r>
      <w:r>
        <w:fldChar w:fldCharType="begin"/>
      </w:r>
      <w:r>
        <w:instrText xml:space="preserve"> HYPERLINK "http://www.uff.br/licitacoes" \t "_blank" </w:instrText>
      </w:r>
      <w:r>
        <w:fldChar w:fldCharType="separate"/>
      </w:r>
      <w:r>
        <w:rPr>
          <w:rStyle w:val="10"/>
          <w:rFonts w:ascii="Verdana" w:hAnsi="Verdana"/>
          <w:shd w:val="clear" w:color="auto" w:fill="FFFFFF"/>
        </w:rPr>
        <w:t>www.uff.br/licitacoes</w:t>
      </w:r>
      <w:r>
        <w:rPr>
          <w:rStyle w:val="10"/>
          <w:rFonts w:ascii="Verdana" w:hAnsi="Verdana"/>
          <w:shd w:val="clear" w:color="auto" w:fill="FFFFFF"/>
        </w:rPr>
        <w:fldChar w:fldCharType="end"/>
      </w:r>
      <w:r>
        <w:rPr>
          <w:rFonts w:ascii="Verdana" w:hAnsi="Verdana"/>
          <w:color w:val="00000A"/>
          <w:shd w:val="clear" w:color="auto" w:fill="FFFFFF"/>
        </w:rPr>
        <w:t>&gt;.</w:t>
      </w:r>
      <w:bookmarkEnd w:id="8"/>
    </w:p>
    <w:p>
      <w:pPr>
        <w:pStyle w:val="73"/>
        <w:keepNext w:val="0"/>
        <w:widowControl/>
        <w:numPr>
          <w:ilvl w:val="1"/>
          <w:numId w:val="12"/>
        </w:numPr>
        <w:spacing w:before="120" w:after="120"/>
        <w:ind w:left="851" w:hanging="425"/>
        <w:rPr>
          <w:rFonts w:ascii="Verdana" w:hAnsi="Verdana" w:cs="Arial"/>
          <w:szCs w:val="20"/>
        </w:rPr>
      </w:pPr>
      <w:r>
        <w:rPr>
          <w:rFonts w:ascii="Verdana" w:hAnsi="Verdana" w:cs="Arial"/>
          <w:color w:val="000000"/>
          <w:szCs w:val="20"/>
        </w:rPr>
        <w:t>Integram este Edital, para todos os fins e efeitos, os seguintes anexos:</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 – Termo de Referência;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II-A – Especificação dos serviços</w:t>
      </w:r>
      <w:r>
        <w:rPr>
          <w:rFonts w:hint="default" w:ascii="Verdana" w:hAnsi="Verdana" w:cs="Arial"/>
          <w:color w:val="000000"/>
          <w:sz w:val="18"/>
          <w:szCs w:val="18"/>
          <w:lang w:val="pt-BR"/>
        </w:rPr>
        <w:t xml:space="preserve"> (Anexo I do TR)</w:t>
      </w:r>
      <w:r>
        <w:rPr>
          <w:rFonts w:ascii="Verdana" w:hAnsi="Verdana" w:cs="Arial"/>
          <w:color w:val="000000"/>
          <w:sz w:val="18"/>
          <w:szCs w:val="18"/>
        </w:rPr>
        <w:t>;</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III-A – Planilha Resumo do Orçamento</w:t>
      </w:r>
      <w:r>
        <w:rPr>
          <w:rFonts w:hint="default" w:ascii="Verdana" w:hAnsi="Verdana" w:cs="Arial"/>
          <w:color w:val="000000"/>
          <w:sz w:val="18"/>
          <w:szCs w:val="18"/>
          <w:lang w:val="pt-BR"/>
        </w:rPr>
        <w:t xml:space="preserve"> (Anexo XVI do TR)</w:t>
      </w:r>
      <w:r>
        <w:rPr>
          <w:rFonts w:ascii="Verdana" w:hAnsi="Verdana" w:cs="Arial"/>
          <w:color w:val="000000"/>
          <w:sz w:val="18"/>
          <w:szCs w:val="18"/>
        </w:rPr>
        <w:t xml:space="preserve">; </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III-B - Planilha de Orçamento</w:t>
      </w:r>
      <w:r>
        <w:rPr>
          <w:rFonts w:hint="default" w:ascii="Verdana" w:hAnsi="Verdana" w:cs="Arial"/>
          <w:color w:val="000000"/>
          <w:sz w:val="18"/>
          <w:szCs w:val="18"/>
          <w:lang w:val="pt-BR"/>
        </w:rPr>
        <w:t xml:space="preserve"> (Anexo XV do TR)</w:t>
      </w:r>
      <w:r>
        <w:rPr>
          <w:rFonts w:ascii="Verdana" w:hAnsi="Verdana" w:cs="Arial"/>
          <w:color w:val="000000"/>
          <w:sz w:val="18"/>
          <w:szCs w:val="18"/>
        </w:rPr>
        <w:t>;</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III-C – Cronograma Físico e Financeiro</w:t>
      </w:r>
      <w:r>
        <w:rPr>
          <w:rFonts w:hint="default" w:ascii="Verdana" w:hAnsi="Verdana" w:cs="Arial"/>
          <w:color w:val="000000"/>
          <w:sz w:val="18"/>
          <w:szCs w:val="18"/>
          <w:lang w:val="pt-BR"/>
        </w:rPr>
        <w:t xml:space="preserve"> (Anexo XI do TR)</w:t>
      </w:r>
      <w:r>
        <w:rPr>
          <w:rFonts w:ascii="Verdana" w:hAnsi="Verdana" w:cs="Arial"/>
          <w:color w:val="000000"/>
          <w:sz w:val="18"/>
          <w:szCs w:val="18"/>
        </w:rPr>
        <w:t>;</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IV - Modelo de planilha de Composição de BDI</w:t>
      </w:r>
      <w:r>
        <w:rPr>
          <w:rFonts w:hint="default" w:ascii="Verdana" w:hAnsi="Verdana" w:cs="Arial"/>
          <w:color w:val="000000"/>
          <w:sz w:val="18"/>
          <w:szCs w:val="18"/>
          <w:lang w:val="pt-BR"/>
        </w:rPr>
        <w:t xml:space="preserve"> (Anexo XIII do TR)</w:t>
      </w:r>
      <w:r>
        <w:rPr>
          <w:rFonts w:ascii="Verdana" w:hAnsi="Verdana" w:cs="Arial"/>
          <w:color w:val="000000"/>
          <w:sz w:val="18"/>
          <w:szCs w:val="18"/>
        </w:rPr>
        <w:t>;</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 – Modelo de planilha de Composição de Encargos Sociais</w:t>
      </w:r>
      <w:r>
        <w:rPr>
          <w:rFonts w:hint="default" w:ascii="Verdana" w:hAnsi="Verdana" w:cs="Arial"/>
          <w:color w:val="000000"/>
          <w:sz w:val="18"/>
          <w:szCs w:val="18"/>
          <w:lang w:val="pt-BR"/>
        </w:rPr>
        <w:t xml:space="preserve"> (Anexo XII do TR)</w:t>
      </w:r>
      <w:r>
        <w:rPr>
          <w:rFonts w:ascii="Verdana" w:hAnsi="Verdana" w:cs="Arial"/>
          <w:color w:val="000000"/>
          <w:sz w:val="18"/>
          <w:szCs w:val="18"/>
        </w:rPr>
        <w:t>;</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 – Modelo da Carta de Apresentação da Proposta;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VII – Modelo de Declaração de Vistoria;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VIII – Modelo de Declaração de não realização de Vistoria;</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IX - Modelo de Declaração de Responsabilidade;</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X - Minuta de Termo de Contrato; e</w:t>
      </w:r>
    </w:p>
    <w:p>
      <w:pPr>
        <w:pStyle w:val="73"/>
        <w:keepNext w:val="0"/>
        <w:numPr>
          <w:ilvl w:val="2"/>
          <w:numId w:val="12"/>
        </w:numPr>
        <w:ind w:left="1134" w:hanging="567"/>
        <w:rPr>
          <w:rFonts w:ascii="Verdana" w:hAnsi="Verdana" w:cs="Arial"/>
          <w:sz w:val="18"/>
          <w:szCs w:val="18"/>
        </w:rPr>
      </w:pPr>
      <w:r>
        <w:rPr>
          <w:rFonts w:ascii="Verdana" w:hAnsi="Verdana" w:cs="Arial"/>
          <w:color w:val="000000"/>
          <w:sz w:val="18"/>
          <w:szCs w:val="18"/>
        </w:rPr>
        <w:t>Anexo XI – Projetos básico de:</w:t>
      </w:r>
    </w:p>
    <w:p>
      <w:pPr>
        <w:pStyle w:val="73"/>
        <w:keepNext w:val="0"/>
        <w:numPr>
          <w:ilvl w:val="3"/>
          <w:numId w:val="12"/>
        </w:numPr>
        <w:rPr>
          <w:rFonts w:ascii="Verdana" w:hAnsi="Verdana" w:cs="Arial"/>
          <w:sz w:val="18"/>
          <w:szCs w:val="18"/>
        </w:rPr>
      </w:pPr>
      <w:r>
        <w:rPr>
          <w:rFonts w:ascii="Verdana" w:hAnsi="Verdana" w:cs="Arial"/>
          <w:color w:val="000000"/>
          <w:sz w:val="18"/>
          <w:szCs w:val="18"/>
        </w:rPr>
        <w:t>– Arquitetura</w:t>
      </w:r>
      <w:r>
        <w:rPr>
          <w:rFonts w:hint="default" w:ascii="Verdana" w:hAnsi="Verdana" w:cs="Arial"/>
          <w:color w:val="000000"/>
          <w:sz w:val="18"/>
          <w:szCs w:val="18"/>
          <w:lang w:val="pt-BR"/>
        </w:rPr>
        <w:t xml:space="preserve"> (Anexo II do TR)</w:t>
      </w:r>
      <w:r>
        <w:rPr>
          <w:rFonts w:ascii="Verdana" w:hAnsi="Verdana" w:cs="Arial"/>
          <w:color w:val="000000"/>
          <w:sz w:val="18"/>
          <w:szCs w:val="18"/>
        </w:rPr>
        <w:t>;</w:t>
      </w:r>
    </w:p>
    <w:p>
      <w:pPr>
        <w:pStyle w:val="73"/>
        <w:keepNext w:val="0"/>
        <w:numPr>
          <w:ilvl w:val="3"/>
          <w:numId w:val="12"/>
        </w:numPr>
        <w:rPr>
          <w:rFonts w:ascii="Verdana" w:hAnsi="Verdana" w:cs="Arial"/>
          <w:sz w:val="18"/>
          <w:szCs w:val="18"/>
        </w:rPr>
      </w:pPr>
      <w:r>
        <w:rPr>
          <w:rFonts w:ascii="Verdana" w:hAnsi="Verdana" w:cs="Arial"/>
          <w:color w:val="000000"/>
          <w:sz w:val="18"/>
          <w:szCs w:val="18"/>
        </w:rPr>
        <w:t>– Estrutura</w:t>
      </w:r>
      <w:r>
        <w:rPr>
          <w:rFonts w:hint="default" w:ascii="Verdana" w:hAnsi="Verdana" w:cs="Arial"/>
          <w:color w:val="000000"/>
          <w:sz w:val="18"/>
          <w:szCs w:val="18"/>
          <w:lang w:val="pt-BR"/>
        </w:rPr>
        <w:t xml:space="preserve"> (Anexo III do TR)</w:t>
      </w:r>
      <w:r>
        <w:rPr>
          <w:rFonts w:ascii="Verdana" w:hAnsi="Verdana" w:cs="Arial"/>
          <w:color w:val="000000"/>
          <w:sz w:val="18"/>
          <w:szCs w:val="18"/>
        </w:rPr>
        <w:t>;</w:t>
      </w:r>
    </w:p>
    <w:p>
      <w:pPr>
        <w:pStyle w:val="73"/>
        <w:keepNext w:val="0"/>
        <w:numPr>
          <w:ilvl w:val="3"/>
          <w:numId w:val="12"/>
        </w:numPr>
        <w:rPr>
          <w:rFonts w:ascii="Verdana" w:hAnsi="Verdana" w:cs="Arial"/>
          <w:sz w:val="18"/>
          <w:szCs w:val="18"/>
        </w:rPr>
      </w:pPr>
      <w:r>
        <w:rPr>
          <w:rFonts w:ascii="Verdana" w:hAnsi="Verdana" w:cs="Arial"/>
          <w:color w:val="000000"/>
          <w:sz w:val="18"/>
          <w:szCs w:val="18"/>
        </w:rPr>
        <w:t>– Hidrossanitário</w:t>
      </w:r>
      <w:r>
        <w:rPr>
          <w:rFonts w:hint="default" w:ascii="Verdana" w:hAnsi="Verdana" w:cs="Arial"/>
          <w:color w:val="000000"/>
          <w:sz w:val="18"/>
          <w:szCs w:val="18"/>
          <w:lang w:val="pt-BR"/>
        </w:rPr>
        <w:t xml:space="preserve"> (Anexo IV do TR)</w:t>
      </w:r>
      <w:r>
        <w:rPr>
          <w:rFonts w:ascii="Verdana" w:hAnsi="Verdana" w:cs="Arial"/>
          <w:color w:val="000000"/>
          <w:sz w:val="18"/>
          <w:szCs w:val="18"/>
        </w:rPr>
        <w:t>;</w:t>
      </w:r>
    </w:p>
    <w:p>
      <w:pPr>
        <w:pStyle w:val="73"/>
        <w:keepNext w:val="0"/>
        <w:numPr>
          <w:ilvl w:val="3"/>
          <w:numId w:val="12"/>
        </w:numPr>
        <w:rPr>
          <w:rFonts w:ascii="Verdana" w:hAnsi="Verdana" w:cs="Arial"/>
          <w:sz w:val="18"/>
          <w:szCs w:val="18"/>
        </w:rPr>
      </w:pPr>
      <w:r>
        <w:rPr>
          <w:rFonts w:ascii="Verdana" w:hAnsi="Verdana" w:cs="Arial"/>
          <w:color w:val="000000"/>
          <w:sz w:val="18"/>
          <w:szCs w:val="18"/>
        </w:rPr>
        <w:t>– Elétrica</w:t>
      </w:r>
      <w:r>
        <w:rPr>
          <w:rFonts w:hint="default" w:ascii="Verdana" w:hAnsi="Verdana" w:cs="Arial"/>
          <w:color w:val="000000"/>
          <w:sz w:val="18"/>
          <w:szCs w:val="18"/>
          <w:lang w:val="pt-BR"/>
        </w:rPr>
        <w:t xml:space="preserve"> (Anexo V do TR)</w:t>
      </w:r>
      <w:r>
        <w:rPr>
          <w:rFonts w:ascii="Verdana" w:hAnsi="Verdana" w:cs="Arial"/>
          <w:color w:val="000000"/>
          <w:sz w:val="18"/>
          <w:szCs w:val="18"/>
        </w:rPr>
        <w:t>;</w:t>
      </w:r>
    </w:p>
    <w:p>
      <w:pPr>
        <w:pStyle w:val="73"/>
        <w:keepNext w:val="0"/>
        <w:numPr>
          <w:ilvl w:val="3"/>
          <w:numId w:val="12"/>
        </w:numPr>
        <w:rPr>
          <w:rFonts w:ascii="Verdana" w:hAnsi="Verdana" w:cs="Arial"/>
          <w:sz w:val="18"/>
          <w:szCs w:val="18"/>
        </w:rPr>
      </w:pPr>
      <w:r>
        <w:rPr>
          <w:rFonts w:ascii="Verdana" w:hAnsi="Verdana" w:cs="Arial"/>
          <w:color w:val="000000"/>
          <w:sz w:val="18"/>
          <w:szCs w:val="18"/>
        </w:rPr>
        <w:t>– Lógica</w:t>
      </w:r>
      <w:r>
        <w:rPr>
          <w:rFonts w:hint="default" w:ascii="Verdana" w:hAnsi="Verdana" w:cs="Arial"/>
          <w:color w:val="000000"/>
          <w:sz w:val="18"/>
          <w:szCs w:val="18"/>
          <w:lang w:val="pt-BR"/>
        </w:rPr>
        <w:t xml:space="preserve"> (Anexo VI do TR)</w:t>
      </w:r>
      <w:r>
        <w:rPr>
          <w:rFonts w:ascii="Verdana" w:hAnsi="Verdana" w:cs="Arial"/>
          <w:color w:val="000000"/>
          <w:sz w:val="18"/>
          <w:szCs w:val="18"/>
        </w:rPr>
        <w:t>;</w:t>
      </w:r>
    </w:p>
    <w:p>
      <w:pPr>
        <w:pStyle w:val="73"/>
        <w:keepNext w:val="0"/>
        <w:numPr>
          <w:ilvl w:val="3"/>
          <w:numId w:val="12"/>
        </w:numPr>
        <w:rPr>
          <w:rFonts w:ascii="Verdana" w:hAnsi="Verdana" w:cs="Arial"/>
          <w:sz w:val="18"/>
          <w:szCs w:val="18"/>
        </w:rPr>
      </w:pPr>
      <w:r>
        <w:rPr>
          <w:rFonts w:ascii="Verdana" w:hAnsi="Verdana" w:cs="Arial"/>
          <w:color w:val="000000"/>
          <w:sz w:val="18"/>
          <w:szCs w:val="18"/>
        </w:rPr>
        <w:t>– Iluminação</w:t>
      </w:r>
      <w:r>
        <w:rPr>
          <w:rFonts w:hint="default" w:ascii="Verdana" w:hAnsi="Verdana" w:cs="Arial"/>
          <w:color w:val="000000"/>
          <w:sz w:val="18"/>
          <w:szCs w:val="18"/>
          <w:lang w:val="pt-BR"/>
        </w:rPr>
        <w:t xml:space="preserve"> (Anexo VII do TR)</w:t>
      </w:r>
      <w:r>
        <w:rPr>
          <w:rFonts w:ascii="Verdana" w:hAnsi="Verdana" w:cs="Arial"/>
          <w:color w:val="000000"/>
          <w:sz w:val="18"/>
          <w:szCs w:val="18"/>
        </w:rPr>
        <w:t>;</w:t>
      </w:r>
    </w:p>
    <w:p>
      <w:pPr>
        <w:pStyle w:val="73"/>
        <w:keepNext w:val="0"/>
        <w:numPr>
          <w:ilvl w:val="3"/>
          <w:numId w:val="12"/>
        </w:numPr>
        <w:rPr>
          <w:rFonts w:ascii="Verdana" w:hAnsi="Verdana" w:cs="Arial"/>
          <w:sz w:val="18"/>
          <w:szCs w:val="18"/>
        </w:rPr>
      </w:pPr>
      <w:r>
        <w:rPr>
          <w:rFonts w:ascii="Verdana" w:hAnsi="Verdana" w:cs="Arial"/>
          <w:color w:val="000000"/>
          <w:sz w:val="18"/>
          <w:szCs w:val="18"/>
        </w:rPr>
        <w:t>– Climatização</w:t>
      </w:r>
      <w:r>
        <w:rPr>
          <w:rFonts w:hint="default" w:ascii="Verdana" w:hAnsi="Verdana" w:cs="Arial"/>
          <w:color w:val="000000"/>
          <w:sz w:val="18"/>
          <w:szCs w:val="18"/>
          <w:lang w:val="pt-BR"/>
        </w:rPr>
        <w:t xml:space="preserve"> (Anexo VIII do TR)</w:t>
      </w:r>
      <w:r>
        <w:rPr>
          <w:rFonts w:ascii="Verdana" w:hAnsi="Verdana" w:cs="Arial"/>
          <w:color w:val="000000"/>
          <w:sz w:val="18"/>
          <w:szCs w:val="18"/>
        </w:rPr>
        <w:t>;</w:t>
      </w:r>
    </w:p>
    <w:p>
      <w:pPr>
        <w:pStyle w:val="73"/>
        <w:keepNext w:val="0"/>
        <w:numPr>
          <w:ilvl w:val="3"/>
          <w:numId w:val="12"/>
        </w:numPr>
        <w:rPr>
          <w:rFonts w:ascii="Verdana" w:hAnsi="Verdana" w:cs="Arial"/>
          <w:sz w:val="18"/>
          <w:szCs w:val="18"/>
        </w:rPr>
      </w:pPr>
      <w:r>
        <w:rPr>
          <w:rFonts w:ascii="Verdana" w:hAnsi="Verdana" w:cs="Arial"/>
          <w:color w:val="000000"/>
          <w:sz w:val="18"/>
          <w:szCs w:val="18"/>
        </w:rPr>
        <w:t>– Combate a Incêndio e Pânico</w:t>
      </w:r>
      <w:r>
        <w:rPr>
          <w:rFonts w:hint="default" w:ascii="Verdana" w:hAnsi="Verdana" w:cs="Arial"/>
          <w:color w:val="000000"/>
          <w:sz w:val="18"/>
          <w:szCs w:val="18"/>
          <w:lang w:val="pt-BR"/>
        </w:rPr>
        <w:t xml:space="preserve"> (Anexo IX do TR)</w:t>
      </w:r>
      <w:r>
        <w:rPr>
          <w:rFonts w:ascii="Verdana" w:hAnsi="Verdana" w:cs="Arial"/>
          <w:color w:val="000000"/>
          <w:sz w:val="18"/>
          <w:szCs w:val="18"/>
        </w:rPr>
        <w:t>;</w:t>
      </w:r>
    </w:p>
    <w:p>
      <w:pPr>
        <w:pStyle w:val="73"/>
        <w:keepNext w:val="0"/>
        <w:numPr>
          <w:ilvl w:val="3"/>
          <w:numId w:val="12"/>
        </w:numPr>
        <w:rPr>
          <w:rFonts w:ascii="Verdana" w:hAnsi="Verdana" w:cs="Arial"/>
          <w:sz w:val="18"/>
          <w:szCs w:val="18"/>
        </w:rPr>
      </w:pPr>
      <w:r>
        <w:rPr>
          <w:rFonts w:ascii="Verdana" w:hAnsi="Verdana" w:cs="Arial"/>
          <w:color w:val="000000"/>
          <w:sz w:val="18"/>
          <w:szCs w:val="18"/>
        </w:rPr>
        <w:t>– Programação Visual</w:t>
      </w:r>
      <w:r>
        <w:rPr>
          <w:rFonts w:hint="default" w:ascii="Verdana" w:hAnsi="Verdana" w:cs="Arial"/>
          <w:color w:val="000000"/>
          <w:sz w:val="18"/>
          <w:szCs w:val="18"/>
          <w:lang w:val="pt-BR"/>
        </w:rPr>
        <w:t xml:space="preserve"> (Anexo X do TR)</w:t>
      </w:r>
      <w:r>
        <w:rPr>
          <w:rFonts w:ascii="Verdana" w:hAnsi="Verdana" w:cs="Arial"/>
          <w:color w:val="000000"/>
          <w:sz w:val="18"/>
          <w:szCs w:val="18"/>
        </w:rPr>
        <w:t>.</w:t>
      </w:r>
    </w:p>
    <w:p>
      <w:pPr>
        <w:pStyle w:val="73"/>
        <w:keepNext w:val="0"/>
        <w:numPr>
          <w:numId w:val="0"/>
        </w:numPr>
        <w:ind w:left="2127" w:leftChars="0"/>
        <w:rPr>
          <w:rFonts w:hint="default" w:ascii="Verdana" w:hAnsi="Verdana" w:cs="Arial"/>
          <w:sz w:val="18"/>
          <w:szCs w:val="18"/>
          <w:lang w:val="pt-BR"/>
        </w:rPr>
      </w:pPr>
      <w:r>
        <w:rPr>
          <w:rFonts w:hint="default" w:ascii="Verdana" w:hAnsi="Verdana" w:cs="Arial"/>
          <w:b/>
          <w:bCs/>
          <w:color w:val="000000"/>
          <w:sz w:val="21"/>
          <w:szCs w:val="21"/>
          <w:u w:val="single"/>
          <w:lang w:val="pt-BR"/>
        </w:rPr>
        <w:t>Os projetos estão disponíveis por meio do link</w:t>
      </w:r>
      <w:r>
        <w:rPr>
          <w:rFonts w:hint="default" w:ascii="Verdana" w:hAnsi="Verdana" w:cs="Arial"/>
          <w:color w:val="000000"/>
          <w:sz w:val="18"/>
          <w:szCs w:val="18"/>
          <w:lang w:val="pt-BR"/>
        </w:rPr>
        <w:t xml:space="preserve">: </w:t>
      </w:r>
      <w:r>
        <w:rPr>
          <w:rFonts w:hint="default" w:ascii="Verdana" w:hAnsi="Verdana"/>
          <w:color w:val="000000"/>
          <w:sz w:val="18"/>
          <w:szCs w:val="18"/>
          <w:lang w:val="pt-BR"/>
        </w:rPr>
        <w:t>https://drive.google.com/drive/folders/1T-SrJATVBBTL5RbtZ--2fiKbWG6yBbqn?usp=share_link</w:t>
      </w:r>
      <w:bookmarkStart w:id="9" w:name="_GoBack"/>
      <w:bookmarkEnd w:id="9"/>
    </w:p>
    <w:p>
      <w:pPr>
        <w:pStyle w:val="73"/>
        <w:keepNext w:val="0"/>
        <w:jc w:val="center"/>
        <w:rPr>
          <w:rFonts w:ascii="Verdana" w:hAnsi="Verdana" w:cs="Arial"/>
          <w:color w:val="000000"/>
          <w:sz w:val="18"/>
          <w:szCs w:val="18"/>
        </w:rPr>
      </w:pPr>
    </w:p>
    <w:p>
      <w:pPr>
        <w:pStyle w:val="73"/>
        <w:keepNext w:val="0"/>
        <w:jc w:val="center"/>
        <w:rPr>
          <w:rFonts w:ascii="Verdana" w:hAnsi="Verdana" w:cs="Arial"/>
          <w:sz w:val="18"/>
          <w:szCs w:val="18"/>
        </w:rPr>
      </w:pPr>
      <w:r>
        <w:rPr>
          <w:rFonts w:ascii="Verdana" w:hAnsi="Verdana" w:cs="Arial"/>
          <w:color w:val="000000"/>
          <w:sz w:val="18"/>
          <w:szCs w:val="18"/>
        </w:rPr>
        <w:t>Niterói, 10 de novembro 2022.</w:t>
      </w:r>
    </w:p>
    <w:p>
      <w:pPr>
        <w:pStyle w:val="73"/>
        <w:keepNext w:val="0"/>
        <w:rPr>
          <w:rFonts w:ascii="Verdana" w:hAnsi="Verdana" w:cs="Arial"/>
          <w:sz w:val="18"/>
          <w:szCs w:val="18"/>
        </w:rPr>
      </w:pPr>
    </w:p>
    <w:p>
      <w:pPr>
        <w:jc w:val="center"/>
      </w:pPr>
      <w:r>
        <w:rPr>
          <w:rFonts w:ascii="Verdana" w:hAnsi="Verdana" w:cs="Arial"/>
          <w:szCs w:val="20"/>
        </w:rPr>
        <w:t>______________________</w:t>
      </w:r>
    </w:p>
    <w:p>
      <w:pPr>
        <w:jc w:val="center"/>
        <w:rPr>
          <w:rFonts w:ascii="Verdana" w:hAnsi="Verdana" w:cs="Arial"/>
          <w:sz w:val="16"/>
          <w:szCs w:val="16"/>
        </w:rPr>
      </w:pPr>
      <w:r>
        <w:rPr>
          <w:rFonts w:hint="default" w:ascii="Verdana" w:hAnsi="Verdana" w:cs="Arial"/>
          <w:sz w:val="16"/>
          <w:szCs w:val="16"/>
          <w:lang w:val="pt-BR"/>
        </w:rPr>
        <w:t xml:space="preserve">Coordenação </w:t>
      </w:r>
      <w:r>
        <w:rPr>
          <w:rFonts w:ascii="Verdana" w:hAnsi="Verdana" w:cs="Arial"/>
          <w:sz w:val="16"/>
          <w:szCs w:val="16"/>
        </w:rPr>
        <w:t>de Licitação/CLi</w:t>
      </w:r>
    </w:p>
    <w:p>
      <w:pPr>
        <w:jc w:val="center"/>
        <w:rPr>
          <w:rFonts w:ascii="Verdana" w:hAnsi="Verdana" w:cs="Arial"/>
          <w:sz w:val="16"/>
          <w:szCs w:val="16"/>
        </w:rPr>
      </w:pPr>
      <w:r>
        <w:rPr>
          <w:rFonts w:ascii="Verdana" w:hAnsi="Verdana" w:cs="Arial"/>
          <w:sz w:val="16"/>
          <w:szCs w:val="16"/>
        </w:rPr>
        <w:t>Pró-Reitoria de Administração/PROAD</w:t>
      </w:r>
    </w:p>
    <w:p>
      <w:pPr>
        <w:jc w:val="center"/>
        <w:rPr>
          <w:rFonts w:ascii="Verdana" w:hAnsi="Verdana" w:cs="Arial"/>
          <w:sz w:val="16"/>
          <w:szCs w:val="16"/>
        </w:rPr>
      </w:pPr>
      <w:r>
        <w:rPr>
          <w:rFonts w:ascii="Verdana" w:hAnsi="Verdana" w:cs="Arial"/>
          <w:sz w:val="16"/>
          <w:szCs w:val="16"/>
        </w:rPr>
        <w:t>Universidade Federal Fluminense</w:t>
      </w:r>
    </w:p>
    <w:p>
      <w:pPr>
        <w:jc w:val="center"/>
        <w:rPr>
          <w:rFonts w:eastAsia="WenQuanYi Micro Hei" w:cs="Lohit Hindi"/>
          <w:color w:val="auto"/>
          <w:sz w:val="16"/>
          <w:szCs w:val="16"/>
          <w:lang w:eastAsia="zh-CN" w:bidi="hi-IN"/>
        </w:rPr>
      </w:pPr>
    </w:p>
    <w:sectPr>
      <w:headerReference r:id="rId3" w:type="default"/>
      <w:footerReference r:id="rId4" w:type="default"/>
      <w:pgSz w:w="11906" w:h="16838"/>
      <w:pgMar w:top="958" w:right="1134" w:bottom="1276" w:left="1531" w:header="425" w:footer="312"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000247B" w:usb2="00000009" w:usb3="00000000" w:csb0="200001FF"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00" w:usb3="00000000" w:csb0="00000000" w:csb1="00000000"/>
  </w:font>
  <w:font w:name="WenQuanYi Micro Hei">
    <w:altName w:val="SimSun"/>
    <w:panose1 w:val="00000000000000000000"/>
    <w:charset w:val="86"/>
    <w:family w:val="roman"/>
    <w:pitch w:val="default"/>
    <w:sig w:usb0="00000000" w:usb1="00000000" w:usb2="00000000" w:usb3="00000000" w:csb0="00000000" w:csb1="00000000"/>
  </w:font>
  <w:font w:name="Ecofont_Spranq_eco_Sans">
    <w:altName w:val="Times New Roman"/>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Arial"/>
    <w:panose1 w:val="020B0604020202020204"/>
    <w:charset w:val="00"/>
    <w:family w:val="roman"/>
    <w:pitch w:val="default"/>
    <w:sig w:usb0="00000000" w:usb1="00000000" w:usb2="00000000" w:usb3="00000000" w:csb0="00000001" w:csb1="00000000"/>
  </w:font>
  <w:font w:name="Mangal">
    <w:altName w:val="Segoe Print"/>
    <w:panose1 w:val="00000400000000000000"/>
    <w:charset w:val="00"/>
    <w:family w:val="roman"/>
    <w:pitch w:val="default"/>
    <w:sig w:usb0="00000000" w:usb1="00000000" w:usb2="00000000" w:usb3="00000000" w:csb0="00000001"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Segoe UI">
    <w:panose1 w:val="020B0502040204020203"/>
    <w:charset w:val="00"/>
    <w:family w:val="swiss"/>
    <w:pitch w:val="default"/>
    <w:sig w:usb0="E4002EFF" w:usb1="C000E47F" w:usb2="00000009" w:usb3="00000000" w:csb0="200001FF" w:csb1="00000000"/>
  </w:font>
  <w:font w:name="Verdana">
    <w:panose1 w:val="020B0604030504040204"/>
    <w:charset w:val="00"/>
    <w:family w:val="swiss"/>
    <w:pitch w:val="default"/>
    <w:sig w:usb0="A00006FF" w:usb1="4000205B" w:usb2="00000010" w:usb3="00000000" w:csb0="2000019F" w:csb1="00000000"/>
  </w:font>
  <w:font w:name="Zurich BT">
    <w:altName w:val="Segoe Print"/>
    <w:panose1 w:val="00000000000000000000"/>
    <w:charset w:val="00"/>
    <w:family w:val="roman"/>
    <w:pitch w:val="default"/>
    <w:sig w:usb0="00000000" w:usb1="00000000" w:usb2="00000000" w:usb3="00000000" w:csb0="00000000"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Times-Roman">
    <w:altName w:val="Times New Roman"/>
    <w:panose1 w:val="00000000000000000000"/>
    <w:charset w:val="00"/>
    <w:family w:val="auto"/>
    <w:pitch w:val="default"/>
    <w:sig w:usb0="00000000" w:usb1="00000000" w:usb2="00000000" w:usb3="00000000" w:csb0="00000001" w:csb1="00000000"/>
  </w:font>
  <w:font w:name="Ecofont_Spranq_eco_Sans,Lohit H">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585459986"/>
      <w:docPartObj>
        <w:docPartGallery w:val="autotext"/>
      </w:docPartObj>
    </w:sdtPr>
    <w:sdtEndPr>
      <w:rPr>
        <w:rFonts w:ascii="Ecofont_Spranq_eco_Sans" w:hAnsi="Ecofont_Spranq_eco_Sans"/>
        <w:sz w:val="24"/>
        <w:szCs w:val="24"/>
      </w:rPr>
    </w:sdtEndPr>
    <w:sdtContent>
      <w:sdt>
        <w:sdtPr>
          <w:rPr>
            <w:rFonts w:ascii="Verdana" w:hAnsi="Verdana"/>
            <w:sz w:val="16"/>
            <w:szCs w:val="16"/>
          </w:rPr>
          <w:id w:val="250395305"/>
          <w:docPartObj>
            <w:docPartGallery w:val="autotext"/>
          </w:docPartObj>
        </w:sdtPr>
        <w:sdtEndPr>
          <w:rPr>
            <w:rFonts w:ascii="Verdana" w:hAnsi="Verdana"/>
            <w:sz w:val="16"/>
            <w:szCs w:val="16"/>
          </w:rPr>
        </w:sdtEndPr>
        <w:sdtContent>
          <w:p>
            <w:pPr>
              <w:jc w:val="right"/>
            </w:pPr>
            <w:r>
              <w:rPr>
                <w:rFonts w:ascii="Verdana" w:hAnsi="Verdana"/>
                <w:sz w:val="14"/>
                <w:szCs w:val="14"/>
              </w:rPr>
              <w:t xml:space="preserve">Página </w:t>
            </w:r>
            <w:r>
              <w:rPr>
                <w:rFonts w:ascii="Verdana" w:hAnsi="Verdana"/>
                <w:sz w:val="14"/>
                <w:szCs w:val="14"/>
              </w:rPr>
              <w:fldChar w:fldCharType="begin"/>
            </w:r>
            <w:r>
              <w:rPr>
                <w:rFonts w:ascii="Verdana" w:hAnsi="Verdana"/>
                <w:sz w:val="14"/>
                <w:szCs w:val="14"/>
              </w:rPr>
              <w:instrText xml:space="preserve"> PAGE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r>
              <w:rPr>
                <w:rFonts w:ascii="Verdana" w:hAnsi="Verdana"/>
                <w:sz w:val="14"/>
                <w:szCs w:val="14"/>
              </w:rPr>
              <w:t xml:space="preserve"> de </w:t>
            </w:r>
            <w:r>
              <w:rPr>
                <w:rFonts w:ascii="Verdana" w:hAnsi="Verdana"/>
                <w:sz w:val="14"/>
                <w:szCs w:val="14"/>
              </w:rPr>
              <w:fldChar w:fldCharType="begin"/>
            </w:r>
            <w:r>
              <w:rPr>
                <w:rFonts w:ascii="Verdana" w:hAnsi="Verdana"/>
                <w:sz w:val="14"/>
                <w:szCs w:val="14"/>
              </w:rPr>
              <w:instrText xml:space="preserve"> NUMPAGES  </w:instrText>
            </w:r>
            <w:r>
              <w:rPr>
                <w:rFonts w:ascii="Verdana" w:hAnsi="Verdana"/>
                <w:sz w:val="14"/>
                <w:szCs w:val="14"/>
              </w:rPr>
              <w:fldChar w:fldCharType="separate"/>
            </w:r>
            <w:r>
              <w:rPr>
                <w:rFonts w:ascii="Verdana" w:hAnsi="Verdana"/>
                <w:sz w:val="14"/>
                <w:szCs w:val="14"/>
              </w:rPr>
              <w:t>24</w:t>
            </w:r>
            <w:r>
              <w:rPr>
                <w:rFonts w:ascii="Verdana" w:hAnsi="Verdana"/>
                <w:sz w:val="14"/>
                <w:szCs w:val="14"/>
              </w:rPr>
              <w:fldChar w:fldCharType="end"/>
            </w:r>
          </w:p>
        </w:sdtContent>
      </w:sdt>
    </w:sdtContent>
  </w:sdt>
  <w:p>
    <w:pPr>
      <w:pStyle w:val="19"/>
      <w:keepNext w:val="0"/>
    </w:pPr>
    <w:r>
      <w:t>___________________________________________________________________________</w:t>
    </w:r>
  </w:p>
  <w:p>
    <w:pPr>
      <w:pStyle w:val="19"/>
      <w:keepNext w:val="0"/>
      <w:rPr>
        <w:sz w:val="12"/>
        <w:szCs w:val="12"/>
      </w:rPr>
    </w:pPr>
    <w:r>
      <w:rPr>
        <w:sz w:val="12"/>
        <w:szCs w:val="12"/>
      </w:rPr>
      <w:t>Câmara Nacional de Modelos de Licitações e Contratos da Consultoria-Geral da União</w:t>
    </w:r>
  </w:p>
  <w:p>
    <w:pPr>
      <w:pStyle w:val="19"/>
      <w:keepNext w:val="0"/>
      <w:rPr>
        <w:sz w:val="12"/>
        <w:szCs w:val="12"/>
      </w:rPr>
    </w:pPr>
    <w:r>
      <w:rPr>
        <w:sz w:val="12"/>
        <w:szCs w:val="12"/>
      </w:rPr>
      <w:t>Edital modelo para Pregão Eletrônico: Serviços Comuns de engenharia</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Verdana" w:hAnsi="Verdana"/>
        <w:sz w:val="14"/>
        <w:szCs w:val="14"/>
      </w:rPr>
    </w:pPr>
    <w:r>
      <w:rPr>
        <w:rFonts w:ascii="Verdana" w:hAnsi="Verdana"/>
        <w:sz w:val="14"/>
        <w:szCs w:val="14"/>
      </w:rPr>
      <w:t>Fls:_______</w:t>
    </w:r>
  </w:p>
  <w:p>
    <w:pPr>
      <w:pStyle w:val="17"/>
      <w:jc w:val="right"/>
      <w:rPr>
        <w:rFonts w:ascii="Verdana" w:hAnsi="Verdana"/>
        <w:sz w:val="14"/>
        <w:szCs w:val="14"/>
      </w:rPr>
    </w:pPr>
    <w:r>
      <w:rPr>
        <w:rFonts w:ascii="Verdana" w:hAnsi="Verdana"/>
        <w:sz w:val="14"/>
        <w:szCs w:val="14"/>
      </w:rPr>
      <w:t>Processo n.º 23069.187005/2022-62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E77A2B"/>
    <w:multiLevelType w:val="multilevel"/>
    <w:tmpl w:val="02E77A2B"/>
    <w:lvl w:ilvl="0" w:tentative="0">
      <w:start w:val="8"/>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1">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2">
    <w:nsid w:val="2367722C"/>
    <w:multiLevelType w:val="multilevel"/>
    <w:tmpl w:val="2367722C"/>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3">
    <w:nsid w:val="34665CEB"/>
    <w:multiLevelType w:val="multilevel"/>
    <w:tmpl w:val="34665CEB"/>
    <w:lvl w:ilvl="0" w:tentative="0">
      <w:start w:val="13"/>
      <w:numFmt w:val="decimal"/>
      <w:lvlText w:val="%1."/>
      <w:lvlJc w:val="left"/>
      <w:pPr>
        <w:ind w:left="0" w:firstLine="0"/>
      </w:pPr>
      <w:rPr>
        <w:rFonts w:hint="default"/>
      </w:rPr>
    </w:lvl>
    <w:lvl w:ilvl="1" w:tentative="0">
      <w:start w:val="1"/>
      <w:numFmt w:val="decimal"/>
      <w:lvlText w:val="%1.%2."/>
      <w:lvlJc w:val="left"/>
      <w:pPr>
        <w:ind w:left="426"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4">
    <w:nsid w:val="37516B2C"/>
    <w:multiLevelType w:val="multilevel"/>
    <w:tmpl w:val="37516B2C"/>
    <w:lvl w:ilvl="0" w:tentative="0">
      <w:start w:val="1"/>
      <w:numFmt w:val="decimal"/>
      <w:lvlText w:val="%1"/>
      <w:lvlJc w:val="left"/>
      <w:pPr>
        <w:ind w:left="360" w:hanging="360"/>
      </w:pPr>
      <w:rPr>
        <w:rFonts w:hint="default"/>
        <w:b/>
        <w:sz w:val="20"/>
        <w:szCs w:val="20"/>
      </w:rPr>
    </w:lvl>
    <w:lvl w:ilvl="1" w:tentative="0">
      <w:start w:val="1"/>
      <w:numFmt w:val="decimal"/>
      <w:lvlText w:val="%1.%2"/>
      <w:lvlJc w:val="left"/>
      <w:pPr>
        <w:ind w:left="785" w:hanging="360"/>
      </w:pPr>
      <w:rPr>
        <w:rFonts w:hint="default"/>
        <w:b w:val="0"/>
        <w:i w:val="0"/>
        <w:color w:val="auto"/>
      </w:rPr>
    </w:lvl>
    <w:lvl w:ilvl="2" w:tentative="0">
      <w:start w:val="1"/>
      <w:numFmt w:val="lowerLetter"/>
      <w:lvlText w:val="%3)"/>
      <w:lvlJc w:val="left"/>
      <w:pPr>
        <w:ind w:left="1353" w:hanging="360"/>
      </w:pPr>
      <w:rPr>
        <w:rFonts w:hint="default"/>
        <w:b w:val="0"/>
        <w:color w:val="auto"/>
      </w:rPr>
    </w:lvl>
    <w:lvl w:ilvl="3" w:tentative="0">
      <w:start w:val="1"/>
      <w:numFmt w:val="decimal"/>
      <w:lvlText w:val="%1.%2.%3.%4"/>
      <w:lvlJc w:val="left"/>
      <w:pPr>
        <w:ind w:left="2847" w:hanging="720"/>
      </w:pPr>
      <w:rPr>
        <w:rFonts w:hint="default"/>
        <w:color w:val="auto"/>
        <w:sz w:val="18"/>
        <w:szCs w:val="18"/>
      </w:rPr>
    </w:lvl>
    <w:lvl w:ilvl="4" w:tentative="0">
      <w:start w:val="1"/>
      <w:numFmt w:val="decimal"/>
      <w:lvlText w:val="%1.%2.%3.%4.%5"/>
      <w:lvlJc w:val="left"/>
      <w:pPr>
        <w:ind w:left="3064" w:hanging="1080"/>
      </w:pPr>
      <w:rPr>
        <w:rFonts w:hint="default"/>
        <w:color w:val="auto"/>
        <w:sz w:val="18"/>
        <w:szCs w:val="18"/>
      </w:rPr>
    </w:lvl>
    <w:lvl w:ilvl="5" w:tentative="0">
      <w:start w:val="1"/>
      <w:numFmt w:val="decimal"/>
      <w:lvlText w:val="%1.%2.%3.%4.%5.%6"/>
      <w:lvlJc w:val="left"/>
      <w:pPr>
        <w:ind w:left="3560" w:hanging="1080"/>
      </w:pPr>
      <w:rPr>
        <w:rFonts w:hint="default"/>
        <w:color w:val="auto"/>
        <w:sz w:val="16"/>
        <w:szCs w:val="16"/>
      </w:rPr>
    </w:lvl>
    <w:lvl w:ilvl="6" w:tentative="0">
      <w:start w:val="1"/>
      <w:numFmt w:val="decimal"/>
      <w:lvlText w:val="%1.%2.%3.%4.%5.%6.%7"/>
      <w:lvlJc w:val="left"/>
      <w:pPr>
        <w:ind w:left="4416" w:hanging="1440"/>
      </w:pPr>
      <w:rPr>
        <w:rFonts w:hint="default"/>
        <w:color w:val="auto"/>
      </w:rPr>
    </w:lvl>
    <w:lvl w:ilvl="7" w:tentative="0">
      <w:start w:val="1"/>
      <w:numFmt w:val="decimal"/>
      <w:lvlText w:val="%1.%2.%3.%4.%5.%6.%7.%8"/>
      <w:lvlJc w:val="left"/>
      <w:pPr>
        <w:ind w:left="4912" w:hanging="1440"/>
      </w:pPr>
      <w:rPr>
        <w:rFonts w:hint="default"/>
        <w:color w:val="auto"/>
      </w:rPr>
    </w:lvl>
    <w:lvl w:ilvl="8" w:tentative="0">
      <w:start w:val="1"/>
      <w:numFmt w:val="decimal"/>
      <w:lvlText w:val="%1.%2.%3.%4.%5.%6.%7.%8.%9"/>
      <w:lvlJc w:val="left"/>
      <w:pPr>
        <w:ind w:left="5768" w:hanging="1800"/>
      </w:pPr>
      <w:rPr>
        <w:rFonts w:hint="default"/>
        <w:color w:val="auto"/>
      </w:rPr>
    </w:lvl>
  </w:abstractNum>
  <w:abstractNum w:abstractNumId="5">
    <w:nsid w:val="43CF13EB"/>
    <w:multiLevelType w:val="multilevel"/>
    <w:tmpl w:val="43CF13EB"/>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sz w:val="20"/>
        <w:szCs w:val="20"/>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6">
    <w:nsid w:val="58C70088"/>
    <w:multiLevelType w:val="multilevel"/>
    <w:tmpl w:val="58C70088"/>
    <w:lvl w:ilvl="0" w:tentative="0">
      <w:start w:val="1"/>
      <w:numFmt w:val="decimal"/>
      <w:pStyle w:val="79"/>
      <w:lvlText w:val="%1."/>
      <w:lvlJc w:val="left"/>
      <w:pPr>
        <w:ind w:left="502" w:hanging="360"/>
      </w:pPr>
      <w:rPr>
        <w:b/>
        <w:i w:val="0"/>
        <w:strike w:val="0"/>
        <w:dstrike w:val="0"/>
      </w:rPr>
    </w:lvl>
    <w:lvl w:ilvl="1" w:tentative="0">
      <w:start w:val="1"/>
      <w:numFmt w:val="decimal"/>
      <w:pStyle w:val="78"/>
      <w:lvlText w:val="%1.%2."/>
      <w:lvlJc w:val="left"/>
      <w:pPr>
        <w:ind w:left="858" w:hanging="432"/>
      </w:pPr>
      <w:rPr>
        <w:b w:val="0"/>
        <w:strike w:val="0"/>
      </w:rPr>
    </w:lvl>
    <w:lvl w:ilvl="2" w:tentative="0">
      <w:start w:val="1"/>
      <w:numFmt w:val="decimal"/>
      <w:pStyle w:val="80"/>
      <w:lvlText w:val="%1.%2.%3."/>
      <w:lvlJc w:val="left"/>
      <w:pPr>
        <w:ind w:left="1224" w:hanging="504"/>
      </w:pPr>
      <w:rPr>
        <w:i w:val="0"/>
        <w:strike w:val="0"/>
      </w:rPr>
    </w:lvl>
    <w:lvl w:ilvl="3" w:tentative="0">
      <w:start w:val="1"/>
      <w:numFmt w:val="decimal"/>
      <w:pStyle w:val="81"/>
      <w:lvlText w:val="%1.%2.%3.%4."/>
      <w:lvlJc w:val="left"/>
      <w:pPr>
        <w:ind w:left="1728" w:hanging="648"/>
      </w:pPr>
    </w:lvl>
    <w:lvl w:ilvl="4" w:tentative="0">
      <w:start w:val="1"/>
      <w:numFmt w:val="decimal"/>
      <w:pStyle w:val="8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7">
    <w:nsid w:val="6B416A47"/>
    <w:multiLevelType w:val="multilevel"/>
    <w:tmpl w:val="6B416A47"/>
    <w:lvl w:ilvl="0" w:tentative="0">
      <w:start w:val="4"/>
      <w:numFmt w:val="decimal"/>
      <w:lvlText w:val="%1"/>
      <w:lvlJc w:val="left"/>
      <w:pPr>
        <w:ind w:left="435" w:hanging="435"/>
      </w:pPr>
      <w:rPr>
        <w:rFonts w:hint="default"/>
      </w:rPr>
    </w:lvl>
    <w:lvl w:ilvl="1" w:tentative="0">
      <w:start w:val="4"/>
      <w:numFmt w:val="decimal"/>
      <w:lvlText w:val="%1.%2"/>
      <w:lvlJc w:val="left"/>
      <w:pPr>
        <w:ind w:left="1002" w:hanging="435"/>
      </w:pPr>
      <w:rPr>
        <w:rFonts w:hint="default"/>
      </w:rPr>
    </w:lvl>
    <w:lvl w:ilvl="2" w:tentative="0">
      <w:start w:val="1"/>
      <w:numFmt w:val="decimal"/>
      <w:lvlText w:val="%1.%2.%3"/>
      <w:lvlJc w:val="left"/>
      <w:pPr>
        <w:ind w:left="1854" w:hanging="720"/>
      </w:pPr>
      <w:rPr>
        <w:rFonts w:hint="default"/>
      </w:rPr>
    </w:lvl>
    <w:lvl w:ilvl="3" w:tentative="0">
      <w:start w:val="1"/>
      <w:numFmt w:val="decimal"/>
      <w:lvlText w:val="%1.%2.%3.%4"/>
      <w:lvlJc w:val="left"/>
      <w:pPr>
        <w:ind w:left="2421" w:hanging="720"/>
      </w:pPr>
      <w:rPr>
        <w:rFonts w:hint="default"/>
      </w:rPr>
    </w:lvl>
    <w:lvl w:ilvl="4" w:tentative="0">
      <w:start w:val="1"/>
      <w:numFmt w:val="decimal"/>
      <w:lvlText w:val="%1.%2.%3.%4.%5"/>
      <w:lvlJc w:val="left"/>
      <w:pPr>
        <w:ind w:left="3348" w:hanging="1080"/>
      </w:pPr>
      <w:rPr>
        <w:rFonts w:hint="default"/>
      </w:rPr>
    </w:lvl>
    <w:lvl w:ilvl="5" w:tentative="0">
      <w:start w:val="1"/>
      <w:numFmt w:val="decimal"/>
      <w:lvlText w:val="%1.%2.%3.%4.%5.%6"/>
      <w:lvlJc w:val="left"/>
      <w:pPr>
        <w:ind w:left="3915" w:hanging="1080"/>
      </w:pPr>
      <w:rPr>
        <w:rFonts w:hint="default"/>
      </w:rPr>
    </w:lvl>
    <w:lvl w:ilvl="6" w:tentative="0">
      <w:start w:val="1"/>
      <w:numFmt w:val="decimal"/>
      <w:lvlText w:val="%1.%2.%3.%4.%5.%6.%7"/>
      <w:lvlJc w:val="left"/>
      <w:pPr>
        <w:ind w:left="4842" w:hanging="1440"/>
      </w:pPr>
      <w:rPr>
        <w:rFonts w:hint="default"/>
      </w:rPr>
    </w:lvl>
    <w:lvl w:ilvl="7" w:tentative="0">
      <w:start w:val="1"/>
      <w:numFmt w:val="decimal"/>
      <w:lvlText w:val="%1.%2.%3.%4.%5.%6.%7.%8"/>
      <w:lvlJc w:val="left"/>
      <w:pPr>
        <w:ind w:left="5409" w:hanging="1440"/>
      </w:pPr>
      <w:rPr>
        <w:rFonts w:hint="default"/>
      </w:rPr>
    </w:lvl>
    <w:lvl w:ilvl="8" w:tentative="0">
      <w:start w:val="1"/>
      <w:numFmt w:val="decimal"/>
      <w:lvlText w:val="%1.%2.%3.%4.%5.%6.%7.%8.%9"/>
      <w:lvlJc w:val="left"/>
      <w:pPr>
        <w:ind w:left="6336" w:hanging="1800"/>
      </w:pPr>
      <w:rPr>
        <w:rFonts w:hint="default"/>
      </w:rPr>
    </w:lvl>
  </w:abstractNum>
  <w:abstractNum w:abstractNumId="8">
    <w:nsid w:val="6C2D4641"/>
    <w:multiLevelType w:val="multilevel"/>
    <w:tmpl w:val="6C2D4641"/>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9">
    <w:nsid w:val="6F99146E"/>
    <w:multiLevelType w:val="multilevel"/>
    <w:tmpl w:val="6F99146E"/>
    <w:lvl w:ilvl="0" w:tentative="0">
      <w:start w:val="8"/>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rPr>
    </w:lvl>
    <w:lvl w:ilvl="2" w:tentative="0">
      <w:start w:val="1"/>
      <w:numFmt w:val="lowerLetter"/>
      <w:lvlText w:val="%3)"/>
      <w:lvlJc w:val="left"/>
      <w:pPr>
        <w:ind w:left="1353" w:hanging="360"/>
      </w:pPr>
      <w:rPr>
        <w:rFonts w:hint="default"/>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abstractNum w:abstractNumId="10">
    <w:nsid w:val="7D9624EC"/>
    <w:multiLevelType w:val="multilevel"/>
    <w:tmpl w:val="7D9624EC"/>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color w:val="000000"/>
      </w:rPr>
    </w:lvl>
    <w:lvl w:ilvl="2" w:tentative="0">
      <w:start w:val="1"/>
      <w:numFmt w:val="decimal"/>
      <w:lvlText w:val="%1.%2.%3."/>
      <w:lvlJc w:val="left"/>
      <w:pPr>
        <w:ind w:left="1854" w:hanging="720"/>
      </w:pPr>
      <w:rPr>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1">
    <w:nsid w:val="7E0E2202"/>
    <w:multiLevelType w:val="multilevel"/>
    <w:tmpl w:val="7E0E2202"/>
    <w:lvl w:ilvl="0" w:tentative="0">
      <w:start w:val="6"/>
      <w:numFmt w:val="decimal"/>
      <w:lvlText w:val="%1"/>
      <w:lvlJc w:val="left"/>
      <w:pPr>
        <w:ind w:left="360" w:hanging="360"/>
      </w:pPr>
      <w:rPr>
        <w:rFonts w:hint="default"/>
        <w:b/>
      </w:rPr>
    </w:lvl>
    <w:lvl w:ilvl="1" w:tentative="0">
      <w:start w:val="1"/>
      <w:numFmt w:val="decimal"/>
      <w:lvlText w:val="%1.%2"/>
      <w:lvlJc w:val="left"/>
      <w:pPr>
        <w:ind w:left="785" w:hanging="360"/>
      </w:pPr>
      <w:rPr>
        <w:rFonts w:hint="default"/>
        <w:b w:val="0"/>
        <w:color w:val="auto"/>
        <w:sz w:val="20"/>
        <w:szCs w:val="20"/>
      </w:rPr>
    </w:lvl>
    <w:lvl w:ilvl="2" w:tentative="0">
      <w:start w:val="1"/>
      <w:numFmt w:val="lowerLetter"/>
      <w:lvlText w:val="%3)"/>
      <w:lvlJc w:val="left"/>
      <w:pPr>
        <w:ind w:left="1353" w:hanging="360"/>
      </w:pPr>
      <w:rPr>
        <w:rFonts w:hint="default"/>
        <w:b w:val="0"/>
      </w:rPr>
    </w:lvl>
    <w:lvl w:ilvl="3" w:tentative="0">
      <w:start w:val="1"/>
      <w:numFmt w:val="decimal"/>
      <w:lvlText w:val="%1.%2.%3.%4"/>
      <w:lvlJc w:val="left"/>
      <w:pPr>
        <w:ind w:left="2847" w:hanging="720"/>
      </w:pPr>
      <w:rPr>
        <w:rFonts w:hint="default"/>
        <w:sz w:val="18"/>
        <w:szCs w:val="18"/>
      </w:rPr>
    </w:lvl>
    <w:lvl w:ilvl="4" w:tentative="0">
      <w:start w:val="1"/>
      <w:numFmt w:val="decimal"/>
      <w:lvlText w:val="%1.%2.%3.%4.%5"/>
      <w:lvlJc w:val="left"/>
      <w:pPr>
        <w:ind w:left="3064" w:hanging="1080"/>
      </w:pPr>
      <w:rPr>
        <w:rFonts w:hint="default"/>
        <w:sz w:val="18"/>
        <w:szCs w:val="18"/>
      </w:rPr>
    </w:lvl>
    <w:lvl w:ilvl="5" w:tentative="0">
      <w:start w:val="1"/>
      <w:numFmt w:val="decimal"/>
      <w:lvlText w:val="%1.%2.%3.%4.%5.%6"/>
      <w:lvlJc w:val="left"/>
      <w:pPr>
        <w:ind w:left="3560" w:hanging="1080"/>
      </w:pPr>
      <w:rPr>
        <w:rFonts w:hint="default"/>
        <w:sz w:val="16"/>
        <w:szCs w:val="16"/>
      </w:rPr>
    </w:lvl>
    <w:lvl w:ilvl="6" w:tentative="0">
      <w:start w:val="1"/>
      <w:numFmt w:val="decimal"/>
      <w:lvlText w:val="%1.%2.%3.%4.%5.%6.%7"/>
      <w:lvlJc w:val="left"/>
      <w:pPr>
        <w:ind w:left="4416" w:hanging="1440"/>
      </w:pPr>
      <w:rPr>
        <w:rFonts w:hint="default"/>
      </w:rPr>
    </w:lvl>
    <w:lvl w:ilvl="7" w:tentative="0">
      <w:start w:val="1"/>
      <w:numFmt w:val="decimal"/>
      <w:lvlText w:val="%1.%2.%3.%4.%5.%6.%7.%8"/>
      <w:lvlJc w:val="left"/>
      <w:pPr>
        <w:ind w:left="4912" w:hanging="1440"/>
      </w:pPr>
      <w:rPr>
        <w:rFonts w:hint="default"/>
      </w:rPr>
    </w:lvl>
    <w:lvl w:ilvl="8" w:tentative="0">
      <w:start w:val="1"/>
      <w:numFmt w:val="decimal"/>
      <w:lvlText w:val="%1.%2.%3.%4.%5.%6.%7.%8.%9"/>
      <w:lvlJc w:val="left"/>
      <w:pPr>
        <w:ind w:left="5768" w:hanging="1800"/>
      </w:pPr>
      <w:rPr>
        <w:rFonts w:hint="default"/>
      </w:rPr>
    </w:lvl>
  </w:abstractNum>
  <w:num w:numId="1">
    <w:abstractNumId w:val="1"/>
  </w:num>
  <w:num w:numId="2">
    <w:abstractNumId w:val="6"/>
  </w:num>
  <w:num w:numId="3">
    <w:abstractNumId w:val="4"/>
  </w:num>
  <w:num w:numId="4">
    <w:abstractNumId w:val="8"/>
  </w:num>
  <w:num w:numId="5">
    <w:abstractNumId w:val="7"/>
  </w:num>
  <w:num w:numId="6">
    <w:abstractNumId w:val="9"/>
  </w:num>
  <w:num w:numId="7">
    <w:abstractNumId w:val="0"/>
  </w:num>
  <w:num w:numId="8">
    <w:abstractNumId w:val="10"/>
  </w:num>
  <w:num w:numId="9">
    <w:abstractNumId w:val="2"/>
  </w:num>
  <w:num w:numId="10">
    <w:abstractNumId w:val="3"/>
  </w:num>
  <w:num w:numId="11">
    <w:abstractNumId w:val="11"/>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9"/>
  <w:hyphenationZone w:val="425"/>
  <w:characterSpacingControl w:val="doNotCompress"/>
  <w:compat>
    <w:compatSetting w:name="compatibilityMode" w:uri="http://schemas.microsoft.com/office/word" w:val="12"/>
  </w:compat>
  <w:rsids>
    <w:rsidRoot w:val="00D00846"/>
    <w:rsid w:val="00000CC9"/>
    <w:rsid w:val="000022E3"/>
    <w:rsid w:val="00003DC8"/>
    <w:rsid w:val="00003F6F"/>
    <w:rsid w:val="00020A23"/>
    <w:rsid w:val="0002173F"/>
    <w:rsid w:val="00023F21"/>
    <w:rsid w:val="00027FEA"/>
    <w:rsid w:val="00030AEC"/>
    <w:rsid w:val="00030C83"/>
    <w:rsid w:val="00030CA8"/>
    <w:rsid w:val="00033507"/>
    <w:rsid w:val="000352D3"/>
    <w:rsid w:val="0004400A"/>
    <w:rsid w:val="00045B84"/>
    <w:rsid w:val="0005054D"/>
    <w:rsid w:val="00053C2A"/>
    <w:rsid w:val="000551E5"/>
    <w:rsid w:val="000563A9"/>
    <w:rsid w:val="00060502"/>
    <w:rsid w:val="00061367"/>
    <w:rsid w:val="00062EDA"/>
    <w:rsid w:val="00081D0E"/>
    <w:rsid w:val="00082DD1"/>
    <w:rsid w:val="00086A9D"/>
    <w:rsid w:val="00091358"/>
    <w:rsid w:val="00092281"/>
    <w:rsid w:val="00094592"/>
    <w:rsid w:val="000B02B7"/>
    <w:rsid w:val="000B2ECB"/>
    <w:rsid w:val="000B79B0"/>
    <w:rsid w:val="000C1956"/>
    <w:rsid w:val="000C2DFC"/>
    <w:rsid w:val="000C633E"/>
    <w:rsid w:val="000C78AD"/>
    <w:rsid w:val="000D1118"/>
    <w:rsid w:val="000D6DA1"/>
    <w:rsid w:val="000E0D10"/>
    <w:rsid w:val="000E47C5"/>
    <w:rsid w:val="000E4B2A"/>
    <w:rsid w:val="000F47C7"/>
    <w:rsid w:val="000F49A5"/>
    <w:rsid w:val="001003C6"/>
    <w:rsid w:val="00112A24"/>
    <w:rsid w:val="00115488"/>
    <w:rsid w:val="0012062C"/>
    <w:rsid w:val="001224CC"/>
    <w:rsid w:val="0012494D"/>
    <w:rsid w:val="00127D00"/>
    <w:rsid w:val="00131CE1"/>
    <w:rsid w:val="0013270F"/>
    <w:rsid w:val="001375A4"/>
    <w:rsid w:val="001421D5"/>
    <w:rsid w:val="001439FF"/>
    <w:rsid w:val="00147D80"/>
    <w:rsid w:val="0015089E"/>
    <w:rsid w:val="001537E3"/>
    <w:rsid w:val="00156910"/>
    <w:rsid w:val="00161EFF"/>
    <w:rsid w:val="001701E5"/>
    <w:rsid w:val="001718F3"/>
    <w:rsid w:val="0018292F"/>
    <w:rsid w:val="00186725"/>
    <w:rsid w:val="00195DD6"/>
    <w:rsid w:val="001A17D2"/>
    <w:rsid w:val="001B64FC"/>
    <w:rsid w:val="001D054A"/>
    <w:rsid w:val="001D2FF2"/>
    <w:rsid w:val="001E00F8"/>
    <w:rsid w:val="001E4BD9"/>
    <w:rsid w:val="001F3184"/>
    <w:rsid w:val="00200969"/>
    <w:rsid w:val="00206B27"/>
    <w:rsid w:val="002100B4"/>
    <w:rsid w:val="00214DFA"/>
    <w:rsid w:val="00214ED8"/>
    <w:rsid w:val="00221185"/>
    <w:rsid w:val="00225D1E"/>
    <w:rsid w:val="002262F4"/>
    <w:rsid w:val="00226332"/>
    <w:rsid w:val="0023164E"/>
    <w:rsid w:val="00233234"/>
    <w:rsid w:val="00236DFE"/>
    <w:rsid w:val="00237FDF"/>
    <w:rsid w:val="0024070C"/>
    <w:rsid w:val="002424C9"/>
    <w:rsid w:val="002437A3"/>
    <w:rsid w:val="002478CA"/>
    <w:rsid w:val="002532D5"/>
    <w:rsid w:val="002614CC"/>
    <w:rsid w:val="00267F7A"/>
    <w:rsid w:val="0027531B"/>
    <w:rsid w:val="00282538"/>
    <w:rsid w:val="00291491"/>
    <w:rsid w:val="00294347"/>
    <w:rsid w:val="002960BC"/>
    <w:rsid w:val="002A0063"/>
    <w:rsid w:val="002A05D0"/>
    <w:rsid w:val="002A162E"/>
    <w:rsid w:val="002C5B60"/>
    <w:rsid w:val="002C758F"/>
    <w:rsid w:val="002D0E4D"/>
    <w:rsid w:val="002D4952"/>
    <w:rsid w:val="002D7FF3"/>
    <w:rsid w:val="002E2954"/>
    <w:rsid w:val="002F462F"/>
    <w:rsid w:val="00303F02"/>
    <w:rsid w:val="003041C3"/>
    <w:rsid w:val="00304366"/>
    <w:rsid w:val="00307ABB"/>
    <w:rsid w:val="003127DB"/>
    <w:rsid w:val="00312DC1"/>
    <w:rsid w:val="003135DC"/>
    <w:rsid w:val="00325986"/>
    <w:rsid w:val="00340CD7"/>
    <w:rsid w:val="003510AC"/>
    <w:rsid w:val="00352543"/>
    <w:rsid w:val="00356AC2"/>
    <w:rsid w:val="003605BC"/>
    <w:rsid w:val="00360EBF"/>
    <w:rsid w:val="00363E73"/>
    <w:rsid w:val="003672D0"/>
    <w:rsid w:val="003712CE"/>
    <w:rsid w:val="00372684"/>
    <w:rsid w:val="00372BD7"/>
    <w:rsid w:val="00373279"/>
    <w:rsid w:val="00386203"/>
    <w:rsid w:val="00390D62"/>
    <w:rsid w:val="0039142E"/>
    <w:rsid w:val="00396182"/>
    <w:rsid w:val="003A2ED5"/>
    <w:rsid w:val="003A43A2"/>
    <w:rsid w:val="003A564E"/>
    <w:rsid w:val="003A596E"/>
    <w:rsid w:val="003A7D62"/>
    <w:rsid w:val="003B0B82"/>
    <w:rsid w:val="003B6BCD"/>
    <w:rsid w:val="003C1261"/>
    <w:rsid w:val="003C1C18"/>
    <w:rsid w:val="003D0530"/>
    <w:rsid w:val="003D2368"/>
    <w:rsid w:val="003D6311"/>
    <w:rsid w:val="003D65EE"/>
    <w:rsid w:val="003D7DE4"/>
    <w:rsid w:val="003E3732"/>
    <w:rsid w:val="003E5D32"/>
    <w:rsid w:val="003F1687"/>
    <w:rsid w:val="003F39E8"/>
    <w:rsid w:val="004001C8"/>
    <w:rsid w:val="004047E5"/>
    <w:rsid w:val="004049C0"/>
    <w:rsid w:val="0040653D"/>
    <w:rsid w:val="00416873"/>
    <w:rsid w:val="00420ED9"/>
    <w:rsid w:val="004238E9"/>
    <w:rsid w:val="00423CFC"/>
    <w:rsid w:val="0043084F"/>
    <w:rsid w:val="004408DA"/>
    <w:rsid w:val="00440DB9"/>
    <w:rsid w:val="004432FD"/>
    <w:rsid w:val="0044340A"/>
    <w:rsid w:val="00445448"/>
    <w:rsid w:val="00446E0B"/>
    <w:rsid w:val="00447F9F"/>
    <w:rsid w:val="00447FA8"/>
    <w:rsid w:val="0045174B"/>
    <w:rsid w:val="004534F6"/>
    <w:rsid w:val="00453712"/>
    <w:rsid w:val="004560B9"/>
    <w:rsid w:val="00460E8B"/>
    <w:rsid w:val="00464C98"/>
    <w:rsid w:val="00465F78"/>
    <w:rsid w:val="0046669A"/>
    <w:rsid w:val="00471933"/>
    <w:rsid w:val="00473109"/>
    <w:rsid w:val="0047346C"/>
    <w:rsid w:val="00481B8F"/>
    <w:rsid w:val="004823EC"/>
    <w:rsid w:val="00483E66"/>
    <w:rsid w:val="0048473A"/>
    <w:rsid w:val="00484D9F"/>
    <w:rsid w:val="00494063"/>
    <w:rsid w:val="00495A10"/>
    <w:rsid w:val="004A4C88"/>
    <w:rsid w:val="004A5793"/>
    <w:rsid w:val="004B05BE"/>
    <w:rsid w:val="004B6C55"/>
    <w:rsid w:val="004B6CA4"/>
    <w:rsid w:val="004C447A"/>
    <w:rsid w:val="004C65AD"/>
    <w:rsid w:val="004C7DD8"/>
    <w:rsid w:val="004D40E6"/>
    <w:rsid w:val="004D52B0"/>
    <w:rsid w:val="004E063D"/>
    <w:rsid w:val="004E3A5C"/>
    <w:rsid w:val="004E595C"/>
    <w:rsid w:val="004F2265"/>
    <w:rsid w:val="004F57CA"/>
    <w:rsid w:val="005000A6"/>
    <w:rsid w:val="00503783"/>
    <w:rsid w:val="005063C6"/>
    <w:rsid w:val="005100EE"/>
    <w:rsid w:val="00510916"/>
    <w:rsid w:val="00511126"/>
    <w:rsid w:val="00512D1A"/>
    <w:rsid w:val="00520B75"/>
    <w:rsid w:val="00522713"/>
    <w:rsid w:val="00523EA3"/>
    <w:rsid w:val="00524B89"/>
    <w:rsid w:val="0052574A"/>
    <w:rsid w:val="0052759B"/>
    <w:rsid w:val="00530EC4"/>
    <w:rsid w:val="005472B5"/>
    <w:rsid w:val="005653E2"/>
    <w:rsid w:val="0057004B"/>
    <w:rsid w:val="00581604"/>
    <w:rsid w:val="00582238"/>
    <w:rsid w:val="00596404"/>
    <w:rsid w:val="005B14C9"/>
    <w:rsid w:val="005B3CD9"/>
    <w:rsid w:val="005B55B2"/>
    <w:rsid w:val="005C3AD0"/>
    <w:rsid w:val="005C555B"/>
    <w:rsid w:val="005D3BC2"/>
    <w:rsid w:val="005E0778"/>
    <w:rsid w:val="005E2AE4"/>
    <w:rsid w:val="005E32AA"/>
    <w:rsid w:val="005F1D31"/>
    <w:rsid w:val="005F2397"/>
    <w:rsid w:val="005F5338"/>
    <w:rsid w:val="005F56B2"/>
    <w:rsid w:val="005F6F2E"/>
    <w:rsid w:val="005F78D2"/>
    <w:rsid w:val="0060190D"/>
    <w:rsid w:val="006032BB"/>
    <w:rsid w:val="00604296"/>
    <w:rsid w:val="00611FA3"/>
    <w:rsid w:val="00616CBB"/>
    <w:rsid w:val="0062031E"/>
    <w:rsid w:val="006204FB"/>
    <w:rsid w:val="006213C2"/>
    <w:rsid w:val="00630EFD"/>
    <w:rsid w:val="00634AD5"/>
    <w:rsid w:val="00635C6A"/>
    <w:rsid w:val="00650692"/>
    <w:rsid w:val="00655981"/>
    <w:rsid w:val="00656EB6"/>
    <w:rsid w:val="00657A30"/>
    <w:rsid w:val="00657CE1"/>
    <w:rsid w:val="00657EF1"/>
    <w:rsid w:val="0066165D"/>
    <w:rsid w:val="0066797A"/>
    <w:rsid w:val="00667AEF"/>
    <w:rsid w:val="00683576"/>
    <w:rsid w:val="00684822"/>
    <w:rsid w:val="0069666A"/>
    <w:rsid w:val="006A56ED"/>
    <w:rsid w:val="006A6D49"/>
    <w:rsid w:val="006B0F17"/>
    <w:rsid w:val="006B1A5C"/>
    <w:rsid w:val="006B1BFD"/>
    <w:rsid w:val="006B5CC3"/>
    <w:rsid w:val="006B6044"/>
    <w:rsid w:val="006B6967"/>
    <w:rsid w:val="006B6EF7"/>
    <w:rsid w:val="006C1767"/>
    <w:rsid w:val="006C60F6"/>
    <w:rsid w:val="006C7609"/>
    <w:rsid w:val="006D5749"/>
    <w:rsid w:val="006E1754"/>
    <w:rsid w:val="006E4CB0"/>
    <w:rsid w:val="006F110A"/>
    <w:rsid w:val="006F28FF"/>
    <w:rsid w:val="006F37CD"/>
    <w:rsid w:val="006F617F"/>
    <w:rsid w:val="00710737"/>
    <w:rsid w:val="00710DC2"/>
    <w:rsid w:val="00711FCF"/>
    <w:rsid w:val="0072456C"/>
    <w:rsid w:val="00725399"/>
    <w:rsid w:val="00726E08"/>
    <w:rsid w:val="0073411C"/>
    <w:rsid w:val="00744418"/>
    <w:rsid w:val="00745E4B"/>
    <w:rsid w:val="00752CE2"/>
    <w:rsid w:val="00756237"/>
    <w:rsid w:val="007630D6"/>
    <w:rsid w:val="00763C7B"/>
    <w:rsid w:val="0077342E"/>
    <w:rsid w:val="00774139"/>
    <w:rsid w:val="00780D74"/>
    <w:rsid w:val="007822F1"/>
    <w:rsid w:val="00784ADE"/>
    <w:rsid w:val="00785409"/>
    <w:rsid w:val="0079141A"/>
    <w:rsid w:val="007A1B40"/>
    <w:rsid w:val="007A67E3"/>
    <w:rsid w:val="007B2E7A"/>
    <w:rsid w:val="007B3E08"/>
    <w:rsid w:val="007C0D6E"/>
    <w:rsid w:val="007C4338"/>
    <w:rsid w:val="007C72AA"/>
    <w:rsid w:val="007D0242"/>
    <w:rsid w:val="007D1EA1"/>
    <w:rsid w:val="007D2BF7"/>
    <w:rsid w:val="007D6248"/>
    <w:rsid w:val="007D6BFA"/>
    <w:rsid w:val="007D7EE1"/>
    <w:rsid w:val="007E12AC"/>
    <w:rsid w:val="007E2177"/>
    <w:rsid w:val="007E239F"/>
    <w:rsid w:val="007F64F2"/>
    <w:rsid w:val="007F7D42"/>
    <w:rsid w:val="00801E2B"/>
    <w:rsid w:val="008025B2"/>
    <w:rsid w:val="0081275A"/>
    <w:rsid w:val="008137C2"/>
    <w:rsid w:val="0081399E"/>
    <w:rsid w:val="00813B66"/>
    <w:rsid w:val="008156DF"/>
    <w:rsid w:val="00823EC4"/>
    <w:rsid w:val="00825E6C"/>
    <w:rsid w:val="0082616D"/>
    <w:rsid w:val="008266B6"/>
    <w:rsid w:val="00827FA7"/>
    <w:rsid w:val="00832AB5"/>
    <w:rsid w:val="008338EF"/>
    <w:rsid w:val="0083656A"/>
    <w:rsid w:val="00840951"/>
    <w:rsid w:val="00842C9B"/>
    <w:rsid w:val="00847300"/>
    <w:rsid w:val="00847EC9"/>
    <w:rsid w:val="00850788"/>
    <w:rsid w:val="00850B19"/>
    <w:rsid w:val="008575A5"/>
    <w:rsid w:val="0085770D"/>
    <w:rsid w:val="00870639"/>
    <w:rsid w:val="00873300"/>
    <w:rsid w:val="00874812"/>
    <w:rsid w:val="008763B6"/>
    <w:rsid w:val="00881364"/>
    <w:rsid w:val="00881875"/>
    <w:rsid w:val="00883109"/>
    <w:rsid w:val="00885E92"/>
    <w:rsid w:val="008860B2"/>
    <w:rsid w:val="00890056"/>
    <w:rsid w:val="00892F25"/>
    <w:rsid w:val="008930C9"/>
    <w:rsid w:val="008A0AA4"/>
    <w:rsid w:val="008B675C"/>
    <w:rsid w:val="008B75B6"/>
    <w:rsid w:val="008C626B"/>
    <w:rsid w:val="008D3702"/>
    <w:rsid w:val="008D5781"/>
    <w:rsid w:val="008D63D4"/>
    <w:rsid w:val="008E4A1A"/>
    <w:rsid w:val="008E4A25"/>
    <w:rsid w:val="008E57D1"/>
    <w:rsid w:val="008F0A8E"/>
    <w:rsid w:val="00900FF0"/>
    <w:rsid w:val="009028D3"/>
    <w:rsid w:val="00910A54"/>
    <w:rsid w:val="0091311C"/>
    <w:rsid w:val="009229A5"/>
    <w:rsid w:val="00924FE6"/>
    <w:rsid w:val="009333FC"/>
    <w:rsid w:val="009471F3"/>
    <w:rsid w:val="0095178B"/>
    <w:rsid w:val="0095353A"/>
    <w:rsid w:val="00956DD0"/>
    <w:rsid w:val="009627CA"/>
    <w:rsid w:val="00964980"/>
    <w:rsid w:val="00965748"/>
    <w:rsid w:val="00967922"/>
    <w:rsid w:val="009700A4"/>
    <w:rsid w:val="00973804"/>
    <w:rsid w:val="00977174"/>
    <w:rsid w:val="0098026A"/>
    <w:rsid w:val="009809A2"/>
    <w:rsid w:val="009840DF"/>
    <w:rsid w:val="009857D1"/>
    <w:rsid w:val="009871CC"/>
    <w:rsid w:val="00993C17"/>
    <w:rsid w:val="009A2C12"/>
    <w:rsid w:val="009A3A2E"/>
    <w:rsid w:val="009A5162"/>
    <w:rsid w:val="009B1F55"/>
    <w:rsid w:val="009B4E79"/>
    <w:rsid w:val="009B59AA"/>
    <w:rsid w:val="009B77AB"/>
    <w:rsid w:val="009B781A"/>
    <w:rsid w:val="009C0766"/>
    <w:rsid w:val="009C2B8A"/>
    <w:rsid w:val="009C4EC5"/>
    <w:rsid w:val="009D2CDE"/>
    <w:rsid w:val="009D5EBA"/>
    <w:rsid w:val="009E6F22"/>
    <w:rsid w:val="009F07ED"/>
    <w:rsid w:val="009F1DF8"/>
    <w:rsid w:val="009F6420"/>
    <w:rsid w:val="00A00FED"/>
    <w:rsid w:val="00A0149C"/>
    <w:rsid w:val="00A01DC1"/>
    <w:rsid w:val="00A04272"/>
    <w:rsid w:val="00A11D67"/>
    <w:rsid w:val="00A13BF6"/>
    <w:rsid w:val="00A20321"/>
    <w:rsid w:val="00A23DCC"/>
    <w:rsid w:val="00A26271"/>
    <w:rsid w:val="00A336DD"/>
    <w:rsid w:val="00A372E3"/>
    <w:rsid w:val="00A40BA2"/>
    <w:rsid w:val="00A45B3D"/>
    <w:rsid w:val="00A52E78"/>
    <w:rsid w:val="00A52F7A"/>
    <w:rsid w:val="00A54113"/>
    <w:rsid w:val="00A54FBB"/>
    <w:rsid w:val="00A5503A"/>
    <w:rsid w:val="00A61784"/>
    <w:rsid w:val="00A66ED3"/>
    <w:rsid w:val="00A67A74"/>
    <w:rsid w:val="00A70CFE"/>
    <w:rsid w:val="00A70F08"/>
    <w:rsid w:val="00A730C8"/>
    <w:rsid w:val="00A7524C"/>
    <w:rsid w:val="00A75262"/>
    <w:rsid w:val="00A77660"/>
    <w:rsid w:val="00A84193"/>
    <w:rsid w:val="00A845E5"/>
    <w:rsid w:val="00A857A8"/>
    <w:rsid w:val="00A87D39"/>
    <w:rsid w:val="00A90C1B"/>
    <w:rsid w:val="00A9524A"/>
    <w:rsid w:val="00A957B3"/>
    <w:rsid w:val="00AA2AA4"/>
    <w:rsid w:val="00AA621C"/>
    <w:rsid w:val="00AB0091"/>
    <w:rsid w:val="00AC4437"/>
    <w:rsid w:val="00AC5648"/>
    <w:rsid w:val="00AC62AA"/>
    <w:rsid w:val="00AD3C78"/>
    <w:rsid w:val="00AD6639"/>
    <w:rsid w:val="00AE3B54"/>
    <w:rsid w:val="00AF6B1B"/>
    <w:rsid w:val="00B01F81"/>
    <w:rsid w:val="00B0422D"/>
    <w:rsid w:val="00B0550A"/>
    <w:rsid w:val="00B10810"/>
    <w:rsid w:val="00B1115A"/>
    <w:rsid w:val="00B11239"/>
    <w:rsid w:val="00B13A3A"/>
    <w:rsid w:val="00B1464B"/>
    <w:rsid w:val="00B15E6A"/>
    <w:rsid w:val="00B220FD"/>
    <w:rsid w:val="00B3359C"/>
    <w:rsid w:val="00B466F8"/>
    <w:rsid w:val="00B51137"/>
    <w:rsid w:val="00B52792"/>
    <w:rsid w:val="00B52DBF"/>
    <w:rsid w:val="00B5329C"/>
    <w:rsid w:val="00B54DCB"/>
    <w:rsid w:val="00B5620B"/>
    <w:rsid w:val="00B62B87"/>
    <w:rsid w:val="00B71D96"/>
    <w:rsid w:val="00B73958"/>
    <w:rsid w:val="00B73C71"/>
    <w:rsid w:val="00B754AA"/>
    <w:rsid w:val="00B76948"/>
    <w:rsid w:val="00B85983"/>
    <w:rsid w:val="00B93426"/>
    <w:rsid w:val="00B93475"/>
    <w:rsid w:val="00B946AE"/>
    <w:rsid w:val="00B95D20"/>
    <w:rsid w:val="00B9710D"/>
    <w:rsid w:val="00B9775C"/>
    <w:rsid w:val="00BA03EB"/>
    <w:rsid w:val="00BA64D9"/>
    <w:rsid w:val="00BB6E68"/>
    <w:rsid w:val="00BC066D"/>
    <w:rsid w:val="00BC6C80"/>
    <w:rsid w:val="00BC754C"/>
    <w:rsid w:val="00BD0781"/>
    <w:rsid w:val="00BE13FA"/>
    <w:rsid w:val="00BE2449"/>
    <w:rsid w:val="00BE5F79"/>
    <w:rsid w:val="00BE7F4C"/>
    <w:rsid w:val="00C01226"/>
    <w:rsid w:val="00C033F4"/>
    <w:rsid w:val="00C0561B"/>
    <w:rsid w:val="00C06917"/>
    <w:rsid w:val="00C1309B"/>
    <w:rsid w:val="00C17FDA"/>
    <w:rsid w:val="00C22716"/>
    <w:rsid w:val="00C22CC7"/>
    <w:rsid w:val="00C23F17"/>
    <w:rsid w:val="00C30648"/>
    <w:rsid w:val="00C34869"/>
    <w:rsid w:val="00C35203"/>
    <w:rsid w:val="00C40376"/>
    <w:rsid w:val="00C41722"/>
    <w:rsid w:val="00C42858"/>
    <w:rsid w:val="00C43FC5"/>
    <w:rsid w:val="00C45F43"/>
    <w:rsid w:val="00C46991"/>
    <w:rsid w:val="00C50C7B"/>
    <w:rsid w:val="00C53F93"/>
    <w:rsid w:val="00C561E1"/>
    <w:rsid w:val="00C5707B"/>
    <w:rsid w:val="00C610FA"/>
    <w:rsid w:val="00C64F08"/>
    <w:rsid w:val="00C733E2"/>
    <w:rsid w:val="00C83D62"/>
    <w:rsid w:val="00C91CF2"/>
    <w:rsid w:val="00C9449B"/>
    <w:rsid w:val="00CA07F9"/>
    <w:rsid w:val="00CA276B"/>
    <w:rsid w:val="00CA36F2"/>
    <w:rsid w:val="00CA49E7"/>
    <w:rsid w:val="00CA67E5"/>
    <w:rsid w:val="00CA6C94"/>
    <w:rsid w:val="00CB2F7C"/>
    <w:rsid w:val="00CB65F2"/>
    <w:rsid w:val="00CC28AE"/>
    <w:rsid w:val="00CD41D6"/>
    <w:rsid w:val="00CD65FB"/>
    <w:rsid w:val="00CE390A"/>
    <w:rsid w:val="00CE4FFA"/>
    <w:rsid w:val="00CE5B7F"/>
    <w:rsid w:val="00CE7BAE"/>
    <w:rsid w:val="00D00846"/>
    <w:rsid w:val="00D023D9"/>
    <w:rsid w:val="00D05B89"/>
    <w:rsid w:val="00D06427"/>
    <w:rsid w:val="00D14E39"/>
    <w:rsid w:val="00D157AD"/>
    <w:rsid w:val="00D26C4D"/>
    <w:rsid w:val="00D26D84"/>
    <w:rsid w:val="00D30DA1"/>
    <w:rsid w:val="00D42CA9"/>
    <w:rsid w:val="00D50CB2"/>
    <w:rsid w:val="00D53E78"/>
    <w:rsid w:val="00D768F5"/>
    <w:rsid w:val="00D76DB8"/>
    <w:rsid w:val="00D832F1"/>
    <w:rsid w:val="00D85278"/>
    <w:rsid w:val="00D8722B"/>
    <w:rsid w:val="00D9191F"/>
    <w:rsid w:val="00D93479"/>
    <w:rsid w:val="00DA68A1"/>
    <w:rsid w:val="00DA6D4B"/>
    <w:rsid w:val="00DB1437"/>
    <w:rsid w:val="00DB3957"/>
    <w:rsid w:val="00DC4D86"/>
    <w:rsid w:val="00DD25AF"/>
    <w:rsid w:val="00DD2CEE"/>
    <w:rsid w:val="00DD5913"/>
    <w:rsid w:val="00DD60B8"/>
    <w:rsid w:val="00DE0DFB"/>
    <w:rsid w:val="00DE608C"/>
    <w:rsid w:val="00DE772C"/>
    <w:rsid w:val="00DF2542"/>
    <w:rsid w:val="00DF6C2C"/>
    <w:rsid w:val="00E01CAB"/>
    <w:rsid w:val="00E0222E"/>
    <w:rsid w:val="00E046C1"/>
    <w:rsid w:val="00E10948"/>
    <w:rsid w:val="00E11AE7"/>
    <w:rsid w:val="00E13830"/>
    <w:rsid w:val="00E14766"/>
    <w:rsid w:val="00E23D01"/>
    <w:rsid w:val="00E25D03"/>
    <w:rsid w:val="00E26628"/>
    <w:rsid w:val="00E3441C"/>
    <w:rsid w:val="00E34B3A"/>
    <w:rsid w:val="00E34D9B"/>
    <w:rsid w:val="00E360E5"/>
    <w:rsid w:val="00E3781E"/>
    <w:rsid w:val="00E403E0"/>
    <w:rsid w:val="00E525E5"/>
    <w:rsid w:val="00E57716"/>
    <w:rsid w:val="00E609CA"/>
    <w:rsid w:val="00E675C7"/>
    <w:rsid w:val="00E723A0"/>
    <w:rsid w:val="00E72627"/>
    <w:rsid w:val="00E7701C"/>
    <w:rsid w:val="00E802FA"/>
    <w:rsid w:val="00E80A0F"/>
    <w:rsid w:val="00E82130"/>
    <w:rsid w:val="00E83644"/>
    <w:rsid w:val="00E85572"/>
    <w:rsid w:val="00E93103"/>
    <w:rsid w:val="00E94C2B"/>
    <w:rsid w:val="00EA5C4F"/>
    <w:rsid w:val="00EA5D4B"/>
    <w:rsid w:val="00EA79D5"/>
    <w:rsid w:val="00EA7D37"/>
    <w:rsid w:val="00EB2D4E"/>
    <w:rsid w:val="00EB7E76"/>
    <w:rsid w:val="00EC036E"/>
    <w:rsid w:val="00EC4479"/>
    <w:rsid w:val="00EC5B38"/>
    <w:rsid w:val="00EC695E"/>
    <w:rsid w:val="00EE6854"/>
    <w:rsid w:val="00EF3FAE"/>
    <w:rsid w:val="00EF4724"/>
    <w:rsid w:val="00EF4C77"/>
    <w:rsid w:val="00F05F61"/>
    <w:rsid w:val="00F06811"/>
    <w:rsid w:val="00F13534"/>
    <w:rsid w:val="00F167BF"/>
    <w:rsid w:val="00F2643D"/>
    <w:rsid w:val="00F265E3"/>
    <w:rsid w:val="00F371C9"/>
    <w:rsid w:val="00F42EE6"/>
    <w:rsid w:val="00F45D1D"/>
    <w:rsid w:val="00F47CC6"/>
    <w:rsid w:val="00F510B3"/>
    <w:rsid w:val="00F51622"/>
    <w:rsid w:val="00F5519E"/>
    <w:rsid w:val="00F61072"/>
    <w:rsid w:val="00F61A35"/>
    <w:rsid w:val="00F61AFA"/>
    <w:rsid w:val="00F663DC"/>
    <w:rsid w:val="00F66D01"/>
    <w:rsid w:val="00F716B7"/>
    <w:rsid w:val="00F71FFD"/>
    <w:rsid w:val="00F7413E"/>
    <w:rsid w:val="00F808A0"/>
    <w:rsid w:val="00F82A83"/>
    <w:rsid w:val="00F9390C"/>
    <w:rsid w:val="00F96052"/>
    <w:rsid w:val="00F974C2"/>
    <w:rsid w:val="00FA1115"/>
    <w:rsid w:val="00FA5124"/>
    <w:rsid w:val="00FB13C7"/>
    <w:rsid w:val="00FB4721"/>
    <w:rsid w:val="00FB7E65"/>
    <w:rsid w:val="00FC026A"/>
    <w:rsid w:val="00FC182D"/>
    <w:rsid w:val="00FC2087"/>
    <w:rsid w:val="00FC3CB0"/>
    <w:rsid w:val="00FD0CFA"/>
    <w:rsid w:val="00FD3823"/>
    <w:rsid w:val="00FE3C50"/>
    <w:rsid w:val="00FE5A54"/>
    <w:rsid w:val="00FE633C"/>
    <w:rsid w:val="00FF1326"/>
    <w:rsid w:val="0193D7E5"/>
    <w:rsid w:val="024078DA"/>
    <w:rsid w:val="036C5F2C"/>
    <w:rsid w:val="0511D157"/>
    <w:rsid w:val="0520EF0B"/>
    <w:rsid w:val="063668F6"/>
    <w:rsid w:val="078651FC"/>
    <w:rsid w:val="0D1BB44C"/>
    <w:rsid w:val="1249B7EB"/>
    <w:rsid w:val="132926C5"/>
    <w:rsid w:val="135AD120"/>
    <w:rsid w:val="1691C118"/>
    <w:rsid w:val="1764F070"/>
    <w:rsid w:val="178D5B66"/>
    <w:rsid w:val="183CF0B8"/>
    <w:rsid w:val="19733DD3"/>
    <w:rsid w:val="1ED0382D"/>
    <w:rsid w:val="1F6FCC30"/>
    <w:rsid w:val="1FCE6382"/>
    <w:rsid w:val="1FFEA7A4"/>
    <w:rsid w:val="221E1ADB"/>
    <w:rsid w:val="234110F7"/>
    <w:rsid w:val="244E1F36"/>
    <w:rsid w:val="26E71322"/>
    <w:rsid w:val="2701BBCF"/>
    <w:rsid w:val="2B5CB754"/>
    <w:rsid w:val="2CE41E6C"/>
    <w:rsid w:val="2DCCFC28"/>
    <w:rsid w:val="2F7EF4F6"/>
    <w:rsid w:val="31D431B3"/>
    <w:rsid w:val="322B78EA"/>
    <w:rsid w:val="32EC8777"/>
    <w:rsid w:val="33EDD487"/>
    <w:rsid w:val="3466878E"/>
    <w:rsid w:val="34E5C65A"/>
    <w:rsid w:val="363129A7"/>
    <w:rsid w:val="365304A7"/>
    <w:rsid w:val="39DE6FB2"/>
    <w:rsid w:val="3A612B6C"/>
    <w:rsid w:val="3A73173A"/>
    <w:rsid w:val="3C15D3EA"/>
    <w:rsid w:val="3D5415FC"/>
    <w:rsid w:val="3EB07F14"/>
    <w:rsid w:val="4017BF77"/>
    <w:rsid w:val="425A78EE"/>
    <w:rsid w:val="427791C7"/>
    <w:rsid w:val="435B39EC"/>
    <w:rsid w:val="455BF2C7"/>
    <w:rsid w:val="45D11C52"/>
    <w:rsid w:val="46235209"/>
    <w:rsid w:val="46B363B1"/>
    <w:rsid w:val="46BCBFE9"/>
    <w:rsid w:val="4C0EC979"/>
    <w:rsid w:val="4D9A2851"/>
    <w:rsid w:val="4DC55922"/>
    <w:rsid w:val="4DE849A2"/>
    <w:rsid w:val="4E956406"/>
    <w:rsid w:val="5068B3AF"/>
    <w:rsid w:val="509F403A"/>
    <w:rsid w:val="55D9505D"/>
    <w:rsid w:val="56D0C33C"/>
    <w:rsid w:val="589774CA"/>
    <w:rsid w:val="597F26EA"/>
    <w:rsid w:val="5C84E0E3"/>
    <w:rsid w:val="5E498B79"/>
    <w:rsid w:val="5E509FCF"/>
    <w:rsid w:val="5EE7022C"/>
    <w:rsid w:val="6177C470"/>
    <w:rsid w:val="6282B687"/>
    <w:rsid w:val="63155B39"/>
    <w:rsid w:val="63514F31"/>
    <w:rsid w:val="66CB3DAD"/>
    <w:rsid w:val="69E068C1"/>
    <w:rsid w:val="6AB9C9CF"/>
    <w:rsid w:val="6BE25E78"/>
    <w:rsid w:val="70E91B79"/>
    <w:rsid w:val="71BA531E"/>
    <w:rsid w:val="74CA8BC2"/>
    <w:rsid w:val="75460150"/>
    <w:rsid w:val="76D302A6"/>
    <w:rsid w:val="76DF9B0F"/>
    <w:rsid w:val="78875505"/>
    <w:rsid w:val="78A37C57"/>
    <w:rsid w:val="7C7D398E"/>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Liberation Serif" w:hAnsi="Liberation Serif" w:eastAsia="WenQuanYi Micro Hei" w:cs="Lohit Hindi"/>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uiPriority w:val="0"/>
    <w:pPr>
      <w:numPr>
        <w:ilvl w:val="0"/>
        <w:numId w:val="1"/>
      </w:numPr>
      <w:tabs>
        <w:tab w:val="left" w:pos="708"/>
      </w:tabs>
      <w:outlineLvl w:val="0"/>
    </w:pPr>
    <w:rPr>
      <w:b/>
      <w:bCs/>
      <w:sz w:val="36"/>
      <w:szCs w:val="36"/>
    </w:rPr>
  </w:style>
  <w:style w:type="paragraph" w:styleId="5">
    <w:name w:val="heading 2"/>
    <w:basedOn w:val="1"/>
    <w:next w:val="4"/>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uiPriority w:val="0"/>
    <w:pPr>
      <w:numPr>
        <w:ilvl w:val="2"/>
        <w:numId w:val="1"/>
      </w:numPr>
      <w:tabs>
        <w:tab w:val="left" w:pos="708"/>
      </w:tabs>
      <w:spacing w:before="140"/>
      <w:outlineLvl w:val="2"/>
    </w:pPr>
    <w:rPr>
      <w:b/>
      <w:bCs/>
      <w:color w:val="808080"/>
    </w:rPr>
  </w:style>
  <w:style w:type="character" w:default="1" w:styleId="7">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annotation reference"/>
    <w:basedOn w:val="7"/>
    <w:unhideWhenUsed/>
    <w:qFormat/>
    <w:uiPriority w:val="99"/>
    <w:rPr>
      <w:sz w:val="16"/>
      <w:szCs w:val="16"/>
    </w:rPr>
  </w:style>
  <w:style w:type="character" w:styleId="10">
    <w:name w:val="Hyperlink"/>
    <w:basedOn w:val="7"/>
    <w:qFormat/>
    <w:uiPriority w:val="0"/>
    <w:rPr>
      <w:color w:val="0563C1"/>
      <w:u w:val="single"/>
    </w:rPr>
  </w:style>
  <w:style w:type="paragraph" w:styleId="11">
    <w:name w:val="List"/>
    <w:basedOn w:val="4"/>
    <w:qFormat/>
    <w:uiPriority w:val="0"/>
    <w:rPr>
      <w:rFonts w:cs="Lohit Hindi"/>
    </w:rPr>
  </w:style>
  <w:style w:type="paragraph" w:styleId="12">
    <w:name w:val="Body Text"/>
    <w:basedOn w:val="1"/>
    <w:link w:val="77"/>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3">
    <w:name w:val="annotation text"/>
    <w:basedOn w:val="1"/>
    <w:link w:val="76"/>
    <w:unhideWhenUsed/>
    <w:qFormat/>
    <w:uiPriority w:val="99"/>
    <w:rPr>
      <w:sz w:val="20"/>
      <w:szCs w:val="20"/>
    </w:rPr>
  </w:style>
  <w:style w:type="paragraph" w:styleId="14">
    <w:name w:val="List Bullet 5"/>
    <w:basedOn w:val="1"/>
    <w:qFormat/>
    <w:uiPriority w:val="0"/>
  </w:style>
  <w:style w:type="paragraph" w:styleId="15">
    <w:name w:val="Normal (Web)"/>
    <w:basedOn w:val="1"/>
    <w:qFormat/>
    <w:uiPriority w:val="99"/>
    <w:pPr>
      <w:spacing w:before="28" w:after="28"/>
    </w:pPr>
    <w:rPr>
      <w:rFonts w:ascii="Times New Roman" w:hAnsi="Times New Roman" w:cs="Times New Roman"/>
    </w:rPr>
  </w:style>
  <w:style w:type="paragraph" w:styleId="16">
    <w:name w:val="Plain Text"/>
    <w:basedOn w:val="1"/>
    <w:link w:val="104"/>
    <w:semiHidden/>
    <w:unhideWhenUsed/>
    <w:qFormat/>
    <w:uiPriority w:val="99"/>
    <w:pPr>
      <w:keepNext w:val="0"/>
      <w:shd w:val="clear" w:color="auto" w:fill="auto"/>
      <w:tabs>
        <w:tab w:val="clear" w:pos="708"/>
      </w:tabs>
      <w:suppressAutoHyphens w:val="0"/>
      <w:overflowPunct/>
      <w:textAlignment w:val="auto"/>
    </w:pPr>
    <w:rPr>
      <w:rFonts w:ascii="Calibri" w:hAnsi="Calibri" w:eastAsiaTheme="minorHAnsi" w:cstheme="minorBidi"/>
      <w:color w:val="auto"/>
      <w:sz w:val="22"/>
      <w:szCs w:val="21"/>
      <w:lang w:eastAsia="en-US"/>
    </w:rPr>
  </w:style>
  <w:style w:type="paragraph" w:styleId="17">
    <w:name w:val="header"/>
    <w:basedOn w:val="1"/>
    <w:qFormat/>
    <w:uiPriority w:val="0"/>
    <w:pPr>
      <w:suppressLineNumbers/>
      <w:tabs>
        <w:tab w:val="center" w:pos="4252"/>
        <w:tab w:val="right" w:pos="8504"/>
      </w:tabs>
    </w:pPr>
  </w:style>
  <w:style w:type="paragraph" w:styleId="18">
    <w:name w:val="annotation subject"/>
    <w:basedOn w:val="13"/>
    <w:next w:val="13"/>
    <w:link w:val="86"/>
    <w:semiHidden/>
    <w:unhideWhenUsed/>
    <w:qFormat/>
    <w:uiPriority w:val="99"/>
    <w:rPr>
      <w:b/>
      <w:bCs/>
    </w:rPr>
  </w:style>
  <w:style w:type="paragraph" w:styleId="19">
    <w:name w:val="footer"/>
    <w:basedOn w:val="1"/>
    <w:qFormat/>
    <w:uiPriority w:val="99"/>
    <w:pPr>
      <w:suppressLineNumbers/>
      <w:tabs>
        <w:tab w:val="center" w:pos="4252"/>
        <w:tab w:val="right" w:pos="8504"/>
      </w:tabs>
    </w:pPr>
  </w:style>
  <w:style w:type="paragraph" w:styleId="20">
    <w:name w:val="caption"/>
    <w:basedOn w:val="1"/>
    <w:next w:val="1"/>
    <w:qFormat/>
    <w:uiPriority w:val="0"/>
    <w:pPr>
      <w:suppressLineNumbers/>
      <w:spacing w:before="120" w:after="120"/>
    </w:pPr>
    <w:rPr>
      <w:rFonts w:cs="Lohit Hindi"/>
      <w:i/>
      <w:iCs/>
    </w:rPr>
  </w:style>
  <w:style w:type="paragraph" w:styleId="21">
    <w:name w:val="Balloon Text"/>
    <w:basedOn w:val="1"/>
    <w:qFormat/>
    <w:uiPriority w:val="0"/>
    <w:rPr>
      <w:rFonts w:ascii="Tahoma" w:hAnsi="Tahoma"/>
      <w:sz w:val="16"/>
      <w:szCs w:val="16"/>
    </w:rPr>
  </w:style>
  <w:style w:type="paragraph" w:styleId="22">
    <w:name w:val="Subtitle"/>
    <w:basedOn w:val="3"/>
    <w:next w:val="4"/>
    <w:qFormat/>
    <w:uiPriority w:val="0"/>
    <w:pPr>
      <w:spacing w:before="60"/>
      <w:jc w:val="center"/>
    </w:pPr>
    <w:rPr>
      <w:sz w:val="36"/>
      <w:szCs w:val="36"/>
    </w:rPr>
  </w:style>
  <w:style w:type="table" w:styleId="23">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Texto de balão Char"/>
    <w:qFormat/>
    <w:uiPriority w:val="0"/>
    <w:rPr>
      <w:rFonts w:ascii="Tahoma" w:hAnsi="Tahoma" w:cs="Tahoma"/>
      <w:sz w:val="16"/>
      <w:szCs w:val="16"/>
    </w:rPr>
  </w:style>
  <w:style w:type="character" w:customStyle="1" w:styleId="25">
    <w:name w:val="Título 2 Char"/>
    <w:qFormat/>
    <w:uiPriority w:val="0"/>
    <w:rPr>
      <w:b/>
      <w:color w:val="000000"/>
      <w:sz w:val="24"/>
    </w:rPr>
  </w:style>
  <w:style w:type="character" w:customStyle="1" w:styleId="26">
    <w:name w:val="normal__char1"/>
    <w:qFormat/>
    <w:uiPriority w:val="0"/>
    <w:rPr>
      <w:rFonts w:ascii="Arial" w:hAnsi="Arial" w:cs="Arial"/>
      <w:sz w:val="24"/>
      <w:szCs w:val="24"/>
      <w:u w:val="none"/>
    </w:rPr>
  </w:style>
  <w:style w:type="character" w:customStyle="1" w:styleId="27">
    <w:name w:val="apple-style-span"/>
    <w:basedOn w:val="7"/>
    <w:qFormat/>
    <w:uiPriority w:val="0"/>
  </w:style>
  <w:style w:type="character" w:customStyle="1" w:styleId="28">
    <w:name w:val="Link da Internet"/>
    <w:qFormat/>
    <w:uiPriority w:val="0"/>
    <w:rPr>
      <w:color w:val="000080"/>
      <w:u w:val="single"/>
      <w:lang w:val="en-US" w:eastAsia="en-US" w:bidi="en-US"/>
    </w:rPr>
  </w:style>
  <w:style w:type="character" w:customStyle="1" w:styleId="29">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0">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1">
    <w:name w:val="Cabeçalho Char"/>
    <w:qFormat/>
    <w:uiPriority w:val="0"/>
    <w:rPr>
      <w:rFonts w:ascii="Ecofont_Spranq_eco_Sans" w:hAnsi="Ecofont_Spranq_eco_Sans" w:cs="Tahoma"/>
      <w:sz w:val="24"/>
      <w:szCs w:val="24"/>
    </w:rPr>
  </w:style>
  <w:style w:type="character" w:customStyle="1" w:styleId="32">
    <w:name w:val="Rodapé Char"/>
    <w:qFormat/>
    <w:uiPriority w:val="99"/>
    <w:rPr>
      <w:rFonts w:ascii="Ecofont_Spranq_eco_Sans" w:hAnsi="Ecofont_Spranq_eco_Sans" w:cs="Tahoma"/>
      <w:sz w:val="24"/>
      <w:szCs w:val="24"/>
    </w:rPr>
  </w:style>
  <w:style w:type="character" w:customStyle="1" w:styleId="33">
    <w:name w:val="cp_0020corpodespacho__char1"/>
    <w:qFormat/>
    <w:uiPriority w:val="0"/>
    <w:rPr>
      <w:rFonts w:ascii="Times New Roman" w:hAnsi="Times New Roman" w:cs="Times New Roman"/>
      <w:sz w:val="26"/>
      <w:szCs w:val="26"/>
      <w:u w:val="none"/>
    </w:rPr>
  </w:style>
  <w:style w:type="character" w:customStyle="1" w:styleId="34">
    <w:name w:val="em_0020ementa__char1"/>
    <w:qFormat/>
    <w:uiPriority w:val="0"/>
    <w:rPr>
      <w:rFonts w:ascii="Times New Roman" w:hAnsi="Times New Roman" w:cs="Times New Roman"/>
      <w:sz w:val="28"/>
      <w:szCs w:val="28"/>
      <w:u w:val="none"/>
    </w:rPr>
  </w:style>
  <w:style w:type="character" w:customStyle="1" w:styleId="35">
    <w:name w:val="ListLabel 1"/>
    <w:qFormat/>
    <w:uiPriority w:val="0"/>
    <w:rPr>
      <w:b/>
    </w:rPr>
  </w:style>
  <w:style w:type="character" w:customStyle="1" w:styleId="36">
    <w:name w:val="ListLabel 2"/>
    <w:qFormat/>
    <w:uiPriority w:val="0"/>
  </w:style>
  <w:style w:type="character" w:customStyle="1" w:styleId="37">
    <w:name w:val="ListLabel 3"/>
    <w:qFormat/>
    <w:uiPriority w:val="0"/>
    <w:rPr>
      <w:rFonts w:eastAsia="Arial Unicode MS"/>
    </w:rPr>
  </w:style>
  <w:style w:type="character" w:customStyle="1" w:styleId="38">
    <w:name w:val="ListLabel 4"/>
    <w:qFormat/>
    <w:uiPriority w:val="0"/>
    <w:rPr>
      <w:rFonts w:cs="Arial"/>
      <w:i/>
      <w:color w:val="FF0000"/>
    </w:rPr>
  </w:style>
  <w:style w:type="character" w:customStyle="1" w:styleId="39">
    <w:name w:val="ListLabel 5"/>
    <w:qFormat/>
    <w:uiPriority w:val="0"/>
    <w:rPr>
      <w:color w:val="0000FF"/>
    </w:rPr>
  </w:style>
  <w:style w:type="character" w:customStyle="1" w:styleId="40">
    <w:name w:val="ListLabel 6"/>
    <w:qFormat/>
    <w:uiPriority w:val="0"/>
    <w:rPr>
      <w:b/>
    </w:rPr>
  </w:style>
  <w:style w:type="character" w:customStyle="1" w:styleId="41">
    <w:name w:val="ListLabel 7"/>
    <w:qFormat/>
    <w:uiPriority w:val="0"/>
    <w:rPr>
      <w:b/>
      <w:color w:val="00000A"/>
    </w:rPr>
  </w:style>
  <w:style w:type="character" w:customStyle="1" w:styleId="42">
    <w:name w:val="ListLabel 8"/>
    <w:qFormat/>
    <w:uiPriority w:val="0"/>
  </w:style>
  <w:style w:type="character" w:customStyle="1" w:styleId="43">
    <w:name w:val="ListLabel 9"/>
    <w:qFormat/>
    <w:uiPriority w:val="0"/>
    <w:rPr>
      <w:color w:val="00000A"/>
    </w:rPr>
  </w:style>
  <w:style w:type="character" w:customStyle="1" w:styleId="44">
    <w:name w:val="ListLabel 10"/>
    <w:qFormat/>
    <w:uiPriority w:val="0"/>
    <w:rPr>
      <w:b/>
    </w:rPr>
  </w:style>
  <w:style w:type="character" w:customStyle="1" w:styleId="45">
    <w:name w:val="ListLabel 11"/>
    <w:qFormat/>
    <w:uiPriority w:val="0"/>
  </w:style>
  <w:style w:type="character" w:customStyle="1" w:styleId="46">
    <w:name w:val="ListLabel 12"/>
    <w:qFormat/>
    <w:uiPriority w:val="0"/>
    <w:rPr>
      <w:b/>
    </w:rPr>
  </w:style>
  <w:style w:type="character" w:customStyle="1" w:styleId="47">
    <w:name w:val="ListLabel 13"/>
    <w:qFormat/>
    <w:uiPriority w:val="0"/>
  </w:style>
  <w:style w:type="character" w:customStyle="1" w:styleId="48">
    <w:name w:val="WW_CharLFO2LVL1"/>
    <w:qFormat/>
    <w:uiPriority w:val="0"/>
    <w:rPr>
      <w:b/>
    </w:rPr>
  </w:style>
  <w:style w:type="character" w:customStyle="1" w:styleId="49">
    <w:name w:val="WW_CharLFO2LVL2"/>
    <w:qFormat/>
    <w:uiPriority w:val="0"/>
  </w:style>
  <w:style w:type="character" w:customStyle="1" w:styleId="50">
    <w:name w:val="WW_CharLFO2LVL3"/>
    <w:qFormat/>
    <w:uiPriority w:val="0"/>
  </w:style>
  <w:style w:type="character" w:customStyle="1" w:styleId="51">
    <w:name w:val="WW_CharLFO3LVL1"/>
    <w:qFormat/>
    <w:uiPriority w:val="0"/>
    <w:rPr>
      <w:b/>
    </w:rPr>
  </w:style>
  <w:style w:type="character" w:customStyle="1" w:styleId="52">
    <w:name w:val="WW_CharLFO3LVL2"/>
    <w:qFormat/>
    <w:uiPriority w:val="0"/>
  </w:style>
  <w:style w:type="character" w:customStyle="1" w:styleId="53">
    <w:name w:val="WW_CharLFO3LVL3"/>
    <w:qFormat/>
    <w:uiPriority w:val="0"/>
  </w:style>
  <w:style w:type="character" w:customStyle="1" w:styleId="54">
    <w:name w:val="WW_CharLFO4LVL1"/>
    <w:qFormat/>
    <w:uiPriority w:val="0"/>
    <w:rPr>
      <w:b/>
    </w:rPr>
  </w:style>
  <w:style w:type="character" w:customStyle="1" w:styleId="55">
    <w:name w:val="WW_CharLFO4LVL2"/>
    <w:qFormat/>
    <w:uiPriority w:val="0"/>
  </w:style>
  <w:style w:type="character" w:customStyle="1" w:styleId="56">
    <w:name w:val="WW_CharLFO4LVL3"/>
    <w:qFormat/>
    <w:uiPriority w:val="0"/>
  </w:style>
  <w:style w:type="character" w:customStyle="1" w:styleId="57">
    <w:name w:val="Comment Text Char"/>
    <w:basedOn w:val="7"/>
    <w:qFormat/>
    <w:uiPriority w:val="0"/>
    <w:rPr>
      <w:rFonts w:cs="Mangal"/>
      <w:sz w:val="20"/>
      <w:szCs w:val="18"/>
    </w:rPr>
  </w:style>
  <w:style w:type="character" w:customStyle="1" w:styleId="58">
    <w:name w:val="Comment Reference"/>
    <w:basedOn w:val="7"/>
    <w:qFormat/>
    <w:uiPriority w:val="0"/>
    <w:rPr>
      <w:sz w:val="16"/>
      <w:szCs w:val="16"/>
    </w:rPr>
  </w:style>
  <w:style w:type="character" w:customStyle="1" w:styleId="59">
    <w:name w:val="Quote Char"/>
    <w:basedOn w:val="7"/>
    <w:link w:val="60"/>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0">
    <w:name w:val="Citação1"/>
    <w:basedOn w:val="1"/>
    <w:next w:val="1"/>
    <w:link w:val="59"/>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61">
    <w:name w:val="Manoel"/>
    <w:qFormat/>
    <w:uiPriority w:val="0"/>
    <w:rPr>
      <w:rFonts w:ascii="Arial" w:hAnsi="Arial" w:cs="Arial"/>
      <w:color w:val="7030A0"/>
      <w:sz w:val="20"/>
    </w:rPr>
  </w:style>
  <w:style w:type="paragraph" w:customStyle="1" w:styleId="62">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3">
    <w:name w:val="Índice"/>
    <w:basedOn w:val="1"/>
    <w:qFormat/>
    <w:uiPriority w:val="0"/>
    <w:pPr>
      <w:suppressLineNumbers/>
    </w:pPr>
    <w:rPr>
      <w:rFonts w:cs="Lohit Hindi"/>
    </w:rPr>
  </w:style>
  <w:style w:type="paragraph" w:styleId="64">
    <w:name w:val="List Paragraph"/>
    <w:basedOn w:val="1"/>
    <w:qFormat/>
    <w:uiPriority w:val="34"/>
    <w:pPr>
      <w:tabs>
        <w:tab w:val="left" w:pos="-12"/>
      </w:tabs>
      <w:ind w:left="720"/>
    </w:pPr>
  </w:style>
  <w:style w:type="paragraph" w:customStyle="1" w:styleId="65">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sz w:val="20"/>
      <w:szCs w:val="20"/>
      <w:lang w:val="pt-BR" w:eastAsia="zh-CN" w:bidi="hi-IN"/>
    </w:rPr>
  </w:style>
  <w:style w:type="paragraph" w:styleId="66">
    <w:name w:val="Quote"/>
    <w:basedOn w:val="1"/>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paragraph" w:customStyle="1" w:styleId="67">
    <w:name w:val="citação 2"/>
    <w:basedOn w:val="66"/>
    <w:qFormat/>
    <w:uiPriority w:val="0"/>
    <w:rPr>
      <w:szCs w:val="20"/>
    </w:rPr>
  </w:style>
  <w:style w:type="paragraph" w:customStyle="1" w:styleId="68">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69">
    <w:name w:val="Conteúdo da tabela"/>
    <w:basedOn w:val="1"/>
    <w:qFormat/>
    <w:uiPriority w:val="0"/>
    <w:pPr>
      <w:suppressLineNumbers/>
    </w:pPr>
  </w:style>
  <w:style w:type="paragraph" w:customStyle="1" w:styleId="70">
    <w:name w:val="Comment Text"/>
    <w:basedOn w:val="62"/>
    <w:qFormat/>
    <w:uiPriority w:val="0"/>
    <w:rPr>
      <w:rFonts w:cs="Mangal"/>
      <w:sz w:val="20"/>
      <w:szCs w:val="18"/>
    </w:rPr>
  </w:style>
  <w:style w:type="paragraph" w:customStyle="1" w:styleId="71">
    <w:name w:val="Citações"/>
    <w:basedOn w:val="1"/>
    <w:qFormat/>
    <w:uiPriority w:val="0"/>
    <w:pPr>
      <w:spacing w:after="283"/>
      <w:ind w:left="567" w:right="567"/>
    </w:pPr>
  </w:style>
  <w:style w:type="paragraph" w:customStyle="1" w:styleId="72">
    <w:name w:val="Título do documento"/>
    <w:basedOn w:val="3"/>
    <w:next w:val="4"/>
    <w:qFormat/>
    <w:uiPriority w:val="0"/>
    <w:pPr>
      <w:jc w:val="center"/>
    </w:pPr>
    <w:rPr>
      <w:b/>
      <w:bCs/>
      <w:sz w:val="56"/>
      <w:szCs w:val="56"/>
    </w:rPr>
  </w:style>
  <w:style w:type="paragraph" w:customStyle="1" w:styleId="73">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 w:val="20"/>
      <w:szCs w:val="24"/>
      <w:lang w:val="pt-BR" w:eastAsia="zh-CN" w:bidi="hi-IN"/>
    </w:rPr>
  </w:style>
  <w:style w:type="paragraph" w:customStyle="1" w:styleId="74">
    <w:name w:val="Linha horizontal"/>
    <w:basedOn w:val="1"/>
    <w:next w:val="4"/>
    <w:qFormat/>
    <w:uiPriority w:val="0"/>
    <w:pPr>
      <w:suppressLineNumbers/>
      <w:pBdr>
        <w:bottom w:val="double" w:color="808080" w:sz="2" w:space="0"/>
      </w:pBdr>
      <w:spacing w:after="283"/>
    </w:pPr>
    <w:rPr>
      <w:sz w:val="12"/>
      <w:szCs w:val="12"/>
    </w:rPr>
  </w:style>
  <w:style w:type="paragraph" w:customStyle="1" w:styleId="75">
    <w:name w:val="Título de tabela"/>
    <w:basedOn w:val="69"/>
    <w:qFormat/>
    <w:uiPriority w:val="0"/>
    <w:pPr>
      <w:jc w:val="center"/>
    </w:pPr>
    <w:rPr>
      <w:b/>
      <w:bCs/>
    </w:rPr>
  </w:style>
  <w:style w:type="character" w:customStyle="1" w:styleId="76">
    <w:name w:val="Texto de comentário Char"/>
    <w:basedOn w:val="7"/>
    <w:link w:val="13"/>
    <w:qFormat/>
    <w:uiPriority w:val="99"/>
    <w:rPr>
      <w:rFonts w:ascii="Ecofont_Spranq_eco_Sans" w:hAnsi="Ecofont_Spranq_eco_Sans" w:eastAsia="Times New Roman" w:cs="Tahoma"/>
      <w:color w:val="00000A"/>
      <w:sz w:val="20"/>
      <w:szCs w:val="20"/>
      <w:shd w:val="clear" w:color="auto" w:fill="FFFFFF"/>
      <w:lang w:eastAsia="pt-BR" w:bidi="ar-SA"/>
    </w:rPr>
  </w:style>
  <w:style w:type="character" w:customStyle="1" w:styleId="77">
    <w:name w:val="Corpo de texto Char"/>
    <w:basedOn w:val="7"/>
    <w:link w:val="12"/>
    <w:qFormat/>
    <w:uiPriority w:val="0"/>
    <w:rPr>
      <w:rFonts w:ascii="Times New Roman" w:hAnsi="Times New Roman" w:eastAsia="Arial Unicode MS" w:cs="Times New Roman"/>
      <w:szCs w:val="20"/>
      <w:lang w:eastAsia="pt-BR" w:bidi="ar-SA"/>
    </w:rPr>
  </w:style>
  <w:style w:type="paragraph" w:customStyle="1" w:styleId="78">
    <w:name w:val="Nivel 2"/>
    <w:link w:val="87"/>
    <w:qFormat/>
    <w:uiPriority w:val="0"/>
    <w:pPr>
      <w:numPr>
        <w:ilvl w:val="1"/>
        <w:numId w:val="2"/>
      </w:numPr>
      <w:spacing w:before="120" w:after="120" w:line="276" w:lineRule="auto"/>
      <w:jc w:val="both"/>
      <w:textAlignment w:val="auto"/>
    </w:pPr>
    <w:rPr>
      <w:rFonts w:ascii="Ecofont_Spranq_eco_Sans" w:hAnsi="Ecofont_Spranq_eco_Sans" w:eastAsia="Arial Unicode MS" w:cs="Times New Roman"/>
      <w:sz w:val="20"/>
      <w:szCs w:val="20"/>
      <w:lang w:val="pt-BR" w:eastAsia="pt-BR" w:bidi="ar-SA"/>
    </w:rPr>
  </w:style>
  <w:style w:type="paragraph" w:customStyle="1" w:styleId="79">
    <w:name w:val="Nivel 1"/>
    <w:basedOn w:val="78"/>
    <w:next w:val="78"/>
    <w:qFormat/>
    <w:uiPriority w:val="0"/>
    <w:pPr>
      <w:numPr>
        <w:ilvl w:val="0"/>
      </w:numPr>
    </w:pPr>
    <w:rPr>
      <w:rFonts w:cs="Arial"/>
      <w:b/>
    </w:rPr>
  </w:style>
  <w:style w:type="paragraph" w:customStyle="1" w:styleId="80">
    <w:name w:val="Nivel 3"/>
    <w:basedOn w:val="78"/>
    <w:link w:val="88"/>
    <w:qFormat/>
    <w:uiPriority w:val="0"/>
    <w:pPr>
      <w:numPr>
        <w:ilvl w:val="2"/>
      </w:numPr>
    </w:pPr>
    <w:rPr>
      <w:rFonts w:cs="Arial"/>
      <w:color w:val="000000"/>
    </w:rPr>
  </w:style>
  <w:style w:type="paragraph" w:customStyle="1" w:styleId="81">
    <w:name w:val="Nivel 4"/>
    <w:basedOn w:val="80"/>
    <w:link w:val="83"/>
    <w:qFormat/>
    <w:uiPriority w:val="0"/>
    <w:pPr>
      <w:numPr>
        <w:ilvl w:val="3"/>
      </w:numPr>
    </w:pPr>
    <w:rPr>
      <w:color w:val="auto"/>
    </w:rPr>
  </w:style>
  <w:style w:type="paragraph" w:customStyle="1" w:styleId="82">
    <w:name w:val="Nivel 5"/>
    <w:basedOn w:val="81"/>
    <w:qFormat/>
    <w:uiPriority w:val="0"/>
    <w:pPr>
      <w:numPr>
        <w:ilvl w:val="4"/>
      </w:numPr>
      <w:tabs>
        <w:tab w:val="left" w:pos="360"/>
      </w:tabs>
      <w:ind w:left="2496" w:hanging="1080"/>
    </w:pPr>
  </w:style>
  <w:style w:type="character" w:customStyle="1" w:styleId="83">
    <w:name w:val="Nivel 4 Char"/>
    <w:basedOn w:val="7"/>
    <w:link w:val="81"/>
    <w:qFormat/>
    <w:uiPriority w:val="0"/>
    <w:rPr>
      <w:rFonts w:ascii="Ecofont_Spranq_eco_Sans" w:hAnsi="Ecofont_Spranq_eco_Sans" w:eastAsia="Arial Unicode MS" w:cs="Arial"/>
      <w:sz w:val="20"/>
      <w:szCs w:val="20"/>
      <w:lang w:eastAsia="pt-BR" w:bidi="ar-SA"/>
    </w:rPr>
  </w:style>
  <w:style w:type="paragraph" w:customStyle="1" w:styleId="84">
    <w:name w:val="Grade Colorida - Ênfase 11"/>
    <w:basedOn w:val="1"/>
    <w:next w:val="1"/>
    <w:link w:val="8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85">
    <w:name w:val="Grade Colorida - Ênfase 1 Char"/>
    <w:link w:val="84"/>
    <w:qFormat/>
    <w:uiPriority w:val="29"/>
    <w:rPr>
      <w:rFonts w:ascii="Ecofont_Spranq_eco_Sans" w:hAnsi="Ecofont_Spranq_eco_Sans" w:eastAsia="Calibri" w:cs="Tahoma"/>
      <w:i/>
      <w:iCs/>
      <w:color w:val="000000"/>
      <w:sz w:val="20"/>
      <w:shd w:val="clear" w:color="auto" w:fill="FFFFCC"/>
      <w:lang w:eastAsia="en-US" w:bidi="ar-SA"/>
    </w:rPr>
  </w:style>
  <w:style w:type="character" w:customStyle="1" w:styleId="86">
    <w:name w:val="Assunto do comentário Char"/>
    <w:basedOn w:val="76"/>
    <w:link w:val="18"/>
    <w:semiHidden/>
    <w:qFormat/>
    <w:uiPriority w:val="99"/>
    <w:rPr>
      <w:rFonts w:ascii="Ecofont_Spranq_eco_Sans" w:hAnsi="Ecofont_Spranq_eco_Sans" w:eastAsia="Times New Roman" w:cs="Tahoma"/>
      <w:b/>
      <w:bCs/>
      <w:color w:val="00000A"/>
      <w:sz w:val="20"/>
      <w:szCs w:val="20"/>
      <w:shd w:val="clear" w:color="auto" w:fill="FFFFFF"/>
      <w:lang w:eastAsia="pt-BR" w:bidi="ar-SA"/>
    </w:rPr>
  </w:style>
  <w:style w:type="character" w:customStyle="1" w:styleId="87">
    <w:name w:val="Nivel 2 Char"/>
    <w:basedOn w:val="7"/>
    <w:link w:val="78"/>
    <w:qFormat/>
    <w:uiPriority w:val="0"/>
    <w:rPr>
      <w:rFonts w:ascii="Ecofont_Spranq_eco_Sans" w:hAnsi="Ecofont_Spranq_eco_Sans" w:eastAsia="Arial Unicode MS" w:cs="Times New Roman"/>
      <w:sz w:val="20"/>
      <w:szCs w:val="20"/>
      <w:lang w:eastAsia="pt-BR" w:bidi="ar-SA"/>
    </w:rPr>
  </w:style>
  <w:style w:type="character" w:customStyle="1" w:styleId="88">
    <w:name w:val="Nivel 3 Char"/>
    <w:basedOn w:val="7"/>
    <w:link w:val="80"/>
    <w:qFormat/>
    <w:uiPriority w:val="0"/>
    <w:rPr>
      <w:rFonts w:ascii="Ecofont_Spranq_eco_Sans" w:hAnsi="Ecofont_Spranq_eco_Sans" w:eastAsia="Arial Unicode MS" w:cs="Arial"/>
      <w:color w:val="000000"/>
      <w:sz w:val="20"/>
      <w:szCs w:val="20"/>
      <w:lang w:eastAsia="pt-BR" w:bidi="ar-SA"/>
    </w:rPr>
  </w:style>
  <w:style w:type="character" w:customStyle="1" w:styleId="89">
    <w:name w:val="Grade Média 2 - Ênfase 2 Char"/>
    <w:qFormat/>
    <w:uiPriority w:val="0"/>
    <w:rPr>
      <w:rFonts w:ascii="Ecofont_Spranq_eco_Sans" w:hAnsi="Ecofont_Spranq_eco_Sans" w:eastAsia="Calibri" w:cs="Ecofont_Spranq_eco_Sans"/>
      <w:i/>
      <w:iCs/>
      <w:color w:val="000000"/>
      <w:szCs w:val="24"/>
      <w:shd w:val="clear" w:color="auto" w:fill="FFFFCC"/>
    </w:rPr>
  </w:style>
  <w:style w:type="table" w:styleId="90">
    <w:name w:val="Medium Grid 2 Accent 2"/>
    <w:basedOn w:val="8"/>
    <w:semiHidden/>
    <w:unhideWhenUsed/>
    <w:qFormat/>
    <w:uiPriority w:val="0"/>
    <w:rPr>
      <w:rFonts w:ascii="Ecofont_Spranq_eco_Sans" w:hAnsi="Ecofont_Spranq_eco_Sans" w:eastAsia="Calibri" w:cs="Ecofont_Spranq_eco_Sans"/>
      <w:i/>
      <w:iCs/>
      <w:color w:val="000000"/>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tcPr>
        <w:shd w:val="clear" w:color="auto" w:fill="F8EDED"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2DBDB" w:themeFill="accent2" w:themeFillTint="33"/>
      </w:tcPr>
    </w:tblStylePr>
    <w:tblStylePr w:type="band1Vert">
      <w:tcPr>
        <w:shd w:val="clear" w:color="auto" w:fill="DFA7A6" w:themeFill="accent2" w:themeFillTint="7F"/>
      </w:tcPr>
    </w:tblStylePr>
    <w:tblStylePr w:type="band1Horz">
      <w:tcPr>
        <w:tcBorders>
          <w:insideH w:val="single" w:sz="6" w:space="0"/>
          <w:insideV w:val="single" w:sz="6" w:space="0"/>
        </w:tcBorders>
        <w:shd w:val="clear" w:color="auto" w:fill="DFA7A6" w:themeFill="accent2" w:themeFillTint="7F"/>
      </w:tcPr>
    </w:tblStylePr>
    <w:tblStylePr w:type="nwCell">
      <w:tcPr>
        <w:shd w:val="clear" w:color="auto" w:fill="FFFFFF" w:themeFill="background1"/>
      </w:tcPr>
    </w:tblStylePr>
  </w:style>
  <w:style w:type="paragraph" w:customStyle="1" w:styleId="91">
    <w:name w:val="Revision"/>
    <w:hidden/>
    <w:semiHidden/>
    <w:qFormat/>
    <w:uiPriority w:val="99"/>
    <w:pPr>
      <w:textAlignment w:val="auto"/>
    </w:pPr>
    <w:rPr>
      <w:rFonts w:ascii="Ecofont_Spranq_eco_Sans" w:hAnsi="Ecofont_Spranq_eco_Sans" w:eastAsia="Times New Roman" w:cs="Tahoma"/>
      <w:color w:val="00000A"/>
      <w:sz w:val="24"/>
      <w:szCs w:val="24"/>
      <w:lang w:val="pt-BR" w:eastAsia="pt-BR" w:bidi="ar-SA"/>
    </w:rPr>
  </w:style>
  <w:style w:type="paragraph" w:customStyle="1" w:styleId="92">
    <w:name w:val="Citação10"/>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MS Mincho" w:cs="Ecofont_Spranq_eco_Sans"/>
      <w:i/>
      <w:iCs/>
      <w:color w:val="000000"/>
      <w:lang w:eastAsia="en-US"/>
    </w:rPr>
  </w:style>
  <w:style w:type="paragraph" w:customStyle="1" w:styleId="93">
    <w:name w:val="Normal + Times New Roman"/>
    <w:basedOn w:val="1"/>
    <w:qFormat/>
    <w:uiPriority w:val="0"/>
    <w:pPr>
      <w:keepNext w:val="0"/>
      <w:shd w:val="clear" w:color="auto" w:fill="auto"/>
      <w:tabs>
        <w:tab w:val="clear" w:pos="708"/>
      </w:tabs>
      <w:suppressAutoHyphens w:val="0"/>
      <w:overflowPunct/>
      <w:spacing w:before="120" w:after="120"/>
      <w:jc w:val="both"/>
      <w:textAlignment w:val="auto"/>
    </w:pPr>
    <w:rPr>
      <w:rFonts w:ascii="Times New Roman" w:hAnsi="Times New Roman" w:cs="Times New Roman"/>
      <w:color w:val="auto"/>
    </w:rPr>
  </w:style>
  <w:style w:type="paragraph" w:customStyle="1" w:styleId="94">
    <w:name w:val="Parágrafo da Lista1"/>
    <w:basedOn w:val="1"/>
    <w:qFormat/>
    <w:uiPriority w:val="0"/>
    <w:pPr>
      <w:keepNext w:val="0"/>
      <w:shd w:val="clear" w:color="auto" w:fill="auto"/>
      <w:tabs>
        <w:tab w:val="clear" w:pos="708"/>
      </w:tabs>
      <w:suppressAutoHyphens w:val="0"/>
      <w:overflowPunct/>
      <w:ind w:left="720"/>
      <w:textAlignment w:val="auto"/>
    </w:pPr>
    <w:rPr>
      <w:color w:val="auto"/>
    </w:rPr>
  </w:style>
  <w:style w:type="paragraph" w:customStyle="1" w:styleId="95">
    <w:name w:val="Nivel1"/>
    <w:basedOn w:val="2"/>
    <w:next w:val="1"/>
    <w:link w:val="101"/>
    <w:qFormat/>
    <w:uiPriority w:val="0"/>
    <w:pPr>
      <w:keepLines/>
      <w:numPr>
        <w:ilvl w:val="0"/>
        <w:numId w:val="0"/>
      </w:numPr>
      <w:shd w:val="clear" w:color="auto" w:fill="auto"/>
      <w:tabs>
        <w:tab w:val="left" w:pos="360"/>
        <w:tab w:val="clear" w:pos="708"/>
      </w:tabs>
      <w:suppressAutoHyphens w:val="0"/>
      <w:overflowPunct/>
      <w:spacing w:before="480" w:line="276" w:lineRule="auto"/>
      <w:ind w:left="357" w:hanging="357"/>
      <w:jc w:val="both"/>
      <w:textAlignment w:val="auto"/>
    </w:pPr>
    <w:rPr>
      <w:rFonts w:ascii="Arial" w:hAnsi="Arial" w:cs="Arial" w:eastAsiaTheme="majorEastAsia"/>
      <w:bCs w:val="0"/>
      <w:color w:val="000000"/>
      <w:sz w:val="20"/>
      <w:szCs w:val="20"/>
    </w:rPr>
  </w:style>
  <w:style w:type="paragraph" w:customStyle="1" w:styleId="96">
    <w:name w:val="paragraph"/>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97">
    <w:name w:val="normaltextrun"/>
    <w:basedOn w:val="7"/>
    <w:qFormat/>
    <w:uiPriority w:val="0"/>
  </w:style>
  <w:style w:type="character" w:customStyle="1" w:styleId="98">
    <w:name w:val="eop"/>
    <w:basedOn w:val="7"/>
    <w:qFormat/>
    <w:uiPriority w:val="0"/>
  </w:style>
  <w:style w:type="character" w:customStyle="1" w:styleId="99">
    <w:name w:val="spellingerror"/>
    <w:basedOn w:val="7"/>
    <w:qFormat/>
    <w:uiPriority w:val="0"/>
  </w:style>
  <w:style w:type="paragraph" w:customStyle="1" w:styleId="100">
    <w:name w:val="Citação2"/>
    <w:basedOn w:val="1"/>
    <w:next w:val="1"/>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i/>
      <w:color w:val="000000"/>
      <w:lang w:eastAsia="en-US"/>
    </w:rPr>
  </w:style>
  <w:style w:type="character" w:customStyle="1" w:styleId="101">
    <w:name w:val="Nivel1 Char"/>
    <w:basedOn w:val="7"/>
    <w:link w:val="95"/>
    <w:qFormat/>
    <w:locked/>
    <w:uiPriority w:val="0"/>
    <w:rPr>
      <w:rFonts w:ascii="Arial" w:hAnsi="Arial" w:cs="Arial" w:eastAsiaTheme="majorEastAsia"/>
      <w:b/>
      <w:color w:val="000000"/>
      <w:sz w:val="20"/>
      <w:szCs w:val="20"/>
      <w:lang w:eastAsia="pt-BR" w:bidi="ar-SA"/>
    </w:rPr>
  </w:style>
  <w:style w:type="paragraph" w:customStyle="1" w:styleId="102">
    <w:name w:val="Nivel 01"/>
    <w:basedOn w:val="2"/>
    <w:next w:val="1"/>
    <w:link w:val="103"/>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eastAsiaTheme="majorEastAsia" w:cstheme="majorBidi"/>
      <w:color w:val="000000"/>
      <w:sz w:val="32"/>
      <w:szCs w:val="32"/>
    </w:rPr>
  </w:style>
  <w:style w:type="character" w:customStyle="1" w:styleId="103">
    <w:name w:val="Nivel 01 Char"/>
    <w:basedOn w:val="7"/>
    <w:link w:val="102"/>
    <w:qFormat/>
    <w:uiPriority w:val="0"/>
    <w:rPr>
      <w:rFonts w:ascii="Arial" w:hAnsi="Arial" w:eastAsiaTheme="majorEastAsia" w:cstheme="majorBidi"/>
      <w:b/>
      <w:bCs/>
      <w:color w:val="000000"/>
      <w:sz w:val="32"/>
      <w:szCs w:val="32"/>
      <w:lang w:eastAsia="pt-BR" w:bidi="ar-SA"/>
    </w:rPr>
  </w:style>
  <w:style w:type="character" w:customStyle="1" w:styleId="104">
    <w:name w:val="Texto sem Formatação Char"/>
    <w:basedOn w:val="7"/>
    <w:link w:val="16"/>
    <w:semiHidden/>
    <w:qFormat/>
    <w:uiPriority w:val="99"/>
    <w:rPr>
      <w:rFonts w:ascii="Calibri" w:hAnsi="Calibri" w:eastAsiaTheme="minorHAnsi" w:cstheme="minorBidi"/>
      <w:sz w:val="22"/>
      <w:szCs w:val="21"/>
      <w:lang w:eastAsia="en-US" w:bidi="ar-SA"/>
    </w:rPr>
  </w:style>
  <w:style w:type="paragraph" w:customStyle="1" w:styleId="105">
    <w:name w:val="x_western"/>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6">
    <w:name w:val="Normal_1"/>
    <w:qFormat/>
    <w:uiPriority w:val="0"/>
    <w:pPr>
      <w:textAlignment w:val="auto"/>
    </w:pPr>
    <w:rPr>
      <w:rFonts w:ascii="Times New Roman" w:hAnsi="Times New Roman" w:eastAsia="Times New Roman" w:cs="Times New Roman"/>
      <w:sz w:val="24"/>
      <w:szCs w:val="22"/>
      <w:lang w:val="pt-BR" w:eastAsia="en-US" w:bidi="ar-SA"/>
    </w:rPr>
  </w:style>
  <w:style w:type="paragraph" w:customStyle="1" w:styleId="107">
    <w:name w:val="textbody"/>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paragraph" w:customStyle="1" w:styleId="108">
    <w:name w:val="xl72"/>
    <w:basedOn w:val="1"/>
    <w:qFormat/>
    <w:uiPriority w:val="0"/>
    <w:pPr>
      <w:keepNext w:val="0"/>
      <w:shd w:val="clear" w:color="auto" w:fill="auto"/>
      <w:tabs>
        <w:tab w:val="clear" w:pos="708"/>
      </w:tabs>
      <w:suppressAutoHyphens w:val="0"/>
      <w:overflowPunct/>
      <w:spacing w:before="100" w:beforeAutospacing="1" w:after="100" w:afterAutospacing="1"/>
      <w:jc w:val="center"/>
      <w:textAlignment w:val="center"/>
    </w:pPr>
    <w:rPr>
      <w:rFonts w:ascii="Times New Roman" w:hAnsi="Times New Roman" w:cs="Times New Roman"/>
      <w:color w:val="auto"/>
      <w:sz w:val="22"/>
      <w:szCs w:val="22"/>
    </w:rPr>
  </w:style>
  <w:style w:type="paragraph" w:customStyle="1" w:styleId="109">
    <w:name w:val="Standard"/>
    <w:qFormat/>
    <w:uiPriority w:val="0"/>
    <w:pPr>
      <w:suppressAutoHyphens/>
      <w:autoSpaceDN w:val="0"/>
      <w:spacing w:after="200" w:line="276" w:lineRule="auto"/>
      <w:textAlignment w:val="baseline"/>
    </w:pPr>
    <w:rPr>
      <w:rFonts w:ascii="Calibri" w:hAnsi="Calibri" w:eastAsia="Segoe UI" w:cs="Tahoma"/>
      <w:sz w:val="22"/>
      <w:szCs w:val="22"/>
      <w:lang w:val="pt-BR" w:eastAsia="pt-BR" w:bidi="ar-SA"/>
    </w:rPr>
  </w:style>
  <w:style w:type="character" w:customStyle="1" w:styleId="110">
    <w:name w:val="w8qarf"/>
    <w:basedOn w:val="7"/>
    <w:qFormat/>
    <w:uiPriority w:val="0"/>
  </w:style>
  <w:style w:type="character" w:customStyle="1" w:styleId="111">
    <w:name w:val="lrzxr"/>
    <w:basedOn w:val="7"/>
    <w:qFormat/>
    <w:uiPriority w:val="0"/>
  </w:style>
  <w:style w:type="paragraph" w:customStyle="1" w:styleId="112">
    <w:name w:val="Título do Conteúdo"/>
    <w:basedOn w:val="109"/>
    <w:qFormat/>
    <w:uiPriority w:val="0"/>
    <w:pPr>
      <w:keepNext/>
      <w:suppressLineNumbers/>
      <w:spacing w:before="240" w:after="120" w:line="360" w:lineRule="auto"/>
      <w:jc w:val="both"/>
    </w:pPr>
    <w:rPr>
      <w:rFonts w:ascii="Arial" w:hAnsi="Arial" w:eastAsia="Times New Roman"/>
      <w:b/>
      <w:bCs/>
      <w:sz w:val="32"/>
      <w:szCs w:val="32"/>
      <w:lang w:eastAsia="ar-SA"/>
    </w:rPr>
  </w:style>
  <w:style w:type="character" w:customStyle="1" w:styleId="113">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619D80-AE0E-4FC5-8646-B7029223346D}">
  <ds:schemaRefs/>
</ds:datastoreItem>
</file>

<file path=customXml/itemProps2.xml><?xml version="1.0" encoding="utf-8"?>
<ds:datastoreItem xmlns:ds="http://schemas.openxmlformats.org/officeDocument/2006/customXml" ds:itemID="{D0FA922B-301D-4229-A9FF-8B2F047859B0}">
  <ds:schemaRefs/>
</ds:datastoreItem>
</file>

<file path=customXml/itemProps3.xml><?xml version="1.0" encoding="utf-8"?>
<ds:datastoreItem xmlns:ds="http://schemas.openxmlformats.org/officeDocument/2006/customXml" ds:itemID="{552F9D9B-A10A-4DD0-9B11-62F741C79D1E}">
  <ds:schemaRefs/>
</ds:datastoreItem>
</file>

<file path=customXml/itemProps4.xml><?xml version="1.0" encoding="utf-8"?>
<ds:datastoreItem xmlns:ds="http://schemas.openxmlformats.org/officeDocument/2006/customXml" ds:itemID="{BBFD8ED6-DC5C-4AC2-A75D-A7D1347451F0}">
  <ds:schemaRefs/>
</ds:datastoreItem>
</file>

<file path=docProps/app.xml><?xml version="1.0" encoding="utf-8"?>
<Properties xmlns="http://schemas.openxmlformats.org/officeDocument/2006/extended-properties" xmlns:vt="http://schemas.openxmlformats.org/officeDocument/2006/docPropsVTypes">
  <Template>Normal</Template>
  <Pages>23</Pages>
  <Words>9859</Words>
  <Characters>55309</Characters>
  <Lines>464</Lines>
  <Paragraphs>131</Paragraphs>
  <TotalTime>5</TotalTime>
  <ScaleCrop>false</ScaleCrop>
  <LinksUpToDate>false</LinksUpToDate>
  <CharactersWithSpaces>64825</CharactersWithSpaces>
  <Application>WPS Office_11.2.0.11380_F1E327BC-269C-435d-A152-05C5408002CA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2022-03-01T13:19:00Z</dcterms:created>
  <dc:creator>Carlota Vargas Buranello</dc:creator>
  <cp:lastModifiedBy>JULY</cp:lastModifiedBy>
  <cp:lastPrinted>2020-05-06T13:48:00Z</cp:lastPrinted>
  <dcterms:modified xsi:type="dcterms:W3CDTF">2022-11-23T11:31:13Z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1046-11.2.0.11380</vt:lpwstr>
  </property>
  <property fmtid="{D5CDD505-2E9C-101B-9397-08002B2CF9AE}" pid="4" name="ICV">
    <vt:lpwstr>1E3DDC83FC0044758A67C8436D5CB008</vt:lpwstr>
  </property>
</Properties>
</file>