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828675" cy="8191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UNIVERSIDADE FEDERAL FLUMINENSE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BASE DE CONHECIMENTO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PROCESSO DE ISENÇÃO DE IMPOSTO DE RENDA POR MOTIVO DE DOENÇA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e6e6e6" w:val="clear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QUE ATIVIDADE É?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 o serviço para solicitação de isenção de imposto de renda para aposentados e pensionistas portadores de doença grave de acordo com o art. 6º, XIV e XXI, da Lei nº 7.713/1988, alterada pela Lei nº 11.052/2004, art. 39, XXXI do Decreto nº 3.000/1999, e art. 30, § 1º, da Lei nº 9.250/1995, Ato Declaratório Interpretativo - Secretaria da Receita Federal/SRF nº 11, de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e6e6e6" w:val="clear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QUEM FAZ?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Área Responsável: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Divisão de Direitos e Vantagens (DDV/CRL)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Unidades de Tramitação: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Divisão de Admissão e Cadastro (DAC/CRL); Divisão de Perícia em Saúde (DPS/CASQ); Divisão de Direitos e Vantagens (DDV/CRL); Divisão de Pagamentos de Aposentados e Pensionistas (DPAP/CCPP); e Divisão de Análise Contábil (DAC/CCONT)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e6e6e6" w:val="clear"/>
        <w:spacing w:after="120" w:before="120"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COMO SE FAZ? POSSUI FLUXO JÁ MAPEADO?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line="360" w:lineRule="auto"/>
        <w:ind w:left="527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INTERESSADO imprime o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REQUERIMENTO DE ISENÇÃO DE IMPOSTO DE RENDA POR MOTIVO DE DOENÇA (disponibilizar o link),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preenche e o assina. Após, se dirige ao protocolo com os seguintes documentos: requerimento, declaração médica e procuração de representante legal (em caso de apresentação de procurador).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line="360" w:lineRule="auto"/>
        <w:ind w:left="527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PROTOCOLO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inicia o processo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Pessoal: Isenção de Imposto de Renda por motivo de doença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 digitaliza os documentos, os anexa ao processo, faz a autenticação deles, e depois envia o processo para a  DAC/CRL.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27" w:right="0" w:hanging="170"/>
        <w:jc w:val="both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DAC/CRL elabora e assina despacho contendo a qualificação do servidor,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 deve ser assinado também pela chefia da DAC/CRL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Em seguida, envia o processo para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DPS/CASQ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120" w:before="120" w:line="360" w:lineRule="auto"/>
        <w:ind w:left="527" w:right="120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DPS/CASQ analisa o processo e elabora despacho de autorização para avaliação pericial, que deve ser assinado pela chefia da DPS/CASQ. Em seguida, realiza o agendamento de atendimento (serão feitas até 3 tentativas de agendamento em até 15 dias úteis). O agendamento será feito para atendimento psicossocial e para perícia médica. Após, observa se o contato para o atendimento foi bem-sucedido.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spacing w:line="360" w:lineRule="auto"/>
        <w:ind w:left="1247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Caso o contato não tenha sido bem-sucedido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DPS/CASQ elabora despacho e envia o processo para a DDV/CRL (ir para o item 7).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spacing w:line="360" w:lineRule="auto"/>
        <w:ind w:left="1247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Caso o contato tenha sido bem-sucedido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DPS/CASQ aguarda a data agendada para a perícia.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27" w:right="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Observação: Serão realizadas até 3 (três) tentativas de agendamento, caso o interessado não compareça no dia agendado e/ou não se manifeste, o processo será enviado à DDV/CRL.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120" w:before="120" w:line="360" w:lineRule="auto"/>
        <w:ind w:left="527" w:right="120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Quando chega a data agendada da perícia, a DPS/CASQ analisa se o interessado compareceu à perícia: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47" w:right="0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Caso o interessado não tenha comparecido ao atendimento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DPS/CASQ elabora despacho e envia o processo para a DDV/CRL (ir para o item 7).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47" w:right="0" w:hanging="17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Caso o interessado tenha comparecido ao atendimento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DPS/CASQ expede o Laudo de Inspeção Pericial e agenda atendimento para ciência do interessado, via e-mail. Após o comparecimento do interessado, a DPS/CASQ entrega uma via do laudo ao interessado. Em seguida, digitaliza o laudo com a ciência do interessado,  anexa o documento ao processo e o autentica.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Observação: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i w:val="1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 ciência do interessado sobre a decisão da perícia será feita no laudo emitido pela DPS/CASQ.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both"/>
        <w:rPr>
          <w:rFonts w:ascii="Calibri" w:cs="Calibri" w:eastAsia="Calibri" w:hAnsi="Calibri"/>
          <w:i w:val="1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 interessado pode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solicitar o recurso e reconsideração 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DPS/CASQ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 Caso o faça, serão dadas as orientações para que nova perícia seja reagendada.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120" w:before="0" w:beforeAutospacing="0" w:line="360" w:lineRule="auto"/>
        <w:ind w:left="720" w:right="120" w:hanging="360"/>
        <w:jc w:val="both"/>
        <w:rPr>
          <w:rFonts w:ascii="Calibri" w:cs="Calibri" w:eastAsia="Calibri" w:hAnsi="Calibri"/>
          <w:i w:val="1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Para os casos em que não há a possibilidade de emitir o laudo no dia do atendimento,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DPS/CASQ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enviará um e-mail em até 7(sete) dias úteis para que o interessado retorne e tome ciência do resultado.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120" w:before="120" w:line="360" w:lineRule="auto"/>
        <w:ind w:left="527" w:right="120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Após a perícia, a DPS/CASQ analisa se o interessado deseja solicitar recurso: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spacing w:line="360" w:lineRule="auto"/>
        <w:ind w:left="1247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Caso o interessado manifeste interesse em solicitar o recurso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DPS/CASQ aguarda a base documental do interessado para medidas recursivas. Após, DPS/CASQ recebe os documentos, digitaliza, anexa ao processo e autentica os documentos. Depois, agenda novo atendimento (ir para o item 4).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spacing w:line="360" w:lineRule="auto"/>
        <w:ind w:left="1247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Caso o interessado não manifeste interesse em solicitar o recurso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DPS/CASQ elabora despacho de encaminhamento e envia o processo para a DDV/CRL.</w:t>
      </w:r>
    </w:p>
    <w:p w:rsidR="00000000" w:rsidDel="00000000" w:rsidP="00000000" w:rsidRDefault="00000000" w:rsidRPr="00000000" w14:paraId="00000020">
      <w:pPr>
        <w:spacing w:line="360" w:lineRule="auto"/>
        <w:ind w:left="124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27" w:right="0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DDV/CRL analisa o processo com base no laudo médico e nas disposições legais pertinentes ao assunto, de modo que:</w:t>
      </w:r>
    </w:p>
    <w:p w:rsidR="00000000" w:rsidDel="00000000" w:rsidP="00000000" w:rsidRDefault="00000000" w:rsidRPr="00000000" w14:paraId="00000022">
      <w:pPr>
        <w:spacing w:line="360" w:lineRule="auto"/>
        <w:ind w:left="52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47" w:right="0" w:hanging="1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 for indeferido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 DDV/CRL elabora despacho de indeferimento, cria bloco de assinatura e disponibiliza o documento para a assinatura das chefias das seguintes unidades: DDV/CRL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CRL/DAP e DAP/GEPE.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seguida, notifica o INTERESSADO via e-ma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ter ciência da decisão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envia o processo ao Protocolo.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72" w:right="0" w:hanging="1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Caso não deseje solicitar Reconsideração/recurso: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INTERESSADO toma ciência do processo,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preenche o TERMO DE CIÊNCIA DO INTERESSADO. 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 não tenha interesse em solicitar reconsideração e/ou recurso,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PROTOCOLO faz a digitalização do documento, anexa ao processo e o autentica. Após, devolve o processo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DDV/CRL, que irá concluir o processo.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72" w:right="0" w:hanging="1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Caso deseje solicitar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Reconsideração/recurso: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INTERESSADO deve seguir os passos presentes abaixo: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72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etapa de Reconsideração, o INTERESSADO deve preencher o requerimento específico e ir até o PROTOCOLO, que anexará o documento ao processo e o enviará à DDV/CRL para nova avaliação.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Caso a reconsideração seja negada, na etapa de Recurso, o INTERESSADO deve comparecer novamente ao PROTOCOLO com o requerimento de Recurso preenchido e assinado, assim como qualquer outra documentação que julgar necessária para apresentação de novos fatos. Então, um servidor do PROTOCOLO  anexará e autenticará a documentação apresentada. Em seguida,  o processo será enviado à CRL/DAP. </w:t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47" w:right="0" w:hanging="1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 for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deferido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DDV/CRL elabora despacho de deferimento, o assina, cria bloco de assinatura e disponibiliza o documento para a assinatura das chefias das seguintes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unidades: DDV/CRL e CRL/DAP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Após, 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ncaminha o processo para a DPAP/CCPP.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47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line="360" w:lineRule="auto"/>
        <w:ind w:left="527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DPAP/CCPP realiza a implantação do benefício no sistema; anexa o(s)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relatório(s) financeiro(s), que são emitidos a partir do mês da concessão do benefício;  realiza a restituição dos meses descontados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no ano vigente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; verifica se há restituição de exercícios anteriores. </w:t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rFonts w:ascii="Calibri" w:cs="Calibri" w:eastAsia="Calibri" w:hAnsi="Calibri"/>
          <w:color w:val="222222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spacing w:line="360" w:lineRule="auto"/>
        <w:ind w:left="1247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Caso haja restituição de anos anteriores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DPAP/CCPP elabora despacho solicitando a emissão da DIRF retificadora dos anos anteriores e envia para o DAC/CCONT.</w:t>
      </w:r>
    </w:p>
    <w:p w:rsidR="00000000" w:rsidDel="00000000" w:rsidP="00000000" w:rsidRDefault="00000000" w:rsidRPr="00000000" w14:paraId="0000002F">
      <w:pPr>
        <w:numPr>
          <w:ilvl w:val="2"/>
          <w:numId w:val="6"/>
        </w:numPr>
        <w:spacing w:line="360" w:lineRule="auto"/>
        <w:ind w:left="1972" w:hanging="17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DAC/CCONT faz alterações na DIRF, incluindo como isentos os rendimentos a partir da data do laudo médico pericial.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Posteriormente, envia a Declaração Retificadora à Receita Federal, anexa ao processo o novo Informe de Rendimentos do servidor.</w:t>
      </w:r>
    </w:p>
    <w:p w:rsidR="00000000" w:rsidDel="00000000" w:rsidP="00000000" w:rsidRDefault="00000000" w:rsidRPr="00000000" w14:paraId="00000030">
      <w:pPr>
        <w:numPr>
          <w:ilvl w:val="2"/>
          <w:numId w:val="6"/>
        </w:numPr>
        <w:spacing w:line="360" w:lineRule="auto"/>
        <w:ind w:left="1972" w:hanging="17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 DAC/CCONT elabora despacho informando que foi realizada a atualização das informações tributárias do CPF do servidor e que a DIRF retificadora foi transmitida para a Receita Federal, e envia o processo a DPAP/CCPP.</w:t>
      </w:r>
    </w:p>
    <w:p w:rsidR="00000000" w:rsidDel="00000000" w:rsidP="00000000" w:rsidRDefault="00000000" w:rsidRPr="00000000" w14:paraId="00000031">
      <w:pPr>
        <w:numPr>
          <w:ilvl w:val="2"/>
          <w:numId w:val="6"/>
        </w:numPr>
        <w:spacing w:line="360" w:lineRule="auto"/>
        <w:ind w:left="1972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DPAP/CCPP, por sua  vez, elabora despacho, comunica ao servidor sobre o novo informe de rendimento (por e-mail), e envia o processo para a DDV/CRL.  (ir para o item 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1972" w:firstLine="0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spacing w:line="360" w:lineRule="auto"/>
        <w:ind w:left="1247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Caso não haja restituição de anos anteriores: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DPAP/CCPP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elabora despacho e envia o processo para a DDV/CRL.</w:t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line="360" w:lineRule="auto"/>
        <w:ind w:left="527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DDV/CRL elabora despacho de encerramento,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envia e-mail notificando o requerente sobre o deferimento, 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conclui o processo.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360" w:lineRule="auto"/>
        <w:ind w:left="0" w:firstLine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e6e6e6" w:val="clear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QUAIS INFORMAÇÕES/CONDIÇÕES SÃO NECESSÁRIAS?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Preenchimento 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REQUERIMENTO DE ISENÇÃO DE IMPOSTO DE RENDA POR MOTIVO DE DOENÇA.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Anexar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declaração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médic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que ateste a doença.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análise acerca da concessão ou não do direito só poderá ocorrer após Laudo Médico conclusivo expedido pela 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PS/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CASQ.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requerente não tem acesso ao sistema, devendo, portanto, a sua atuação no processo se dar por meio do Protocolo e da DPS/CASQ, os quais farão a anexação e autenticação dos documentos produzidos pelo interessado.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requerente poderá acompanhar o trâmite do processo através do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Pesquisa Pública do SEI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(colocar link).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 imprescindível que o requerente mantenha-se atento às comunicações que chegarão ao seu e-mail.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Após o deferimento do pedido, caso haja restituição de exercícios anteriores, o interessado,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 seu novo Informe de Rendimentos, deverá realizar o seu pedido de restituição à Receita Federal.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e6e6e6" w:val="clear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QUAIS DOCUMENTOS SÃO NECESSÁRIOS?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360" w:lineRule="auto"/>
        <w:ind w:left="527" w:hanging="1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REQUERIMENTO DE ISENÇÃO DE IMPOSTO DE RENDA POR MOTIVO DE DOENÇA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360" w:lineRule="auto"/>
        <w:ind w:left="527" w:hanging="1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Declaração Médica atestando a doença.</w:t>
      </w:r>
    </w:p>
    <w:p w:rsidR="00000000" w:rsidDel="00000000" w:rsidP="00000000" w:rsidRDefault="00000000" w:rsidRPr="00000000" w14:paraId="00000042">
      <w:pPr>
        <w:shd w:fill="e6e6e6" w:val="clear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QUAL É A BASE LEGAL?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360" w:lineRule="auto"/>
        <w:ind w:left="527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6º, XIV e XXI, da Lei nº 7.713/1988, alterada pela Lei nº 11.052 de 2004;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527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39, XXXI do Decreto nº 3.000/1999;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360" w:lineRule="auto"/>
        <w:ind w:left="527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30, § 1º, da Lei nº 9.250/1995, Ato Declaratório Interpretativo - Secretaria da Receita Federal/SRF nº 11, de 2006;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360" w:lineRule="auto"/>
        <w:ind w:left="527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Parecer SEI nº 19/2018/CRJ/PGACET/PGFN-MF; e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360" w:lineRule="auto"/>
        <w:ind w:left="527" w:hanging="1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 Técnica nº 4907/2018-MP.</w:t>
      </w:r>
    </w:p>
    <w:sectPr>
      <w:pgSz w:h="16834" w:w="11909"/>
      <w:pgMar w:bottom="806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right"/>
      <w:pPr>
        <w:ind w:left="527" w:hanging="170"/>
      </w:pPr>
      <w:rPr>
        <w:u w:val="none"/>
      </w:rPr>
    </w:lvl>
    <w:lvl w:ilvl="1">
      <w:start w:val="1"/>
      <w:numFmt w:val="decimal"/>
      <w:lvlText w:val="%1.%2)"/>
      <w:lvlJc w:val="right"/>
      <w:pPr>
        <w:ind w:left="1247" w:hanging="17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right"/>
      <w:pPr>
        <w:ind w:left="527" w:hanging="170"/>
      </w:pPr>
      <w:rPr>
        <w:rFonts w:ascii="Calibri" w:cs="Calibri" w:eastAsia="Calibri" w:hAnsi="Calibri"/>
        <w:u w:val="none"/>
      </w:rPr>
    </w:lvl>
    <w:lvl w:ilvl="1">
      <w:start w:val="1"/>
      <w:numFmt w:val="decimal"/>
      <w:lvlText w:val="%1.%2)"/>
      <w:lvlJc w:val="right"/>
      <w:pPr>
        <w:ind w:left="1247" w:hanging="17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right"/>
      <w:pPr>
        <w:ind w:left="527" w:hanging="170"/>
      </w:pPr>
      <w:rPr>
        <w:u w:val="none"/>
      </w:rPr>
    </w:lvl>
    <w:lvl w:ilvl="1">
      <w:start w:val="1"/>
      <w:numFmt w:val="decimal"/>
      <w:lvlText w:val="%1.%2)"/>
      <w:lvlJc w:val="right"/>
      <w:pPr>
        <w:ind w:left="1247" w:hanging="170"/>
      </w:pPr>
      <w:rPr>
        <w:u w:val="none"/>
      </w:rPr>
    </w:lvl>
    <w:lvl w:ilvl="2">
      <w:start w:val="1"/>
      <w:numFmt w:val="decimal"/>
      <w:lvlText w:val="%1.%2.%3)"/>
      <w:lvlJc w:val="right"/>
      <w:pPr>
        <w:ind w:left="1972" w:hanging="170"/>
      </w:pPr>
      <w:rPr>
        <w:u w:val="none"/>
      </w:rPr>
    </w:lvl>
    <w:lvl w:ilvl="3">
      <w:start w:val="1"/>
      <w:numFmt w:val="decimal"/>
      <w:lvlText w:val="%1.%2.%3.%4)"/>
      <w:lvlJc w:val="right"/>
      <w:pPr>
        <w:ind w:left="2687" w:hanging="170"/>
      </w:pPr>
      <w:rPr>
        <w:u w:val="none"/>
      </w:rPr>
    </w:lvl>
    <w:lvl w:ilvl="4">
      <w:start w:val="1"/>
      <w:numFmt w:val="decimal"/>
      <w:lvlText w:val="%1.%2.%3.%4.%5)"/>
      <w:lvlJc w:val="right"/>
      <w:pPr>
        <w:ind w:left="3407" w:hanging="170"/>
      </w:pPr>
      <w:rPr>
        <w:u w:val="none"/>
      </w:rPr>
    </w:lvl>
    <w:lvl w:ilvl="5">
      <w:start w:val="1"/>
      <w:numFmt w:val="decimal"/>
      <w:lvlText w:val="%1.%2.%3.%4.%5.%6)"/>
      <w:lvlJc w:val="right"/>
      <w:pPr>
        <w:ind w:left="4132" w:hanging="17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3006E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3006E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5078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sei.uff.br/sei/modulos/pesquisa/md_pesq_processo_pesquisar.php?acao_externa=protocolo_pesquisar&amp;acao_origem_externa=protocolo_pesquisar&amp;id_orgao_acesso_exter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3GSN9xpB1VaRONysO+R7iJnMg==">AMUW2mV8TYCs5oRhuNURq4eJrgU5Tw4XUHUKeUkY0AlgF5sSgY4DqF0jEXq3QMuYt5kapeOwxTx0yGYZBkm2jne6NqZ7gPSmBeoLJqXn97GNn/axGgokpzy9KXGApA2weJruG6EY9pYu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2020-04-28T14:52:00Z</dcterms:created>
  <dc:creator>Amanda Nascimento</dc:creator>
</cp:coreProperties>
</file>