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302BDB" w:rsidRDefault="006E4496" w:rsidP="008C54E4">
      <w:pPr>
        <w:tabs>
          <w:tab w:val="left" w:pos="6284"/>
        </w:tabs>
        <w:jc w:val="center"/>
        <w:rPr>
          <w:rFonts w:asciiTheme="minorHAnsi" w:hAnsiTheme="minorHAnsi" w:cstheme="minorHAnsi"/>
          <w:b/>
          <w:bCs/>
          <w:sz w:val="22"/>
          <w:szCs w:val="22"/>
        </w:rPr>
      </w:pPr>
      <w:r w:rsidRPr="00302BDB">
        <w:rPr>
          <w:rFonts w:asciiTheme="minorHAnsi" w:hAnsiTheme="minorHAnsi" w:cstheme="minorHAnsi"/>
          <w:b/>
          <w:bCs/>
          <w:sz w:val="22"/>
          <w:szCs w:val="22"/>
        </w:rPr>
        <w:t>MINISTÉRIO DA EDUCAÇÃO</w:t>
      </w:r>
    </w:p>
    <w:p w14:paraId="7F7DC745" w14:textId="77777777" w:rsidR="006E4496" w:rsidRPr="00302BDB" w:rsidRDefault="006E4496" w:rsidP="008C54E4">
      <w:pPr>
        <w:pStyle w:val="Ttulo1"/>
        <w:spacing w:before="0"/>
        <w:jc w:val="center"/>
        <w:rPr>
          <w:rFonts w:asciiTheme="minorHAnsi" w:hAnsiTheme="minorHAnsi" w:cstheme="minorHAnsi"/>
          <w:b/>
          <w:color w:val="auto"/>
          <w:sz w:val="22"/>
          <w:szCs w:val="22"/>
        </w:rPr>
      </w:pPr>
      <w:r w:rsidRPr="00302BDB">
        <w:rPr>
          <w:rFonts w:asciiTheme="minorHAnsi" w:hAnsiTheme="minorHAnsi" w:cstheme="minorHAnsi"/>
          <w:b/>
          <w:color w:val="auto"/>
          <w:sz w:val="22"/>
          <w:szCs w:val="22"/>
        </w:rPr>
        <w:t>UNIVERSIDADE FEDERAL FLUMINENSE</w:t>
      </w:r>
    </w:p>
    <w:p w14:paraId="56C392D9" w14:textId="2048B6FA" w:rsidR="006E4496" w:rsidRPr="00302BDB" w:rsidRDefault="006E4496" w:rsidP="005B345F">
      <w:pPr>
        <w:spacing w:after="120" w:line="276" w:lineRule="auto"/>
        <w:ind w:right="-15"/>
        <w:jc w:val="center"/>
        <w:rPr>
          <w:rFonts w:asciiTheme="minorHAnsi" w:hAnsiTheme="minorHAnsi" w:cstheme="minorHAnsi"/>
          <w:b/>
          <w:bCs/>
          <w:color w:val="000000"/>
          <w:sz w:val="22"/>
          <w:szCs w:val="22"/>
        </w:rPr>
      </w:pPr>
    </w:p>
    <w:p w14:paraId="47EE0BD9" w14:textId="77777777" w:rsidR="001058F6" w:rsidRPr="009D1EF7" w:rsidRDefault="001058F6" w:rsidP="001058F6">
      <w:pPr>
        <w:jc w:val="center"/>
        <w:rPr>
          <w:rFonts w:asciiTheme="minorHAnsi" w:hAnsiTheme="minorHAnsi" w:cstheme="minorHAnsi"/>
          <w:b/>
          <w:sz w:val="22"/>
          <w:szCs w:val="22"/>
        </w:rPr>
      </w:pPr>
      <w:r w:rsidRPr="009D1EF7">
        <w:rPr>
          <w:rFonts w:asciiTheme="minorHAnsi" w:hAnsiTheme="minorHAnsi" w:cstheme="minorHAnsi"/>
          <w:b/>
          <w:sz w:val="22"/>
          <w:szCs w:val="22"/>
        </w:rPr>
        <w:t>LISTA DE VERIFICAÇÃO</w:t>
      </w:r>
    </w:p>
    <w:p w14:paraId="20A05137" w14:textId="4C7C8A23" w:rsidR="00CE626C" w:rsidRPr="00A50269" w:rsidRDefault="001058F6" w:rsidP="00A50269">
      <w:pPr>
        <w:jc w:val="center"/>
        <w:rPr>
          <w:rFonts w:asciiTheme="minorHAnsi" w:hAnsiTheme="minorHAnsi" w:cstheme="minorHAnsi"/>
          <w:sz w:val="22"/>
          <w:szCs w:val="22"/>
        </w:rPr>
      </w:pPr>
      <w:r w:rsidRPr="009D1EF7">
        <w:rPr>
          <w:rFonts w:asciiTheme="minorHAnsi" w:hAnsiTheme="minorHAnsi" w:cstheme="minorHAnsi"/>
          <w:sz w:val="22"/>
          <w:szCs w:val="22"/>
        </w:rPr>
        <w:t xml:space="preserve">(Dispensas de </w:t>
      </w:r>
      <w:r w:rsidR="00670632">
        <w:rPr>
          <w:rFonts w:asciiTheme="minorHAnsi" w:hAnsiTheme="minorHAnsi" w:cstheme="minorHAnsi"/>
          <w:sz w:val="22"/>
          <w:szCs w:val="22"/>
        </w:rPr>
        <w:t>L</w:t>
      </w:r>
      <w:r w:rsidRPr="009D1EF7">
        <w:rPr>
          <w:rFonts w:asciiTheme="minorHAnsi" w:hAnsiTheme="minorHAnsi" w:cstheme="minorHAnsi"/>
          <w:sz w:val="22"/>
          <w:szCs w:val="22"/>
        </w:rPr>
        <w:t xml:space="preserve">icitação </w:t>
      </w:r>
      <w:r w:rsidR="006D1E32">
        <w:rPr>
          <w:rFonts w:asciiTheme="minorHAnsi" w:hAnsiTheme="minorHAnsi" w:cstheme="minorHAnsi"/>
          <w:sz w:val="22"/>
          <w:szCs w:val="22"/>
        </w:rPr>
        <w:t>–</w:t>
      </w:r>
      <w:r w:rsidR="00670632">
        <w:rPr>
          <w:rFonts w:asciiTheme="minorHAnsi" w:hAnsiTheme="minorHAnsi" w:cstheme="minorHAnsi"/>
          <w:sz w:val="22"/>
          <w:szCs w:val="22"/>
        </w:rPr>
        <w:t xml:space="preserve"> S</w:t>
      </w:r>
      <w:r w:rsidR="00A50269">
        <w:rPr>
          <w:rFonts w:asciiTheme="minorHAnsi" w:hAnsiTheme="minorHAnsi" w:cstheme="minorHAnsi"/>
          <w:sz w:val="22"/>
          <w:szCs w:val="22"/>
        </w:rPr>
        <w:t>erviços</w:t>
      </w:r>
      <w:r w:rsidR="006D1E32">
        <w:rPr>
          <w:rFonts w:asciiTheme="minorHAnsi" w:hAnsiTheme="minorHAnsi" w:cstheme="minorHAnsi"/>
          <w:sz w:val="22"/>
          <w:szCs w:val="22"/>
        </w:rPr>
        <w:t xml:space="preserve"> – Incisos I e II</w:t>
      </w:r>
      <w:r w:rsidRPr="009D1EF7">
        <w:rPr>
          <w:rFonts w:asciiTheme="minorHAnsi" w:hAnsiTheme="minorHAnsi" w:cstheme="minorHAnsi"/>
          <w:sz w:val="22"/>
          <w:szCs w:val="22"/>
        </w:rPr>
        <w:t>)</w:t>
      </w:r>
    </w:p>
    <w:p w14:paraId="5AE9B483" w14:textId="0A08329D" w:rsidR="009D1EF7" w:rsidRPr="009D1EF7" w:rsidRDefault="009D1EF7" w:rsidP="009D1EF7">
      <w:pPr>
        <w:spacing w:after="120" w:line="276" w:lineRule="auto"/>
        <w:ind w:right="-15"/>
        <w:rPr>
          <w:rFonts w:asciiTheme="minorHAnsi" w:hAnsiTheme="minorHAnsi" w:cstheme="minorHAnsi"/>
          <w:color w:val="000000"/>
          <w:sz w:val="22"/>
          <w:szCs w:val="22"/>
        </w:rPr>
      </w:pPr>
    </w:p>
    <w:tbl>
      <w:tblPr>
        <w:tblStyle w:val="Tabelacomgrade"/>
        <w:tblW w:w="9736" w:type="dxa"/>
        <w:jc w:val="center"/>
        <w:tblLook w:val="04A0" w:firstRow="1" w:lastRow="0" w:firstColumn="1" w:lastColumn="0" w:noHBand="0" w:noVBand="1"/>
      </w:tblPr>
      <w:tblGrid>
        <w:gridCol w:w="684"/>
        <w:gridCol w:w="5832"/>
        <w:gridCol w:w="1276"/>
        <w:gridCol w:w="850"/>
        <w:gridCol w:w="1094"/>
      </w:tblGrid>
      <w:tr w:rsidR="00962413" w:rsidRPr="004928D8" w14:paraId="73DDBA4E" w14:textId="77777777" w:rsidTr="00962413">
        <w:trPr>
          <w:trHeight w:val="492"/>
          <w:jc w:val="center"/>
        </w:trPr>
        <w:tc>
          <w:tcPr>
            <w:tcW w:w="684" w:type="dxa"/>
            <w:vMerge w:val="restart"/>
            <w:shd w:val="clear" w:color="auto" w:fill="C6D9F1" w:themeFill="text2" w:themeFillTint="33"/>
          </w:tcPr>
          <w:p w14:paraId="37FF835F" w14:textId="0F6B6424" w:rsidR="00962413" w:rsidRPr="004928D8" w:rsidRDefault="00962413" w:rsidP="00962413">
            <w:pPr>
              <w:autoSpaceDE w:val="0"/>
              <w:autoSpaceDN w:val="0"/>
              <w:adjustRightInd w:val="0"/>
              <w:jc w:val="center"/>
              <w:rPr>
                <w:rFonts w:asciiTheme="minorHAnsi" w:hAnsiTheme="minorHAnsi" w:cstheme="minorHAnsi"/>
                <w:b/>
                <w:szCs w:val="22"/>
              </w:rPr>
            </w:pPr>
            <w:r w:rsidRPr="004928D8">
              <w:rPr>
                <w:rFonts w:asciiTheme="minorHAnsi" w:hAnsiTheme="minorHAnsi" w:cstheme="minorHAnsi"/>
                <w:b/>
                <w:szCs w:val="22"/>
              </w:rPr>
              <w:t>ITEM</w:t>
            </w:r>
          </w:p>
        </w:tc>
        <w:tc>
          <w:tcPr>
            <w:tcW w:w="5832" w:type="dxa"/>
            <w:vMerge w:val="restart"/>
            <w:shd w:val="clear" w:color="auto" w:fill="C6D9F1" w:themeFill="text2" w:themeFillTint="33"/>
          </w:tcPr>
          <w:p w14:paraId="605F9766" w14:textId="25ED7E50" w:rsidR="00962413" w:rsidRPr="004928D8" w:rsidRDefault="00962413" w:rsidP="00962413">
            <w:pPr>
              <w:autoSpaceDE w:val="0"/>
              <w:autoSpaceDN w:val="0"/>
              <w:adjustRightInd w:val="0"/>
              <w:jc w:val="center"/>
              <w:rPr>
                <w:rFonts w:asciiTheme="minorHAnsi" w:hAnsiTheme="minorHAnsi" w:cstheme="minorHAnsi"/>
                <w:b/>
                <w:szCs w:val="22"/>
              </w:rPr>
            </w:pPr>
            <w:r w:rsidRPr="004928D8">
              <w:rPr>
                <w:rFonts w:asciiTheme="minorHAnsi" w:hAnsiTheme="minorHAnsi" w:cstheme="minorHAnsi"/>
                <w:b/>
                <w:szCs w:val="22"/>
              </w:rPr>
              <w:t>DESCRIÇÃO</w:t>
            </w:r>
          </w:p>
        </w:tc>
        <w:tc>
          <w:tcPr>
            <w:tcW w:w="3220" w:type="dxa"/>
            <w:gridSpan w:val="3"/>
            <w:shd w:val="clear" w:color="auto" w:fill="C6D9F1" w:themeFill="text2" w:themeFillTint="33"/>
          </w:tcPr>
          <w:p w14:paraId="08C11F62" w14:textId="49EA5A8A" w:rsidR="00962413" w:rsidRPr="004928D8" w:rsidRDefault="00962413" w:rsidP="00962413">
            <w:pPr>
              <w:autoSpaceDE w:val="0"/>
              <w:autoSpaceDN w:val="0"/>
              <w:adjustRightInd w:val="0"/>
              <w:jc w:val="center"/>
              <w:rPr>
                <w:rFonts w:asciiTheme="minorHAnsi" w:hAnsiTheme="minorHAnsi" w:cstheme="minorHAnsi"/>
                <w:szCs w:val="22"/>
              </w:rPr>
            </w:pPr>
            <w:r w:rsidRPr="004928D8">
              <w:rPr>
                <w:rFonts w:asciiTheme="minorHAnsi" w:hAnsiTheme="minorHAnsi" w:cstheme="minorHAnsi"/>
                <w:b/>
                <w:bCs/>
                <w:szCs w:val="22"/>
              </w:rPr>
              <w:t>ATENDE PLENAMENTE A EXIGÊNCIA?</w:t>
            </w:r>
          </w:p>
        </w:tc>
      </w:tr>
      <w:tr w:rsidR="00962413" w:rsidRPr="004928D8" w14:paraId="2C0DF331" w14:textId="77777777" w:rsidTr="00962413">
        <w:trPr>
          <w:trHeight w:val="514"/>
          <w:jc w:val="center"/>
        </w:trPr>
        <w:tc>
          <w:tcPr>
            <w:tcW w:w="684" w:type="dxa"/>
            <w:vMerge/>
            <w:shd w:val="clear" w:color="auto" w:fill="C6D9F1" w:themeFill="text2" w:themeFillTint="33"/>
          </w:tcPr>
          <w:p w14:paraId="673FF33E" w14:textId="77777777" w:rsidR="00962413" w:rsidRPr="004928D8" w:rsidRDefault="00962413" w:rsidP="00962413">
            <w:pPr>
              <w:autoSpaceDE w:val="0"/>
              <w:autoSpaceDN w:val="0"/>
              <w:adjustRightInd w:val="0"/>
              <w:jc w:val="center"/>
              <w:rPr>
                <w:rFonts w:asciiTheme="minorHAnsi" w:hAnsiTheme="minorHAnsi" w:cstheme="minorHAnsi"/>
                <w:b/>
                <w:szCs w:val="22"/>
              </w:rPr>
            </w:pPr>
          </w:p>
        </w:tc>
        <w:tc>
          <w:tcPr>
            <w:tcW w:w="5832" w:type="dxa"/>
            <w:vMerge/>
            <w:shd w:val="clear" w:color="auto" w:fill="C6D9F1" w:themeFill="text2" w:themeFillTint="33"/>
          </w:tcPr>
          <w:p w14:paraId="1B6370C3" w14:textId="77777777" w:rsidR="00962413" w:rsidRPr="004928D8" w:rsidRDefault="00962413" w:rsidP="00962413">
            <w:pPr>
              <w:autoSpaceDE w:val="0"/>
              <w:autoSpaceDN w:val="0"/>
              <w:adjustRightInd w:val="0"/>
              <w:jc w:val="center"/>
              <w:rPr>
                <w:rFonts w:asciiTheme="minorHAnsi" w:hAnsiTheme="minorHAnsi" w:cstheme="minorHAnsi"/>
                <w:b/>
                <w:szCs w:val="22"/>
              </w:rPr>
            </w:pPr>
          </w:p>
        </w:tc>
        <w:tc>
          <w:tcPr>
            <w:tcW w:w="1276" w:type="dxa"/>
            <w:shd w:val="clear" w:color="auto" w:fill="C6D9F1" w:themeFill="text2" w:themeFillTint="33"/>
          </w:tcPr>
          <w:p w14:paraId="50E99725" w14:textId="4185A674" w:rsidR="00962413" w:rsidRPr="004928D8" w:rsidRDefault="00962413" w:rsidP="00962413">
            <w:pPr>
              <w:autoSpaceDE w:val="0"/>
              <w:autoSpaceDN w:val="0"/>
              <w:adjustRightInd w:val="0"/>
              <w:jc w:val="center"/>
              <w:rPr>
                <w:rFonts w:asciiTheme="minorHAnsi" w:hAnsiTheme="minorHAnsi" w:cstheme="minorHAnsi"/>
                <w:szCs w:val="22"/>
              </w:rPr>
            </w:pPr>
            <w:r w:rsidRPr="004928D8">
              <w:rPr>
                <w:rFonts w:asciiTheme="minorHAnsi" w:hAnsiTheme="minorHAnsi" w:cstheme="minorHAnsi"/>
                <w:b/>
                <w:bCs/>
                <w:szCs w:val="22"/>
              </w:rPr>
              <w:t>SIM</w:t>
            </w:r>
          </w:p>
        </w:tc>
        <w:tc>
          <w:tcPr>
            <w:tcW w:w="850" w:type="dxa"/>
            <w:shd w:val="clear" w:color="auto" w:fill="C6D9F1" w:themeFill="text2" w:themeFillTint="33"/>
          </w:tcPr>
          <w:p w14:paraId="2C584A06" w14:textId="3F4F8A6E" w:rsidR="00962413" w:rsidRPr="004928D8" w:rsidRDefault="00962413" w:rsidP="00962413">
            <w:pPr>
              <w:autoSpaceDE w:val="0"/>
              <w:autoSpaceDN w:val="0"/>
              <w:adjustRightInd w:val="0"/>
              <w:jc w:val="center"/>
              <w:rPr>
                <w:rFonts w:asciiTheme="minorHAnsi" w:hAnsiTheme="minorHAnsi" w:cstheme="minorHAnsi"/>
                <w:szCs w:val="22"/>
              </w:rPr>
            </w:pPr>
            <w:r w:rsidRPr="004928D8">
              <w:rPr>
                <w:rFonts w:asciiTheme="minorHAnsi" w:hAnsiTheme="minorHAnsi" w:cstheme="minorHAnsi"/>
                <w:b/>
                <w:bCs/>
                <w:szCs w:val="22"/>
              </w:rPr>
              <w:t>NÃO</w:t>
            </w:r>
          </w:p>
        </w:tc>
        <w:tc>
          <w:tcPr>
            <w:tcW w:w="1094" w:type="dxa"/>
            <w:shd w:val="clear" w:color="auto" w:fill="C6D9F1" w:themeFill="text2" w:themeFillTint="33"/>
          </w:tcPr>
          <w:p w14:paraId="521C8B04" w14:textId="697E7314" w:rsidR="00962413" w:rsidRPr="004928D8" w:rsidRDefault="00962413" w:rsidP="00962413">
            <w:pPr>
              <w:autoSpaceDE w:val="0"/>
              <w:autoSpaceDN w:val="0"/>
              <w:adjustRightInd w:val="0"/>
              <w:jc w:val="center"/>
              <w:rPr>
                <w:rFonts w:asciiTheme="minorHAnsi" w:hAnsiTheme="minorHAnsi" w:cstheme="minorHAnsi"/>
                <w:szCs w:val="22"/>
              </w:rPr>
            </w:pPr>
            <w:r w:rsidRPr="004928D8">
              <w:rPr>
                <w:rFonts w:asciiTheme="minorHAnsi" w:hAnsiTheme="minorHAnsi" w:cstheme="minorHAnsi"/>
                <w:b/>
                <w:bCs/>
                <w:szCs w:val="22"/>
              </w:rPr>
              <w:t>NÃO SE APLICA</w:t>
            </w:r>
          </w:p>
        </w:tc>
      </w:tr>
      <w:tr w:rsidR="00962413" w:rsidRPr="004928D8" w14:paraId="05CC4007" w14:textId="47448635" w:rsidTr="00962413">
        <w:trPr>
          <w:trHeight w:val="241"/>
          <w:jc w:val="center"/>
        </w:trPr>
        <w:tc>
          <w:tcPr>
            <w:tcW w:w="684" w:type="dxa"/>
            <w:shd w:val="clear" w:color="auto" w:fill="FFFFFF" w:themeFill="background1"/>
          </w:tcPr>
          <w:p w14:paraId="5BA36205" w14:textId="47490FB8" w:rsidR="00962413" w:rsidRPr="004928D8" w:rsidRDefault="00962413" w:rsidP="00962413">
            <w:pPr>
              <w:jc w:val="both"/>
              <w:rPr>
                <w:rFonts w:asciiTheme="minorHAnsi" w:hAnsiTheme="minorHAnsi" w:cstheme="minorHAnsi"/>
                <w:bCs/>
                <w:szCs w:val="22"/>
              </w:rPr>
            </w:pPr>
            <w:r w:rsidRPr="004928D8">
              <w:rPr>
                <w:rFonts w:asciiTheme="minorHAnsi" w:hAnsiTheme="minorHAnsi" w:cstheme="minorHAnsi"/>
                <w:bCs/>
                <w:szCs w:val="22"/>
              </w:rPr>
              <w:t>1</w:t>
            </w:r>
          </w:p>
        </w:tc>
        <w:tc>
          <w:tcPr>
            <w:tcW w:w="5832" w:type="dxa"/>
            <w:shd w:val="clear" w:color="auto" w:fill="FFFFFF" w:themeFill="background1"/>
          </w:tcPr>
          <w:p w14:paraId="6179D258" w14:textId="1056742B" w:rsidR="00962413" w:rsidRPr="004928D8" w:rsidRDefault="00962413" w:rsidP="00962413">
            <w:pPr>
              <w:jc w:val="both"/>
              <w:rPr>
                <w:rFonts w:asciiTheme="minorHAnsi" w:hAnsiTheme="minorHAnsi" w:cstheme="minorHAnsi"/>
                <w:szCs w:val="22"/>
              </w:rPr>
            </w:pPr>
            <w:r w:rsidRPr="004928D8">
              <w:rPr>
                <w:rFonts w:asciiTheme="minorHAnsi" w:hAnsiTheme="minorHAnsi" w:cstheme="minorHAnsi"/>
                <w:bCs/>
                <w:szCs w:val="22"/>
              </w:rPr>
              <w:t>Houve abertura de processo administrativo?</w:t>
            </w:r>
          </w:p>
        </w:tc>
        <w:tc>
          <w:tcPr>
            <w:tcW w:w="1276" w:type="dxa"/>
            <w:shd w:val="clear" w:color="auto" w:fill="FFFFFF" w:themeFill="background1"/>
          </w:tcPr>
          <w:p w14:paraId="19875203" w14:textId="4E2C6C80"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776200F9"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2ADD8409"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1607B3F6" w14:textId="0F1F0C83" w:rsidTr="00962413">
        <w:trPr>
          <w:jc w:val="center"/>
        </w:trPr>
        <w:tc>
          <w:tcPr>
            <w:tcW w:w="684" w:type="dxa"/>
            <w:shd w:val="clear" w:color="auto" w:fill="FFFFFF" w:themeFill="background1"/>
          </w:tcPr>
          <w:p w14:paraId="2790819F" w14:textId="58ECE693" w:rsidR="00962413" w:rsidRPr="004928D8" w:rsidRDefault="00962413" w:rsidP="00962413">
            <w:pPr>
              <w:autoSpaceDE w:val="0"/>
              <w:autoSpaceDN w:val="0"/>
              <w:adjustRightInd w:val="0"/>
              <w:jc w:val="both"/>
              <w:rPr>
                <w:rFonts w:asciiTheme="minorHAnsi" w:hAnsiTheme="minorHAnsi" w:cstheme="minorHAnsi"/>
                <w:bCs/>
                <w:szCs w:val="22"/>
              </w:rPr>
            </w:pPr>
            <w:r w:rsidRPr="004928D8">
              <w:rPr>
                <w:rFonts w:asciiTheme="minorHAnsi" w:hAnsiTheme="minorHAnsi" w:cstheme="minorHAnsi"/>
                <w:bCs/>
                <w:szCs w:val="22"/>
              </w:rPr>
              <w:t>2</w:t>
            </w:r>
          </w:p>
        </w:tc>
        <w:tc>
          <w:tcPr>
            <w:tcW w:w="5832" w:type="dxa"/>
            <w:shd w:val="clear" w:color="auto" w:fill="FFFFFF" w:themeFill="background1"/>
          </w:tcPr>
          <w:p w14:paraId="07C111DB" w14:textId="743DDBBD" w:rsidR="00962413" w:rsidRPr="004928D8" w:rsidRDefault="00962413" w:rsidP="00962413">
            <w:pPr>
              <w:autoSpaceDE w:val="0"/>
              <w:autoSpaceDN w:val="0"/>
              <w:adjustRightInd w:val="0"/>
              <w:jc w:val="both"/>
              <w:rPr>
                <w:rFonts w:asciiTheme="minorHAnsi" w:hAnsiTheme="minorHAnsi" w:cstheme="minorHAnsi"/>
                <w:bCs/>
                <w:szCs w:val="22"/>
              </w:rPr>
            </w:pPr>
            <w:r w:rsidRPr="004928D8">
              <w:rPr>
                <w:rFonts w:asciiTheme="minorHAnsi" w:hAnsiTheme="minorHAnsi" w:cstheme="minorHAnsi"/>
                <w:bCs/>
                <w:szCs w:val="22"/>
              </w:rPr>
              <w:t>Foi adotada a forma eletrônica para o processo administrativo ou, caso adotada forma em papel, houve a devida justificativa?</w:t>
            </w:r>
          </w:p>
        </w:tc>
        <w:tc>
          <w:tcPr>
            <w:tcW w:w="1276" w:type="dxa"/>
            <w:shd w:val="clear" w:color="auto" w:fill="FFFFFF" w:themeFill="background1"/>
          </w:tcPr>
          <w:p w14:paraId="14D6B2B6" w14:textId="46DA4812"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0B92B3C8"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352FBCC1"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23D97C84" w14:textId="036916AD" w:rsidTr="00962413">
        <w:trPr>
          <w:jc w:val="center"/>
        </w:trPr>
        <w:tc>
          <w:tcPr>
            <w:tcW w:w="684" w:type="dxa"/>
            <w:shd w:val="clear" w:color="auto" w:fill="FFFFFF" w:themeFill="background1"/>
          </w:tcPr>
          <w:p w14:paraId="67F0E673" w14:textId="1356825A" w:rsidR="00962413" w:rsidRPr="004928D8" w:rsidRDefault="00962413" w:rsidP="00962413">
            <w:pPr>
              <w:autoSpaceDE w:val="0"/>
              <w:autoSpaceDN w:val="0"/>
              <w:adjustRightInd w:val="0"/>
              <w:jc w:val="both"/>
              <w:rPr>
                <w:rFonts w:asciiTheme="minorHAnsi" w:hAnsiTheme="minorHAnsi" w:cstheme="minorHAnsi"/>
                <w:bCs/>
                <w:szCs w:val="22"/>
              </w:rPr>
            </w:pPr>
            <w:r w:rsidRPr="004928D8">
              <w:rPr>
                <w:rFonts w:asciiTheme="minorHAnsi" w:hAnsiTheme="minorHAnsi" w:cstheme="minorHAnsi"/>
                <w:bCs/>
                <w:szCs w:val="22"/>
              </w:rPr>
              <w:t>3</w:t>
            </w:r>
          </w:p>
        </w:tc>
        <w:tc>
          <w:tcPr>
            <w:tcW w:w="5832" w:type="dxa"/>
            <w:shd w:val="clear" w:color="auto" w:fill="FFFFFF" w:themeFill="background1"/>
          </w:tcPr>
          <w:p w14:paraId="408F8F9A" w14:textId="4E8C016A" w:rsidR="00962413" w:rsidRPr="004928D8" w:rsidRDefault="00415D1E" w:rsidP="00962413">
            <w:pPr>
              <w:autoSpaceDE w:val="0"/>
              <w:autoSpaceDN w:val="0"/>
              <w:adjustRightInd w:val="0"/>
              <w:jc w:val="both"/>
              <w:rPr>
                <w:rFonts w:asciiTheme="minorHAnsi" w:hAnsiTheme="minorHAnsi" w:cstheme="minorHAnsi"/>
                <w:bCs/>
                <w:szCs w:val="22"/>
              </w:rPr>
            </w:pPr>
            <w:r w:rsidRPr="004928D8">
              <w:rPr>
                <w:rFonts w:asciiTheme="minorHAnsi" w:hAnsiTheme="minorHAnsi" w:cstheme="minorHAnsi"/>
                <w:szCs w:val="22"/>
              </w:rPr>
              <w:t>A autoridade competente designou os agentes públicos responsáveis pelo desempenho das funções essenciais à contratação?</w:t>
            </w:r>
            <w:r w:rsidRPr="004928D8">
              <w:rPr>
                <w:rFonts w:asciiTheme="minorHAnsi" w:hAnsiTheme="minorHAnsi" w:cstheme="minorHAnsi"/>
                <w:szCs w:val="22"/>
                <w:vertAlign w:val="superscript"/>
              </w:rPr>
              <w:endnoteReference w:id="1"/>
            </w:r>
          </w:p>
        </w:tc>
        <w:tc>
          <w:tcPr>
            <w:tcW w:w="1276" w:type="dxa"/>
            <w:shd w:val="clear" w:color="auto" w:fill="FFFFFF" w:themeFill="background1"/>
          </w:tcPr>
          <w:p w14:paraId="5E84D95D" w14:textId="227FBA5E"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2993BD7F"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7197A72A"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38D6FC95" w14:textId="61F4D890" w:rsidTr="00962413">
        <w:trPr>
          <w:jc w:val="center"/>
        </w:trPr>
        <w:tc>
          <w:tcPr>
            <w:tcW w:w="684" w:type="dxa"/>
            <w:shd w:val="clear" w:color="auto" w:fill="FFFFFF" w:themeFill="background1"/>
          </w:tcPr>
          <w:p w14:paraId="0204F24F" w14:textId="78D36E37"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4</w:t>
            </w:r>
          </w:p>
        </w:tc>
        <w:tc>
          <w:tcPr>
            <w:tcW w:w="5832" w:type="dxa"/>
            <w:shd w:val="clear" w:color="auto" w:fill="FFFFFF" w:themeFill="background1"/>
          </w:tcPr>
          <w:p w14:paraId="698AA373" w14:textId="36F598E4" w:rsidR="00962413" w:rsidRPr="004928D8" w:rsidRDefault="00962413" w:rsidP="00962413">
            <w:pPr>
              <w:autoSpaceDE w:val="0"/>
              <w:autoSpaceDN w:val="0"/>
              <w:adjustRightInd w:val="0"/>
              <w:jc w:val="both"/>
              <w:rPr>
                <w:rFonts w:asciiTheme="minorHAnsi" w:hAnsiTheme="minorHAnsi" w:cstheme="minorHAnsi"/>
                <w:bCs/>
                <w:szCs w:val="22"/>
              </w:rPr>
            </w:pPr>
            <w:r w:rsidRPr="004928D8">
              <w:rPr>
                <w:rFonts w:asciiTheme="minorHAnsi" w:hAnsiTheme="minorHAnsi" w:cstheme="minorHAnsi"/>
                <w:szCs w:val="22"/>
              </w:rPr>
              <w:t>Consta documento de formalização de demanda?</w:t>
            </w:r>
          </w:p>
        </w:tc>
        <w:tc>
          <w:tcPr>
            <w:tcW w:w="1276" w:type="dxa"/>
            <w:shd w:val="clear" w:color="auto" w:fill="FFFFFF" w:themeFill="background1"/>
          </w:tcPr>
          <w:p w14:paraId="06AD6845" w14:textId="33F83633"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4585CB59"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0924F225"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3FFEDCAC" w14:textId="696A2325" w:rsidTr="00962413">
        <w:trPr>
          <w:jc w:val="center"/>
        </w:trPr>
        <w:tc>
          <w:tcPr>
            <w:tcW w:w="684" w:type="dxa"/>
            <w:shd w:val="clear" w:color="auto" w:fill="FFFFFF" w:themeFill="background1"/>
          </w:tcPr>
          <w:p w14:paraId="604B07F0" w14:textId="623824AC"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5</w:t>
            </w:r>
          </w:p>
        </w:tc>
        <w:tc>
          <w:tcPr>
            <w:tcW w:w="5832" w:type="dxa"/>
            <w:shd w:val="clear" w:color="auto" w:fill="FFFFFF" w:themeFill="background1"/>
          </w:tcPr>
          <w:p w14:paraId="2AA4C582" w14:textId="1EA8464D" w:rsidR="00962413" w:rsidRPr="004928D8" w:rsidRDefault="00962413" w:rsidP="00962413">
            <w:pPr>
              <w:autoSpaceDE w:val="0"/>
              <w:autoSpaceDN w:val="0"/>
              <w:adjustRightInd w:val="0"/>
              <w:jc w:val="both"/>
              <w:rPr>
                <w:rFonts w:asciiTheme="minorHAnsi" w:hAnsiTheme="minorHAnsi" w:cstheme="minorHAnsi"/>
                <w:bCs/>
                <w:szCs w:val="22"/>
              </w:rPr>
            </w:pPr>
            <w:r w:rsidRPr="004928D8">
              <w:rPr>
                <w:rFonts w:asciiTheme="minorHAnsi" w:hAnsiTheme="minorHAnsi" w:cstheme="minorHAnsi"/>
                <w:szCs w:val="22"/>
              </w:rPr>
              <w:t>Foi certificado que objeto da contratação está contemplado no Plano de Contratações Anual?</w:t>
            </w:r>
          </w:p>
        </w:tc>
        <w:tc>
          <w:tcPr>
            <w:tcW w:w="1276" w:type="dxa"/>
            <w:shd w:val="clear" w:color="auto" w:fill="FFFFFF" w:themeFill="background1"/>
          </w:tcPr>
          <w:p w14:paraId="0E39DCDA" w14:textId="54C77950"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5CDA5BC1"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27D33B01"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0A44FCE9" w14:textId="6D8B52CD" w:rsidTr="00962413">
        <w:trPr>
          <w:jc w:val="center"/>
        </w:trPr>
        <w:tc>
          <w:tcPr>
            <w:tcW w:w="684" w:type="dxa"/>
            <w:shd w:val="clear" w:color="auto" w:fill="FFFFFF" w:themeFill="background1"/>
          </w:tcPr>
          <w:p w14:paraId="73A3E18C" w14:textId="1EE3BB85"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6</w:t>
            </w:r>
          </w:p>
        </w:tc>
        <w:tc>
          <w:tcPr>
            <w:tcW w:w="5832" w:type="dxa"/>
            <w:shd w:val="clear" w:color="auto" w:fill="FFFFFF" w:themeFill="background1"/>
          </w:tcPr>
          <w:p w14:paraId="2F6478FE" w14:textId="4E80122C" w:rsidR="00962413" w:rsidRPr="004928D8" w:rsidRDefault="00962413" w:rsidP="00962413">
            <w:pPr>
              <w:autoSpaceDE w:val="0"/>
              <w:autoSpaceDN w:val="0"/>
              <w:adjustRightInd w:val="0"/>
              <w:jc w:val="both"/>
              <w:rPr>
                <w:rFonts w:asciiTheme="minorHAnsi" w:hAnsiTheme="minorHAnsi" w:cstheme="minorHAnsi"/>
                <w:bCs/>
                <w:szCs w:val="22"/>
              </w:rPr>
            </w:pPr>
            <w:r w:rsidRPr="004928D8">
              <w:rPr>
                <w:rFonts w:asciiTheme="minorHAnsi" w:hAnsiTheme="minorHAnsi" w:cstheme="minorHAnsi"/>
                <w:szCs w:val="22"/>
              </w:rPr>
              <w:t>Foi certificado que objeto da contratação está compatível com a Lei de Diretrizes Orçamentárias?</w:t>
            </w:r>
          </w:p>
        </w:tc>
        <w:tc>
          <w:tcPr>
            <w:tcW w:w="1276" w:type="dxa"/>
            <w:shd w:val="clear" w:color="auto" w:fill="FFFFFF" w:themeFill="background1"/>
          </w:tcPr>
          <w:p w14:paraId="3C827F31" w14:textId="0158FFBA"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7556493F"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14F48094"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19C9A776" w14:textId="02F57C38" w:rsidTr="00962413">
        <w:trPr>
          <w:jc w:val="center"/>
        </w:trPr>
        <w:tc>
          <w:tcPr>
            <w:tcW w:w="684" w:type="dxa"/>
            <w:shd w:val="clear" w:color="auto" w:fill="FFFFFF" w:themeFill="background1"/>
          </w:tcPr>
          <w:p w14:paraId="283E7D53" w14:textId="219D9969"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7</w:t>
            </w:r>
          </w:p>
        </w:tc>
        <w:tc>
          <w:tcPr>
            <w:tcW w:w="5832" w:type="dxa"/>
            <w:shd w:val="clear" w:color="auto" w:fill="FFFFFF" w:themeFill="background1"/>
          </w:tcPr>
          <w:p w14:paraId="13A73669" w14:textId="2FDCB25D" w:rsidR="00962413" w:rsidRPr="004928D8" w:rsidRDefault="00D35349"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Há Estudo Técnico Preliminar?</w:t>
            </w:r>
            <w:r w:rsidRPr="004928D8">
              <w:rPr>
                <w:rFonts w:asciiTheme="minorHAnsi" w:hAnsiTheme="minorHAnsi" w:cstheme="minorHAnsi"/>
                <w:szCs w:val="22"/>
                <w:vertAlign w:val="superscript"/>
              </w:rPr>
              <w:endnoteReference w:id="2"/>
            </w:r>
          </w:p>
        </w:tc>
        <w:tc>
          <w:tcPr>
            <w:tcW w:w="1276" w:type="dxa"/>
            <w:shd w:val="clear" w:color="auto" w:fill="FFFFFF" w:themeFill="background1"/>
          </w:tcPr>
          <w:p w14:paraId="10DF23BA" w14:textId="4A49BC5C"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5B6A5848"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1EAB2AA4"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2930FA57" w14:textId="278F9532" w:rsidTr="00962413">
        <w:trPr>
          <w:jc w:val="center"/>
        </w:trPr>
        <w:tc>
          <w:tcPr>
            <w:tcW w:w="684" w:type="dxa"/>
            <w:shd w:val="clear" w:color="auto" w:fill="FFFFFF" w:themeFill="background1"/>
          </w:tcPr>
          <w:p w14:paraId="2F9AAE17" w14:textId="36131E8C"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8</w:t>
            </w:r>
          </w:p>
        </w:tc>
        <w:tc>
          <w:tcPr>
            <w:tcW w:w="5832" w:type="dxa"/>
            <w:shd w:val="clear" w:color="auto" w:fill="FFFFFF" w:themeFill="background1"/>
          </w:tcPr>
          <w:p w14:paraId="682A2385" w14:textId="5A196AF1"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O Estudo Técnico Preliminar contempla ao menos a descrição da necessidade, a estimativa do quantitativo, a estimativa do valor, a manifestação sobre o parcelamento e a manifestação sobre a viabilidade da contratação?</w:t>
            </w:r>
          </w:p>
        </w:tc>
        <w:tc>
          <w:tcPr>
            <w:tcW w:w="1276" w:type="dxa"/>
            <w:shd w:val="clear" w:color="auto" w:fill="FFFFFF" w:themeFill="background1"/>
          </w:tcPr>
          <w:p w14:paraId="33A1945C" w14:textId="455BDA36"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58C56E9A"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4A5B71CF"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6DA15EDC" w14:textId="3129F974" w:rsidTr="00962413">
        <w:trPr>
          <w:jc w:val="center"/>
        </w:trPr>
        <w:tc>
          <w:tcPr>
            <w:tcW w:w="684" w:type="dxa"/>
            <w:shd w:val="clear" w:color="auto" w:fill="FFFFFF" w:themeFill="background1"/>
          </w:tcPr>
          <w:p w14:paraId="3C70836B" w14:textId="1687ACB1"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9</w:t>
            </w:r>
          </w:p>
        </w:tc>
        <w:tc>
          <w:tcPr>
            <w:tcW w:w="5832" w:type="dxa"/>
            <w:shd w:val="clear" w:color="auto" w:fill="FFFFFF" w:themeFill="background1"/>
          </w:tcPr>
          <w:p w14:paraId="5700A0C3" w14:textId="785FDB77" w:rsidR="00962413" w:rsidRPr="004928D8" w:rsidRDefault="001B3624"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Há Análise de Riscos?</w:t>
            </w:r>
            <w:r w:rsidRPr="004928D8">
              <w:rPr>
                <w:rFonts w:asciiTheme="minorHAnsi" w:hAnsiTheme="minorHAnsi" w:cstheme="minorHAnsi"/>
                <w:szCs w:val="22"/>
                <w:vertAlign w:val="superscript"/>
              </w:rPr>
              <w:endnoteReference w:id="3"/>
            </w:r>
          </w:p>
        </w:tc>
        <w:tc>
          <w:tcPr>
            <w:tcW w:w="1276" w:type="dxa"/>
            <w:shd w:val="clear" w:color="auto" w:fill="FFFFFF" w:themeFill="background1"/>
          </w:tcPr>
          <w:p w14:paraId="4E244BC8" w14:textId="6219E21A"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617C038F"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32539628"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315D38DF" w14:textId="4BB44D27" w:rsidTr="00962413">
        <w:trPr>
          <w:jc w:val="center"/>
        </w:trPr>
        <w:tc>
          <w:tcPr>
            <w:tcW w:w="684" w:type="dxa"/>
            <w:shd w:val="clear" w:color="auto" w:fill="FFFFFF" w:themeFill="background1"/>
          </w:tcPr>
          <w:p w14:paraId="7EC49DDB" w14:textId="6DF8AEE1"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10</w:t>
            </w:r>
          </w:p>
        </w:tc>
        <w:tc>
          <w:tcPr>
            <w:tcW w:w="5832" w:type="dxa"/>
            <w:shd w:val="clear" w:color="auto" w:fill="FFFFFF" w:themeFill="background1"/>
          </w:tcPr>
          <w:p w14:paraId="62C11CEC" w14:textId="1F1CEA1D"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Caso não exista a Análise de Riscos, houve manifestação justificando a ausência do documento?</w:t>
            </w:r>
          </w:p>
        </w:tc>
        <w:tc>
          <w:tcPr>
            <w:tcW w:w="1276" w:type="dxa"/>
            <w:shd w:val="clear" w:color="auto" w:fill="FFFFFF" w:themeFill="background1"/>
          </w:tcPr>
          <w:p w14:paraId="257F8571" w14:textId="29C63D83"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282F159F"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5F00BC17"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3E40" w:rsidRPr="004928D8" w14:paraId="062D776B" w14:textId="3A3C9FEA" w:rsidTr="00962413">
        <w:trPr>
          <w:jc w:val="center"/>
        </w:trPr>
        <w:tc>
          <w:tcPr>
            <w:tcW w:w="684" w:type="dxa"/>
            <w:shd w:val="clear" w:color="auto" w:fill="FFFFFF" w:themeFill="background1"/>
          </w:tcPr>
          <w:p w14:paraId="1C147178" w14:textId="7859F0DC"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11</w:t>
            </w:r>
          </w:p>
        </w:tc>
        <w:tc>
          <w:tcPr>
            <w:tcW w:w="5832" w:type="dxa"/>
            <w:shd w:val="clear" w:color="auto" w:fill="FFFFFF" w:themeFill="background1"/>
          </w:tcPr>
          <w:p w14:paraId="605BA11F" w14:textId="66D0BDF4"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Consta justificativa para a ausência dos itens não obrigatórios dos Estudos Técnicos Preliminares?</w:t>
            </w:r>
          </w:p>
        </w:tc>
        <w:tc>
          <w:tcPr>
            <w:tcW w:w="1276" w:type="dxa"/>
            <w:shd w:val="clear" w:color="auto" w:fill="FFFFFF" w:themeFill="background1"/>
          </w:tcPr>
          <w:p w14:paraId="3641017F" w14:textId="1B147417"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76E339CD"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42CF9A84"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6A28EC3C" w14:textId="06FF5487" w:rsidTr="00962413">
        <w:trPr>
          <w:jc w:val="center"/>
        </w:trPr>
        <w:tc>
          <w:tcPr>
            <w:tcW w:w="684" w:type="dxa"/>
            <w:shd w:val="clear" w:color="auto" w:fill="FFFFFF" w:themeFill="background1"/>
          </w:tcPr>
          <w:p w14:paraId="4D1B0101" w14:textId="7F72C15C"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1</w:t>
            </w:r>
            <w:r w:rsidR="007A5A65" w:rsidRPr="004928D8">
              <w:rPr>
                <w:rFonts w:asciiTheme="minorHAnsi" w:hAnsiTheme="minorHAnsi" w:cstheme="minorHAnsi"/>
                <w:szCs w:val="22"/>
              </w:rPr>
              <w:t>2</w:t>
            </w:r>
          </w:p>
        </w:tc>
        <w:tc>
          <w:tcPr>
            <w:tcW w:w="5832" w:type="dxa"/>
            <w:shd w:val="clear" w:color="auto" w:fill="FFFFFF" w:themeFill="background1"/>
          </w:tcPr>
          <w:p w14:paraId="351D3B3E" w14:textId="2CA6D51E"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Há termo de referência?</w:t>
            </w:r>
          </w:p>
        </w:tc>
        <w:tc>
          <w:tcPr>
            <w:tcW w:w="1276" w:type="dxa"/>
            <w:shd w:val="clear" w:color="auto" w:fill="FFFFFF" w:themeFill="background1"/>
          </w:tcPr>
          <w:p w14:paraId="3D768F04" w14:textId="0A6E3071"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08596FF6"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0C5A7ECF"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4CC0735E" w14:textId="06BF94C8" w:rsidTr="00962413">
        <w:trPr>
          <w:jc w:val="center"/>
        </w:trPr>
        <w:tc>
          <w:tcPr>
            <w:tcW w:w="684" w:type="dxa"/>
            <w:shd w:val="clear" w:color="auto" w:fill="FFFFFF" w:themeFill="background1"/>
          </w:tcPr>
          <w:p w14:paraId="16F1F7BA" w14:textId="34C7357E"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1</w:t>
            </w:r>
            <w:r w:rsidR="007A5A65" w:rsidRPr="004928D8">
              <w:rPr>
                <w:rFonts w:asciiTheme="minorHAnsi" w:hAnsiTheme="minorHAnsi" w:cstheme="minorHAnsi"/>
                <w:szCs w:val="22"/>
              </w:rPr>
              <w:t>3</w:t>
            </w:r>
          </w:p>
        </w:tc>
        <w:tc>
          <w:tcPr>
            <w:tcW w:w="5832" w:type="dxa"/>
            <w:shd w:val="clear" w:color="auto" w:fill="FFFFFF" w:themeFill="background1"/>
          </w:tcPr>
          <w:p w14:paraId="3EFB98A8" w14:textId="5C29E0B0"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Foi certificada a utilização de modelos de minutas padronizados de Termos de Referência da Advocacia-Geral União, ou as contidas no catálogo eletrônico de padronização, ou houve justificativa para sua não utilização?</w:t>
            </w:r>
            <w:r w:rsidR="00052049" w:rsidRPr="009B7657">
              <w:rPr>
                <w:rFonts w:asciiTheme="minorHAnsi" w:hAnsiTheme="minorHAnsi" w:cstheme="minorHAnsi"/>
                <w:szCs w:val="22"/>
                <w:vertAlign w:val="superscript"/>
              </w:rPr>
              <w:t xml:space="preserve"> </w:t>
            </w:r>
            <w:r w:rsidR="00052049" w:rsidRPr="009B7657">
              <w:rPr>
                <w:rFonts w:asciiTheme="minorHAnsi" w:hAnsiTheme="minorHAnsi" w:cstheme="minorHAnsi"/>
                <w:szCs w:val="22"/>
                <w:vertAlign w:val="superscript"/>
              </w:rPr>
              <w:endnoteReference w:id="4"/>
            </w:r>
          </w:p>
        </w:tc>
        <w:tc>
          <w:tcPr>
            <w:tcW w:w="1276" w:type="dxa"/>
            <w:shd w:val="clear" w:color="auto" w:fill="FFFFFF" w:themeFill="background1"/>
          </w:tcPr>
          <w:p w14:paraId="551C3D39" w14:textId="306D4C15"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37658588"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7EBB7E5D"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73E51B2A" w14:textId="361A82DE" w:rsidTr="00962413">
        <w:trPr>
          <w:jc w:val="center"/>
        </w:trPr>
        <w:tc>
          <w:tcPr>
            <w:tcW w:w="684" w:type="dxa"/>
            <w:shd w:val="clear" w:color="auto" w:fill="FFFFFF" w:themeFill="background1"/>
          </w:tcPr>
          <w:p w14:paraId="0C14654A" w14:textId="5845FA8F"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1</w:t>
            </w:r>
            <w:r w:rsidR="00727082" w:rsidRPr="004928D8">
              <w:rPr>
                <w:rFonts w:asciiTheme="minorHAnsi" w:hAnsiTheme="minorHAnsi" w:cstheme="minorHAnsi"/>
                <w:szCs w:val="22"/>
              </w:rPr>
              <w:t>4</w:t>
            </w:r>
          </w:p>
        </w:tc>
        <w:tc>
          <w:tcPr>
            <w:tcW w:w="5832" w:type="dxa"/>
            <w:shd w:val="clear" w:color="auto" w:fill="FFFFFF" w:themeFill="background1"/>
          </w:tcPr>
          <w:p w14:paraId="3FCF4A64" w14:textId="0546CB77"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Foram utilizados os modelos padronizados de instrumentos contratuais da Advocacia-Geral da União ou as contidas no catálogo eletrônico de padronização?</w:t>
            </w:r>
          </w:p>
        </w:tc>
        <w:tc>
          <w:tcPr>
            <w:tcW w:w="1276" w:type="dxa"/>
            <w:shd w:val="clear" w:color="auto" w:fill="FFFFFF" w:themeFill="background1"/>
          </w:tcPr>
          <w:p w14:paraId="0E65B71F" w14:textId="48A18D9A"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6F2EDD1A"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321B4070"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622C2C60" w14:textId="5A83CE98" w:rsidTr="00962413">
        <w:trPr>
          <w:jc w:val="center"/>
        </w:trPr>
        <w:tc>
          <w:tcPr>
            <w:tcW w:w="684" w:type="dxa"/>
            <w:shd w:val="clear" w:color="auto" w:fill="FFFFFF" w:themeFill="background1"/>
          </w:tcPr>
          <w:p w14:paraId="5EFEF939" w14:textId="0366B54A"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1</w:t>
            </w:r>
            <w:r w:rsidR="00727082" w:rsidRPr="004928D8">
              <w:rPr>
                <w:rFonts w:asciiTheme="minorHAnsi" w:hAnsiTheme="minorHAnsi" w:cstheme="minorHAnsi"/>
                <w:szCs w:val="22"/>
              </w:rPr>
              <w:t>5</w:t>
            </w:r>
          </w:p>
        </w:tc>
        <w:tc>
          <w:tcPr>
            <w:tcW w:w="5832" w:type="dxa"/>
            <w:shd w:val="clear" w:color="auto" w:fill="FFFFFF" w:themeFill="background1"/>
          </w:tcPr>
          <w:p w14:paraId="375009AD" w14:textId="08E2065A"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Foi demonstrado que a previsão de recursos orçamentários é compatível com a despesa estimada?</w:t>
            </w:r>
          </w:p>
        </w:tc>
        <w:tc>
          <w:tcPr>
            <w:tcW w:w="1276" w:type="dxa"/>
            <w:shd w:val="clear" w:color="auto" w:fill="FFFFFF" w:themeFill="background1"/>
          </w:tcPr>
          <w:p w14:paraId="14900F96" w14:textId="12B5865D"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75B2A9E2"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0D99891E"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0D5684AC" w14:textId="562E0CF4" w:rsidTr="00962413">
        <w:trPr>
          <w:jc w:val="center"/>
        </w:trPr>
        <w:tc>
          <w:tcPr>
            <w:tcW w:w="684" w:type="dxa"/>
            <w:shd w:val="clear" w:color="auto" w:fill="FFFFFF" w:themeFill="background1"/>
          </w:tcPr>
          <w:p w14:paraId="3CF8DCAD" w14:textId="03650C97"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1</w:t>
            </w:r>
            <w:r w:rsidR="00727082" w:rsidRPr="004928D8">
              <w:rPr>
                <w:rFonts w:asciiTheme="minorHAnsi" w:hAnsiTheme="minorHAnsi" w:cstheme="minorHAnsi"/>
                <w:szCs w:val="22"/>
              </w:rPr>
              <w:t>6</w:t>
            </w:r>
          </w:p>
        </w:tc>
        <w:tc>
          <w:tcPr>
            <w:tcW w:w="5832" w:type="dxa"/>
            <w:shd w:val="clear" w:color="auto" w:fill="FFFFFF" w:themeFill="background1"/>
          </w:tcPr>
          <w:p w14:paraId="53AF40A8" w14:textId="76ABEEE6"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Tratando-se de atividade de custeio, foi certificada a observância do art. 3º do Decreto 10.193/19?</w:t>
            </w:r>
          </w:p>
        </w:tc>
        <w:tc>
          <w:tcPr>
            <w:tcW w:w="1276" w:type="dxa"/>
            <w:shd w:val="clear" w:color="auto" w:fill="FFFFFF" w:themeFill="background1"/>
          </w:tcPr>
          <w:p w14:paraId="05504873" w14:textId="2547F91C"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73F807F7"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3FB3CA4D"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7D1ABE65" w14:textId="0B552E59" w:rsidTr="00962413">
        <w:trPr>
          <w:jc w:val="center"/>
        </w:trPr>
        <w:tc>
          <w:tcPr>
            <w:tcW w:w="684" w:type="dxa"/>
            <w:shd w:val="clear" w:color="auto" w:fill="FFFFFF" w:themeFill="background1"/>
          </w:tcPr>
          <w:p w14:paraId="7483F839" w14:textId="1874AC32" w:rsidR="00962413" w:rsidRPr="004928D8" w:rsidRDefault="00727082"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17</w:t>
            </w:r>
          </w:p>
        </w:tc>
        <w:tc>
          <w:tcPr>
            <w:tcW w:w="5832" w:type="dxa"/>
            <w:shd w:val="clear" w:color="auto" w:fill="FFFFFF" w:themeFill="background1"/>
          </w:tcPr>
          <w:p w14:paraId="6B6FC3D3" w14:textId="1B67D8A4"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Consta dos autos certificação acompanhada de comprovação de que o contratado preenche os requisitos de habilitação e de qualificação mínima necessários?</w:t>
            </w:r>
          </w:p>
        </w:tc>
        <w:tc>
          <w:tcPr>
            <w:tcW w:w="1276" w:type="dxa"/>
            <w:shd w:val="clear" w:color="auto" w:fill="FFFFFF" w:themeFill="background1"/>
          </w:tcPr>
          <w:p w14:paraId="39B85689" w14:textId="5CB27AA0"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6FDC9A5C"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5DDFBDEF"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454E9A98" w14:textId="728EDD92" w:rsidTr="00962413">
        <w:trPr>
          <w:jc w:val="center"/>
        </w:trPr>
        <w:tc>
          <w:tcPr>
            <w:tcW w:w="684" w:type="dxa"/>
            <w:shd w:val="clear" w:color="auto" w:fill="FFFFFF" w:themeFill="background1"/>
          </w:tcPr>
          <w:p w14:paraId="1499D5D2" w14:textId="0EE04CCE" w:rsidR="00962413" w:rsidRPr="004928D8" w:rsidRDefault="00727082"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18</w:t>
            </w:r>
          </w:p>
        </w:tc>
        <w:tc>
          <w:tcPr>
            <w:tcW w:w="5832" w:type="dxa"/>
            <w:shd w:val="clear" w:color="auto" w:fill="FFFFFF" w:themeFill="background1"/>
          </w:tcPr>
          <w:p w14:paraId="71B923DE" w14:textId="681CF035"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Houve a autorização da autoridade competente?</w:t>
            </w:r>
          </w:p>
        </w:tc>
        <w:tc>
          <w:tcPr>
            <w:tcW w:w="1276" w:type="dxa"/>
            <w:shd w:val="clear" w:color="auto" w:fill="FFFFFF" w:themeFill="background1"/>
          </w:tcPr>
          <w:p w14:paraId="66A1F7F4" w14:textId="23AA9DBD"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6EB232AA"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6DD72777"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4674A480" w14:textId="30039B09" w:rsidTr="00962413">
        <w:trPr>
          <w:jc w:val="center"/>
        </w:trPr>
        <w:tc>
          <w:tcPr>
            <w:tcW w:w="684" w:type="dxa"/>
            <w:shd w:val="clear" w:color="auto" w:fill="FFFFFF" w:themeFill="background1"/>
          </w:tcPr>
          <w:p w14:paraId="4744D6EE" w14:textId="568B24CE" w:rsidR="00962413" w:rsidRPr="004928D8" w:rsidRDefault="00727082"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lastRenderedPageBreak/>
              <w:t>19</w:t>
            </w:r>
          </w:p>
        </w:tc>
        <w:tc>
          <w:tcPr>
            <w:tcW w:w="5832" w:type="dxa"/>
            <w:shd w:val="clear" w:color="auto" w:fill="FFFFFF" w:themeFill="background1"/>
          </w:tcPr>
          <w:p w14:paraId="3F1B2F7F" w14:textId="1410100F"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Consta manifestação técnica justificando o enquadramento da contratação expressamente nas hipóteses do art. 75 da Lei 14133/21?</w:t>
            </w:r>
          </w:p>
        </w:tc>
        <w:tc>
          <w:tcPr>
            <w:tcW w:w="1276" w:type="dxa"/>
            <w:shd w:val="clear" w:color="auto" w:fill="FFFFFF" w:themeFill="background1"/>
          </w:tcPr>
          <w:p w14:paraId="10FA0324"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6257340C"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155F86D5"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4352FF5B" w14:textId="0CC455B3" w:rsidTr="00962413">
        <w:trPr>
          <w:jc w:val="center"/>
        </w:trPr>
        <w:tc>
          <w:tcPr>
            <w:tcW w:w="684" w:type="dxa"/>
            <w:shd w:val="clear" w:color="auto" w:fill="FFFFFF" w:themeFill="background1"/>
          </w:tcPr>
          <w:p w14:paraId="21FE02C4" w14:textId="00A49518"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2</w:t>
            </w:r>
            <w:r w:rsidR="00727082" w:rsidRPr="004928D8">
              <w:rPr>
                <w:rFonts w:asciiTheme="minorHAnsi" w:hAnsiTheme="minorHAnsi" w:cstheme="minorHAnsi"/>
                <w:szCs w:val="22"/>
              </w:rPr>
              <w:t>0</w:t>
            </w:r>
          </w:p>
        </w:tc>
        <w:tc>
          <w:tcPr>
            <w:tcW w:w="5832" w:type="dxa"/>
            <w:shd w:val="clear" w:color="auto" w:fill="FFFFFF" w:themeFill="background1"/>
          </w:tcPr>
          <w:p w14:paraId="19010DAD" w14:textId="18C9BD85"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Consta justificativa do preço baseada em pesquisa ou certificação de que a estimativa ocorrerá concomitantemente com a seleção da proposta mais vantajosa, tudo em conformidade com a Instrução Normativa nº 65/2021?</w:t>
            </w:r>
          </w:p>
        </w:tc>
        <w:tc>
          <w:tcPr>
            <w:tcW w:w="1276" w:type="dxa"/>
            <w:shd w:val="clear" w:color="auto" w:fill="FFFFFF" w:themeFill="background1"/>
          </w:tcPr>
          <w:p w14:paraId="5876586C"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4F2B1860"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63186FF8"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31DC6822" w14:textId="3B8C62EC" w:rsidTr="00962413">
        <w:trPr>
          <w:jc w:val="center"/>
        </w:trPr>
        <w:tc>
          <w:tcPr>
            <w:tcW w:w="684" w:type="dxa"/>
            <w:shd w:val="clear" w:color="auto" w:fill="FFFFFF" w:themeFill="background1"/>
          </w:tcPr>
          <w:p w14:paraId="6FC56CB5" w14:textId="067F8B80"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2</w:t>
            </w:r>
            <w:r w:rsidR="00727082" w:rsidRPr="004928D8">
              <w:rPr>
                <w:rFonts w:asciiTheme="minorHAnsi" w:hAnsiTheme="minorHAnsi" w:cstheme="minorHAnsi"/>
                <w:szCs w:val="22"/>
              </w:rPr>
              <w:t>0</w:t>
            </w:r>
            <w:r w:rsidRPr="004928D8">
              <w:rPr>
                <w:rFonts w:asciiTheme="minorHAnsi" w:hAnsiTheme="minorHAnsi" w:cstheme="minorHAnsi"/>
                <w:szCs w:val="22"/>
              </w:rPr>
              <w:t>.1</w:t>
            </w:r>
          </w:p>
        </w:tc>
        <w:tc>
          <w:tcPr>
            <w:tcW w:w="5832" w:type="dxa"/>
            <w:shd w:val="clear" w:color="auto" w:fill="FFFFFF" w:themeFill="background1"/>
          </w:tcPr>
          <w:p w14:paraId="52CF1D68" w14:textId="3CE42E1C"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Tratando-se de situação em que não é possível estimar o valor do objeto na forma estabelecida nos §§ 1º, 2º e 3º do art. 23 da Lei 14133/21, o contratado comprova por algum meio idôneo que os preços estão em conformidade com os praticados em contratações semelhantes de objetos de mesma natureza, tais como notas fiscais emitidas para outros contratantes no período de até 1 (um) ano anterior à data da contratação pela Administração?</w:t>
            </w:r>
          </w:p>
        </w:tc>
        <w:tc>
          <w:tcPr>
            <w:tcW w:w="1276" w:type="dxa"/>
            <w:shd w:val="clear" w:color="auto" w:fill="FFFFFF" w:themeFill="background1"/>
          </w:tcPr>
          <w:p w14:paraId="6EA80EF2"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405256E5"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13BBCBCF"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5C7C76BC" w14:textId="26867009" w:rsidTr="00962413">
        <w:trPr>
          <w:jc w:val="center"/>
        </w:trPr>
        <w:tc>
          <w:tcPr>
            <w:tcW w:w="684" w:type="dxa"/>
            <w:shd w:val="clear" w:color="auto" w:fill="FFFFFF" w:themeFill="background1"/>
          </w:tcPr>
          <w:p w14:paraId="7FB00AB4" w14:textId="11F422D2"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2</w:t>
            </w:r>
            <w:r w:rsidR="00727082" w:rsidRPr="004928D8">
              <w:rPr>
                <w:rFonts w:asciiTheme="minorHAnsi" w:hAnsiTheme="minorHAnsi" w:cstheme="minorHAnsi"/>
                <w:szCs w:val="22"/>
              </w:rPr>
              <w:t>1</w:t>
            </w:r>
          </w:p>
        </w:tc>
        <w:tc>
          <w:tcPr>
            <w:tcW w:w="5832" w:type="dxa"/>
            <w:shd w:val="clear" w:color="auto" w:fill="FFFFFF" w:themeFill="background1"/>
          </w:tcPr>
          <w:p w14:paraId="51020F4F" w14:textId="47ADCFA7"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Tratando-se de dispensa fundada nos incisos I ou II do art. 75 da Lei 14.133/21, foi demonstrado respeito ao limite de valor considerando o somatório do valor da contratação com o valor de outros objetos da mesma natureza contratados pela mesma unidade gestora no mesmo exercício financeiro?</w:t>
            </w:r>
          </w:p>
        </w:tc>
        <w:tc>
          <w:tcPr>
            <w:tcW w:w="1276" w:type="dxa"/>
            <w:shd w:val="clear" w:color="auto" w:fill="FFFFFF" w:themeFill="background1"/>
          </w:tcPr>
          <w:p w14:paraId="5712391E"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7126118E"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0E84C6B7"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21A9735B" w14:textId="16C80BDC" w:rsidTr="00962413">
        <w:trPr>
          <w:jc w:val="center"/>
        </w:trPr>
        <w:tc>
          <w:tcPr>
            <w:tcW w:w="684" w:type="dxa"/>
            <w:shd w:val="clear" w:color="auto" w:fill="FFFFFF" w:themeFill="background1"/>
          </w:tcPr>
          <w:p w14:paraId="13506964" w14:textId="3B666D20"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2</w:t>
            </w:r>
            <w:r w:rsidR="00727082" w:rsidRPr="004928D8">
              <w:rPr>
                <w:rFonts w:asciiTheme="minorHAnsi" w:hAnsiTheme="minorHAnsi" w:cstheme="minorHAnsi"/>
                <w:szCs w:val="22"/>
              </w:rPr>
              <w:t>2</w:t>
            </w:r>
          </w:p>
        </w:tc>
        <w:tc>
          <w:tcPr>
            <w:tcW w:w="5832" w:type="dxa"/>
            <w:shd w:val="clear" w:color="auto" w:fill="FFFFFF" w:themeFill="background1"/>
          </w:tcPr>
          <w:p w14:paraId="2600361E" w14:textId="3010043D"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Tratando-se de dispensa fundada nos incisos I ou II do art. 75 da Lei 14133/21, a autoridade declarou que a contratação será precedida de divulgação de aviso em sítio eletrônico oficial, pelo prazo mínimo de 3 (três) dias úteis, com atendimento da IN SEGES 67/21 para busca da proposta mais vantajosa?</w:t>
            </w:r>
          </w:p>
        </w:tc>
        <w:tc>
          <w:tcPr>
            <w:tcW w:w="1276" w:type="dxa"/>
            <w:shd w:val="clear" w:color="auto" w:fill="FFFFFF" w:themeFill="background1"/>
          </w:tcPr>
          <w:p w14:paraId="7128EF3E"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4A6F0F44"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137BC54D"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57EA53C7" w14:textId="0E4CCE4D" w:rsidTr="00962413">
        <w:trPr>
          <w:jc w:val="center"/>
        </w:trPr>
        <w:tc>
          <w:tcPr>
            <w:tcW w:w="684" w:type="dxa"/>
            <w:shd w:val="clear" w:color="auto" w:fill="FFFFFF" w:themeFill="background1"/>
          </w:tcPr>
          <w:p w14:paraId="6DC4E10D" w14:textId="2452FE99"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2</w:t>
            </w:r>
            <w:r w:rsidR="00727082" w:rsidRPr="004928D8">
              <w:rPr>
                <w:rFonts w:asciiTheme="minorHAnsi" w:hAnsiTheme="minorHAnsi" w:cstheme="minorHAnsi"/>
                <w:szCs w:val="22"/>
              </w:rPr>
              <w:t>3</w:t>
            </w:r>
          </w:p>
        </w:tc>
        <w:tc>
          <w:tcPr>
            <w:tcW w:w="5832" w:type="dxa"/>
            <w:shd w:val="clear" w:color="auto" w:fill="FFFFFF" w:themeFill="background1"/>
          </w:tcPr>
          <w:p w14:paraId="4BD687FC" w14:textId="3CBF55CE"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Tratando-se de dispensa fundada nos incisos I ou II do art. 75 da Lei 14133/21, a contratação será paga por meio de cartão de pagamento e com divulgação do extrato no Portal Nacional de Contratações Públicas (PNCP)?</w:t>
            </w:r>
            <w:r w:rsidR="00044F06" w:rsidRPr="004928D8">
              <w:rPr>
                <w:rFonts w:asciiTheme="minorHAnsi" w:hAnsiTheme="minorHAnsi" w:cstheme="minorHAnsi"/>
                <w:szCs w:val="22"/>
                <w:vertAlign w:val="superscript"/>
              </w:rPr>
              <w:t xml:space="preserve"> </w:t>
            </w:r>
            <w:r w:rsidR="00044F06" w:rsidRPr="004928D8">
              <w:rPr>
                <w:rFonts w:asciiTheme="minorHAnsi" w:hAnsiTheme="minorHAnsi" w:cstheme="minorHAnsi"/>
                <w:szCs w:val="22"/>
                <w:vertAlign w:val="superscript"/>
              </w:rPr>
              <w:endnoteReference w:id="5"/>
            </w:r>
          </w:p>
        </w:tc>
        <w:tc>
          <w:tcPr>
            <w:tcW w:w="1276" w:type="dxa"/>
            <w:shd w:val="clear" w:color="auto" w:fill="FFFFFF" w:themeFill="background1"/>
          </w:tcPr>
          <w:p w14:paraId="002BAB03"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264C4B1D"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339323B5"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37467E08" w14:textId="2ECDB863" w:rsidTr="00962413">
        <w:trPr>
          <w:jc w:val="center"/>
        </w:trPr>
        <w:tc>
          <w:tcPr>
            <w:tcW w:w="684" w:type="dxa"/>
            <w:shd w:val="clear" w:color="auto" w:fill="FFFFFF" w:themeFill="background1"/>
          </w:tcPr>
          <w:p w14:paraId="0CD4EFF5" w14:textId="1ECD8805"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2</w:t>
            </w:r>
            <w:r w:rsidR="00727082" w:rsidRPr="004928D8">
              <w:rPr>
                <w:rFonts w:asciiTheme="minorHAnsi" w:hAnsiTheme="minorHAnsi" w:cstheme="minorHAnsi"/>
                <w:szCs w:val="22"/>
              </w:rPr>
              <w:t>3</w:t>
            </w:r>
            <w:r w:rsidRPr="004928D8">
              <w:rPr>
                <w:rFonts w:asciiTheme="minorHAnsi" w:hAnsiTheme="minorHAnsi" w:cstheme="minorHAnsi"/>
                <w:szCs w:val="22"/>
              </w:rPr>
              <w:t>.1</w:t>
            </w:r>
          </w:p>
        </w:tc>
        <w:tc>
          <w:tcPr>
            <w:tcW w:w="5832" w:type="dxa"/>
            <w:shd w:val="clear" w:color="auto" w:fill="FFFFFF" w:themeFill="background1"/>
          </w:tcPr>
          <w:p w14:paraId="70490AB7" w14:textId="2605396B"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Em caso negativo, houve justificativa para não adoção dessa forma de pagamento?</w:t>
            </w:r>
            <w:r w:rsidRPr="004928D8">
              <w:rPr>
                <w:rStyle w:val="Refdenotadefim"/>
                <w:rFonts w:asciiTheme="minorHAnsi" w:hAnsiTheme="minorHAnsi" w:cstheme="minorHAnsi"/>
                <w:szCs w:val="22"/>
              </w:rPr>
              <w:t xml:space="preserve"> </w:t>
            </w:r>
          </w:p>
        </w:tc>
        <w:tc>
          <w:tcPr>
            <w:tcW w:w="1276" w:type="dxa"/>
            <w:shd w:val="clear" w:color="auto" w:fill="FFFFFF" w:themeFill="background1"/>
          </w:tcPr>
          <w:p w14:paraId="3D2CFAFA"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01A52343"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25277B71"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6A4677A4" w14:textId="76B770D8" w:rsidTr="00962413">
        <w:trPr>
          <w:jc w:val="center"/>
        </w:trPr>
        <w:tc>
          <w:tcPr>
            <w:tcW w:w="684" w:type="dxa"/>
            <w:shd w:val="clear" w:color="auto" w:fill="FFFFFF" w:themeFill="background1"/>
          </w:tcPr>
          <w:p w14:paraId="6D87E5CA" w14:textId="7FB646D2"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2</w:t>
            </w:r>
            <w:r w:rsidR="00044F06" w:rsidRPr="004928D8">
              <w:rPr>
                <w:rFonts w:asciiTheme="minorHAnsi" w:hAnsiTheme="minorHAnsi" w:cstheme="minorHAnsi"/>
                <w:szCs w:val="22"/>
              </w:rPr>
              <w:t>4</w:t>
            </w:r>
          </w:p>
        </w:tc>
        <w:tc>
          <w:tcPr>
            <w:tcW w:w="5832" w:type="dxa"/>
            <w:shd w:val="clear" w:color="auto" w:fill="FFFFFF" w:themeFill="background1"/>
          </w:tcPr>
          <w:p w14:paraId="50634187" w14:textId="5E2E4065"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 xml:space="preserve">Houve observância </w:t>
            </w:r>
            <w:r w:rsidR="00044F06" w:rsidRPr="004928D8">
              <w:rPr>
                <w:rFonts w:asciiTheme="minorHAnsi" w:hAnsiTheme="minorHAnsi" w:cstheme="minorHAnsi"/>
                <w:szCs w:val="22"/>
              </w:rPr>
              <w:t xml:space="preserve">sobre o atendimento </w:t>
            </w:r>
            <w:r w:rsidRPr="004928D8">
              <w:rPr>
                <w:rFonts w:asciiTheme="minorHAnsi" w:hAnsiTheme="minorHAnsi" w:cstheme="minorHAnsi"/>
                <w:szCs w:val="22"/>
              </w:rPr>
              <w:t>do princípio da padronização?</w:t>
            </w:r>
          </w:p>
        </w:tc>
        <w:tc>
          <w:tcPr>
            <w:tcW w:w="1276" w:type="dxa"/>
            <w:shd w:val="clear" w:color="auto" w:fill="FFFFFF" w:themeFill="background1"/>
          </w:tcPr>
          <w:p w14:paraId="0AD5C8F7"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468B54F1"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767103A7"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0DA74042" w14:textId="68A6212A" w:rsidTr="00962413">
        <w:trPr>
          <w:jc w:val="center"/>
        </w:trPr>
        <w:tc>
          <w:tcPr>
            <w:tcW w:w="684" w:type="dxa"/>
            <w:shd w:val="clear" w:color="auto" w:fill="FFFFFF" w:themeFill="background1"/>
          </w:tcPr>
          <w:p w14:paraId="11AFAEC4" w14:textId="21509E12" w:rsidR="00962413" w:rsidRPr="004928D8" w:rsidRDefault="00044F06" w:rsidP="00962413">
            <w:pPr>
              <w:autoSpaceDE w:val="0"/>
              <w:autoSpaceDN w:val="0"/>
              <w:adjustRightInd w:val="0"/>
              <w:jc w:val="both"/>
              <w:rPr>
                <w:rFonts w:asciiTheme="minorHAnsi" w:hAnsiTheme="minorHAnsi" w:cstheme="minorHAnsi"/>
                <w:bCs/>
                <w:szCs w:val="22"/>
              </w:rPr>
            </w:pPr>
            <w:r w:rsidRPr="004928D8">
              <w:rPr>
                <w:rFonts w:asciiTheme="minorHAnsi" w:hAnsiTheme="minorHAnsi" w:cstheme="minorHAnsi"/>
                <w:bCs/>
                <w:szCs w:val="22"/>
              </w:rPr>
              <w:t>25</w:t>
            </w:r>
          </w:p>
        </w:tc>
        <w:tc>
          <w:tcPr>
            <w:tcW w:w="5832" w:type="dxa"/>
            <w:shd w:val="clear" w:color="auto" w:fill="FFFFFF" w:themeFill="background1"/>
          </w:tcPr>
          <w:p w14:paraId="71A19F4E" w14:textId="68853855"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bCs/>
                <w:szCs w:val="22"/>
              </w:rPr>
              <w:t>Consta informação do uso ou justificativa para não utilização de catálogo eletrônico de padronização?</w:t>
            </w:r>
          </w:p>
        </w:tc>
        <w:tc>
          <w:tcPr>
            <w:tcW w:w="1276" w:type="dxa"/>
            <w:shd w:val="clear" w:color="auto" w:fill="FFFFFF" w:themeFill="background1"/>
          </w:tcPr>
          <w:p w14:paraId="60697A48"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4984FB3D"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48534011"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7C30F107" w14:textId="3CCDB706" w:rsidTr="00962413">
        <w:trPr>
          <w:jc w:val="center"/>
        </w:trPr>
        <w:tc>
          <w:tcPr>
            <w:tcW w:w="684" w:type="dxa"/>
            <w:shd w:val="clear" w:color="auto" w:fill="FFFFFF" w:themeFill="background1"/>
          </w:tcPr>
          <w:p w14:paraId="22BD1326" w14:textId="05E42BCA" w:rsidR="00962413" w:rsidRPr="004928D8" w:rsidRDefault="006476B6"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26</w:t>
            </w:r>
          </w:p>
        </w:tc>
        <w:tc>
          <w:tcPr>
            <w:tcW w:w="5832" w:type="dxa"/>
            <w:shd w:val="clear" w:color="auto" w:fill="FFFFFF" w:themeFill="background1"/>
          </w:tcPr>
          <w:p w14:paraId="5D52D531" w14:textId="381D62F4"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 xml:space="preserve">Foi certificado que os serviços a serem contratados se enquadram como as atividades materiais acessórias, instrumentais ou complementares aos assuntos que constituam área de competência legal do órgão ou da entidade? </w:t>
            </w:r>
          </w:p>
        </w:tc>
        <w:tc>
          <w:tcPr>
            <w:tcW w:w="1276" w:type="dxa"/>
            <w:shd w:val="clear" w:color="auto" w:fill="FFFFFF" w:themeFill="background1"/>
          </w:tcPr>
          <w:p w14:paraId="4DC99051"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48B25342"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3AF33BC5"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r w:rsidR="00962413" w:rsidRPr="004928D8" w14:paraId="0E1F7AA8" w14:textId="2048BF32" w:rsidTr="00962413">
        <w:trPr>
          <w:jc w:val="center"/>
        </w:trPr>
        <w:tc>
          <w:tcPr>
            <w:tcW w:w="684" w:type="dxa"/>
            <w:shd w:val="clear" w:color="auto" w:fill="FFFFFF" w:themeFill="background1"/>
          </w:tcPr>
          <w:p w14:paraId="39C2EF5A" w14:textId="4261EA2B" w:rsidR="00962413" w:rsidRPr="004928D8" w:rsidRDefault="006476B6"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27</w:t>
            </w:r>
          </w:p>
        </w:tc>
        <w:tc>
          <w:tcPr>
            <w:tcW w:w="5832" w:type="dxa"/>
            <w:shd w:val="clear" w:color="auto" w:fill="FFFFFF" w:themeFill="background1"/>
          </w:tcPr>
          <w:p w14:paraId="69F7D045" w14:textId="6580338D" w:rsidR="00962413" w:rsidRPr="004928D8" w:rsidRDefault="00962413" w:rsidP="00962413">
            <w:pPr>
              <w:autoSpaceDE w:val="0"/>
              <w:autoSpaceDN w:val="0"/>
              <w:adjustRightInd w:val="0"/>
              <w:jc w:val="both"/>
              <w:rPr>
                <w:rFonts w:asciiTheme="minorHAnsi" w:hAnsiTheme="minorHAnsi" w:cstheme="minorHAnsi"/>
                <w:szCs w:val="22"/>
              </w:rPr>
            </w:pPr>
            <w:r w:rsidRPr="004928D8">
              <w:rPr>
                <w:rFonts w:asciiTheme="minorHAnsi" w:hAnsiTheme="minorHAnsi" w:cstheme="minorHAnsi"/>
                <w:szCs w:val="22"/>
              </w:rPr>
              <w:t>Caso a Administração pretenda contratar mais de uma empresa para a execução do objeto, está atestado nos autos que (i) não há perda de economia de escala, (ii) é possível e conveniente a execução simultânea e (iii) há controle individualizado para a execução de cada contratado?</w:t>
            </w:r>
          </w:p>
        </w:tc>
        <w:tc>
          <w:tcPr>
            <w:tcW w:w="1276" w:type="dxa"/>
            <w:shd w:val="clear" w:color="auto" w:fill="FFFFFF" w:themeFill="background1"/>
          </w:tcPr>
          <w:p w14:paraId="62FDDB34"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850" w:type="dxa"/>
            <w:shd w:val="clear" w:color="auto" w:fill="FFFFFF" w:themeFill="background1"/>
          </w:tcPr>
          <w:p w14:paraId="3FCF488F" w14:textId="77777777" w:rsidR="00962413" w:rsidRPr="004928D8" w:rsidRDefault="00962413" w:rsidP="00962413">
            <w:pPr>
              <w:autoSpaceDE w:val="0"/>
              <w:autoSpaceDN w:val="0"/>
              <w:adjustRightInd w:val="0"/>
              <w:jc w:val="center"/>
              <w:rPr>
                <w:rFonts w:asciiTheme="minorHAnsi" w:hAnsiTheme="minorHAnsi" w:cstheme="minorHAnsi"/>
                <w:szCs w:val="22"/>
              </w:rPr>
            </w:pPr>
          </w:p>
        </w:tc>
        <w:tc>
          <w:tcPr>
            <w:tcW w:w="1094" w:type="dxa"/>
            <w:shd w:val="clear" w:color="auto" w:fill="FFFFFF" w:themeFill="background1"/>
          </w:tcPr>
          <w:p w14:paraId="21DBB7B5" w14:textId="77777777" w:rsidR="00962413" w:rsidRPr="004928D8" w:rsidRDefault="00962413" w:rsidP="00962413">
            <w:pPr>
              <w:autoSpaceDE w:val="0"/>
              <w:autoSpaceDN w:val="0"/>
              <w:adjustRightInd w:val="0"/>
              <w:jc w:val="center"/>
              <w:rPr>
                <w:rFonts w:asciiTheme="minorHAnsi" w:hAnsiTheme="minorHAnsi" w:cstheme="minorHAnsi"/>
                <w:szCs w:val="22"/>
              </w:rPr>
            </w:pPr>
          </w:p>
        </w:tc>
      </w:tr>
    </w:tbl>
    <w:p w14:paraId="727931E0" w14:textId="77777777" w:rsidR="001058F6" w:rsidRPr="009D1EF7" w:rsidRDefault="001058F6" w:rsidP="004928D8">
      <w:pPr>
        <w:spacing w:after="120" w:line="276" w:lineRule="auto"/>
        <w:ind w:right="-15"/>
        <w:rPr>
          <w:rFonts w:asciiTheme="minorHAnsi" w:hAnsiTheme="minorHAnsi" w:cstheme="minorHAnsi"/>
          <w:b/>
          <w:bCs/>
          <w:color w:val="000000"/>
          <w:sz w:val="22"/>
          <w:szCs w:val="22"/>
        </w:rPr>
      </w:pPr>
    </w:p>
    <w:sectPr w:rsidR="001058F6" w:rsidRPr="009D1EF7" w:rsidSect="00317E71">
      <w:headerReference w:type="default" r:id="rId9"/>
      <w:footerReference w:type="default" r:id="rId10"/>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0EDE" w14:textId="77777777" w:rsidR="00615BB1" w:rsidRDefault="00615BB1" w:rsidP="00195787">
      <w:r>
        <w:separator/>
      </w:r>
    </w:p>
  </w:endnote>
  <w:endnote w:type="continuationSeparator" w:id="0">
    <w:p w14:paraId="70FF0B68" w14:textId="77777777" w:rsidR="00615BB1" w:rsidRDefault="00615BB1" w:rsidP="00195787">
      <w:r>
        <w:continuationSeparator/>
      </w:r>
    </w:p>
  </w:endnote>
  <w:endnote w:id="1">
    <w:p w14:paraId="6C1F12C0" w14:textId="1F4D8B97" w:rsidR="00415D1E" w:rsidRPr="004928D8" w:rsidRDefault="00415D1E" w:rsidP="00ED4D4A">
      <w:pPr>
        <w:pStyle w:val="Textodenotadefim"/>
        <w:jc w:val="both"/>
        <w:rPr>
          <w:rFonts w:cstheme="minorHAnsi"/>
        </w:rPr>
      </w:pPr>
      <w:r w:rsidRPr="00F85406">
        <w:rPr>
          <w:rStyle w:val="Refdenotadefim"/>
          <w:sz w:val="22"/>
          <w:szCs w:val="22"/>
        </w:rPr>
        <w:endnoteRef/>
      </w:r>
      <w:r w:rsidRPr="00F85406">
        <w:rPr>
          <w:sz w:val="22"/>
          <w:szCs w:val="22"/>
        </w:rPr>
        <w:t xml:space="preserve"> </w:t>
      </w:r>
      <w:bookmarkStart w:id="0" w:name="_Hlk129363985"/>
      <w:r w:rsidR="00E52734" w:rsidRPr="004928D8">
        <w:rPr>
          <w:rFonts w:cstheme="minorHAnsi"/>
        </w:rPr>
        <w:t>A designação pela autoridade competente para atuação nos procedimentos relativos às contratações diretas no âmbito da UFF consta n</w:t>
      </w:r>
      <w:bookmarkEnd w:id="0"/>
      <w:r w:rsidR="00E52734" w:rsidRPr="004928D8">
        <w:rPr>
          <w:rFonts w:cstheme="minorHAnsi"/>
        </w:rPr>
        <w:t xml:space="preserve">a Portaria UFF nº </w:t>
      </w:r>
      <w:r w:rsidR="00576829" w:rsidRPr="004928D8">
        <w:rPr>
          <w:rFonts w:cstheme="minorHAnsi"/>
        </w:rPr>
        <w:t>68.504</w:t>
      </w:r>
      <w:r w:rsidR="00E52734" w:rsidRPr="004928D8">
        <w:rPr>
          <w:rFonts w:cstheme="minorHAnsi"/>
        </w:rPr>
        <w:t xml:space="preserve">, de </w:t>
      </w:r>
      <w:r w:rsidR="00576829" w:rsidRPr="004928D8">
        <w:rPr>
          <w:rFonts w:cstheme="minorHAnsi"/>
        </w:rPr>
        <w:t>20</w:t>
      </w:r>
      <w:r w:rsidR="00E52734" w:rsidRPr="004928D8">
        <w:rPr>
          <w:rFonts w:cstheme="minorHAnsi"/>
        </w:rPr>
        <w:t xml:space="preserve"> de março de 2023.</w:t>
      </w:r>
    </w:p>
  </w:endnote>
  <w:endnote w:id="2">
    <w:p w14:paraId="429DDD41" w14:textId="77777777" w:rsidR="00D35349" w:rsidRPr="004928D8" w:rsidRDefault="00D35349" w:rsidP="00ED4D4A">
      <w:pPr>
        <w:pStyle w:val="textojustificadorecuoprimeiralinha0"/>
        <w:shd w:val="clear" w:color="auto" w:fill="FFFFFF"/>
        <w:spacing w:before="0" w:beforeAutospacing="0" w:after="0" w:afterAutospacing="0"/>
        <w:jc w:val="both"/>
        <w:textAlignment w:val="baseline"/>
        <w:rPr>
          <w:rFonts w:asciiTheme="minorHAnsi" w:hAnsiTheme="minorHAnsi" w:cstheme="minorHAnsi"/>
          <w:i/>
          <w:iCs/>
          <w:sz w:val="20"/>
          <w:szCs w:val="20"/>
        </w:rPr>
      </w:pPr>
      <w:r w:rsidRPr="004928D8">
        <w:rPr>
          <w:rStyle w:val="Refdenotadefim"/>
          <w:rFonts w:asciiTheme="minorHAnsi" w:eastAsia="MS Gothic" w:hAnsiTheme="minorHAnsi" w:cstheme="minorHAnsi"/>
          <w:sz w:val="20"/>
          <w:szCs w:val="20"/>
        </w:rPr>
        <w:endnoteRef/>
      </w:r>
      <w:r w:rsidRPr="004928D8">
        <w:rPr>
          <w:rFonts w:asciiTheme="minorHAnsi" w:hAnsiTheme="minorHAnsi" w:cstheme="minorHAnsi"/>
          <w:sz w:val="20"/>
          <w:szCs w:val="20"/>
        </w:rPr>
        <w:t xml:space="preserve"> Conforme IN 58/2022/SEGES/ME, </w:t>
      </w:r>
      <w:r w:rsidRPr="004928D8">
        <w:rPr>
          <w:rFonts w:asciiTheme="minorHAnsi" w:hAnsiTheme="minorHAnsi" w:cstheme="minorHAnsi"/>
          <w:b/>
          <w:bCs/>
          <w:i/>
          <w:iCs/>
          <w:sz w:val="20"/>
          <w:szCs w:val="20"/>
        </w:rPr>
        <w:t>“</w:t>
      </w:r>
      <w:r w:rsidRPr="004928D8">
        <w:rPr>
          <w:rFonts w:asciiTheme="minorHAnsi" w:hAnsiTheme="minorHAnsi" w:cstheme="minorHAnsi"/>
          <w:i/>
          <w:iCs/>
          <w:sz w:val="20"/>
          <w:szCs w:val="20"/>
        </w:rPr>
        <w:t>Art. 14. A elaboração do ETP:</w:t>
      </w:r>
    </w:p>
    <w:p w14:paraId="3D3DD60A" w14:textId="77777777" w:rsidR="00D35349" w:rsidRPr="004928D8" w:rsidRDefault="00D35349" w:rsidP="00ED4D4A">
      <w:pPr>
        <w:pStyle w:val="textojustificadorecuoprimeiralinha0"/>
        <w:shd w:val="clear" w:color="auto" w:fill="FFFFFF"/>
        <w:spacing w:before="0" w:beforeAutospacing="0" w:after="0" w:afterAutospacing="0"/>
        <w:jc w:val="both"/>
        <w:textAlignment w:val="baseline"/>
        <w:rPr>
          <w:rFonts w:asciiTheme="minorHAnsi" w:hAnsiTheme="minorHAnsi" w:cstheme="minorHAnsi"/>
          <w:i/>
          <w:iCs/>
          <w:sz w:val="20"/>
          <w:szCs w:val="20"/>
        </w:rPr>
      </w:pPr>
      <w:r w:rsidRPr="004928D8">
        <w:rPr>
          <w:rFonts w:asciiTheme="minorHAnsi" w:hAnsiTheme="minorHAnsi" w:cstheme="minorHAnsi"/>
          <w:i/>
          <w:iCs/>
          <w:sz w:val="20"/>
          <w:szCs w:val="20"/>
        </w:rPr>
        <w:t>I - é facultada nas hipóteses dos incisos I, II, VII e VIII do art. 75 e do § 7º do art. 90 da Lei nº 14.133, de 2021; e</w:t>
      </w:r>
    </w:p>
    <w:p w14:paraId="40B36816" w14:textId="0024AC8D" w:rsidR="00D35349" w:rsidRPr="004928D8" w:rsidRDefault="00D35349" w:rsidP="00ED4D4A">
      <w:pPr>
        <w:pStyle w:val="textojustificadorecuoprimeiralinha0"/>
        <w:shd w:val="clear" w:color="auto" w:fill="FFFFFF"/>
        <w:spacing w:before="0" w:beforeAutospacing="0" w:after="0" w:afterAutospacing="0"/>
        <w:jc w:val="both"/>
        <w:textAlignment w:val="baseline"/>
        <w:rPr>
          <w:rFonts w:asciiTheme="minorHAnsi" w:hAnsiTheme="minorHAnsi" w:cstheme="minorHAnsi"/>
          <w:i/>
          <w:iCs/>
          <w:sz w:val="20"/>
          <w:szCs w:val="20"/>
        </w:rPr>
      </w:pPr>
      <w:r w:rsidRPr="004928D8">
        <w:rPr>
          <w:rFonts w:asciiTheme="minorHAnsi" w:hAnsiTheme="minorHAnsi" w:cstheme="minorHAnsi"/>
          <w:i/>
          <w:iCs/>
          <w:sz w:val="20"/>
          <w:szCs w:val="20"/>
        </w:rPr>
        <w:t>II - é dispensada na hipótese do inciso III do art. 75 da Lei nº 14.133, de 2021, e nos casos de prorrogações dos contratos de serviços e fornecimentos contínuos.”</w:t>
      </w:r>
    </w:p>
    <w:p w14:paraId="359065BF" w14:textId="144070C4" w:rsidR="00ED4D4A" w:rsidRPr="004928D8" w:rsidRDefault="008350F5" w:rsidP="00ED4D4A">
      <w:pPr>
        <w:pStyle w:val="textojustificadorecuoprimeiralinha0"/>
        <w:shd w:val="clear" w:color="auto" w:fill="FFFFFF"/>
        <w:spacing w:before="0" w:beforeAutospacing="0" w:after="0" w:afterAutospacing="0"/>
        <w:jc w:val="both"/>
        <w:textAlignment w:val="baseline"/>
        <w:rPr>
          <w:rFonts w:asciiTheme="minorHAnsi" w:hAnsiTheme="minorHAnsi" w:cstheme="minorHAnsi"/>
          <w:sz w:val="20"/>
          <w:szCs w:val="20"/>
        </w:rPr>
      </w:pPr>
      <w:r w:rsidRPr="004928D8">
        <w:rPr>
          <w:rFonts w:asciiTheme="minorHAnsi" w:hAnsiTheme="minorHAnsi" w:cstheme="minorHAnsi"/>
          <w:sz w:val="20"/>
          <w:szCs w:val="20"/>
        </w:rPr>
        <w:t>Considerando a baixa complexidade e valor envolvido na contratação, entende-se pela inaplicabilidade da exigência.</w:t>
      </w:r>
    </w:p>
  </w:endnote>
  <w:endnote w:id="3">
    <w:p w14:paraId="3C7D7AD3" w14:textId="77777777" w:rsidR="001B3624" w:rsidRPr="004928D8" w:rsidRDefault="001B3624" w:rsidP="00ED4D4A">
      <w:pPr>
        <w:pStyle w:val="textojustificadorecuoprimeiralinha0"/>
        <w:shd w:val="clear" w:color="auto" w:fill="FFFFFF"/>
        <w:spacing w:before="0" w:beforeAutospacing="0" w:after="0" w:afterAutospacing="0"/>
        <w:jc w:val="both"/>
        <w:textAlignment w:val="baseline"/>
        <w:rPr>
          <w:rFonts w:asciiTheme="minorHAnsi" w:hAnsiTheme="minorHAnsi" w:cstheme="minorHAnsi"/>
          <w:i/>
          <w:iCs/>
          <w:sz w:val="20"/>
          <w:szCs w:val="20"/>
        </w:rPr>
      </w:pPr>
      <w:r w:rsidRPr="004928D8">
        <w:rPr>
          <w:rStyle w:val="Refdenotadefim"/>
          <w:rFonts w:asciiTheme="minorHAnsi" w:eastAsia="MS Gothic" w:hAnsiTheme="minorHAnsi" w:cstheme="minorHAnsi"/>
          <w:sz w:val="20"/>
          <w:szCs w:val="20"/>
        </w:rPr>
        <w:endnoteRef/>
      </w:r>
      <w:r w:rsidRPr="004928D8">
        <w:rPr>
          <w:rFonts w:asciiTheme="minorHAnsi" w:hAnsiTheme="minorHAnsi" w:cstheme="minorHAnsi"/>
          <w:sz w:val="20"/>
          <w:szCs w:val="20"/>
        </w:rPr>
        <w:t xml:space="preserve"> Conforme IN 05/2017/SEGES/ME, cuja aplicação foi autorizada para a Lei 14.133 através da IN 98/2022/SEGES/ME,</w:t>
      </w:r>
      <w:r w:rsidRPr="004928D8">
        <w:rPr>
          <w:rFonts w:asciiTheme="minorHAnsi" w:hAnsiTheme="minorHAnsi" w:cstheme="minorHAnsi"/>
          <w:i/>
          <w:iCs/>
          <w:sz w:val="20"/>
          <w:szCs w:val="20"/>
        </w:rPr>
        <w:t xml:space="preserve"> “Art. 20. O Planejamento da Contratação, para cada serviço a ser contratado, consistirá nas seguintes etapas:</w:t>
      </w:r>
    </w:p>
    <w:p w14:paraId="34DDBDE8" w14:textId="77777777" w:rsidR="001B3624" w:rsidRPr="004928D8" w:rsidRDefault="001B3624" w:rsidP="00ED4D4A">
      <w:pPr>
        <w:pStyle w:val="textojustificadorecuoprimeiralinha0"/>
        <w:shd w:val="clear" w:color="auto" w:fill="FFFFFF"/>
        <w:spacing w:before="0" w:beforeAutospacing="0" w:after="0" w:afterAutospacing="0"/>
        <w:jc w:val="both"/>
        <w:textAlignment w:val="baseline"/>
        <w:rPr>
          <w:rFonts w:asciiTheme="minorHAnsi" w:hAnsiTheme="minorHAnsi" w:cstheme="minorHAnsi"/>
          <w:i/>
          <w:iCs/>
          <w:sz w:val="20"/>
          <w:szCs w:val="20"/>
        </w:rPr>
      </w:pPr>
      <w:r w:rsidRPr="004928D8">
        <w:rPr>
          <w:rFonts w:asciiTheme="minorHAnsi" w:hAnsiTheme="minorHAnsi" w:cstheme="minorHAnsi"/>
          <w:i/>
          <w:iCs/>
          <w:sz w:val="20"/>
          <w:szCs w:val="20"/>
        </w:rPr>
        <w:t xml:space="preserve">I - </w:t>
      </w:r>
      <w:r w:rsidRPr="004928D8">
        <w:rPr>
          <w:rFonts w:asciiTheme="minorHAnsi" w:hAnsiTheme="minorHAnsi" w:cstheme="minorHAnsi"/>
          <w:i/>
          <w:iCs/>
          <w:sz w:val="20"/>
          <w:szCs w:val="20"/>
          <w:u w:val="single"/>
        </w:rPr>
        <w:t>Estudos Preliminares</w:t>
      </w:r>
      <w:r w:rsidRPr="004928D8">
        <w:rPr>
          <w:rFonts w:asciiTheme="minorHAnsi" w:hAnsiTheme="minorHAnsi" w:cstheme="minorHAnsi"/>
          <w:i/>
          <w:iCs/>
          <w:sz w:val="20"/>
          <w:szCs w:val="20"/>
        </w:rPr>
        <w:t>;</w:t>
      </w:r>
    </w:p>
    <w:p w14:paraId="39CB2B2C" w14:textId="77777777" w:rsidR="001B3624" w:rsidRPr="004928D8" w:rsidRDefault="001B3624" w:rsidP="00ED4D4A">
      <w:pPr>
        <w:pStyle w:val="textojustificadorecuoprimeiralinha0"/>
        <w:shd w:val="clear" w:color="auto" w:fill="FFFFFF"/>
        <w:spacing w:before="0" w:beforeAutospacing="0" w:after="0" w:afterAutospacing="0"/>
        <w:jc w:val="both"/>
        <w:textAlignment w:val="baseline"/>
        <w:rPr>
          <w:rFonts w:asciiTheme="minorHAnsi" w:hAnsiTheme="minorHAnsi" w:cstheme="minorHAnsi"/>
          <w:i/>
          <w:iCs/>
          <w:sz w:val="20"/>
          <w:szCs w:val="20"/>
        </w:rPr>
      </w:pPr>
      <w:r w:rsidRPr="004928D8">
        <w:rPr>
          <w:rFonts w:asciiTheme="minorHAnsi" w:hAnsiTheme="minorHAnsi" w:cstheme="minorHAnsi"/>
          <w:i/>
          <w:iCs/>
          <w:sz w:val="20"/>
          <w:szCs w:val="20"/>
        </w:rPr>
        <w:t xml:space="preserve">II - </w:t>
      </w:r>
      <w:r w:rsidRPr="004928D8">
        <w:rPr>
          <w:rFonts w:asciiTheme="minorHAnsi" w:hAnsiTheme="minorHAnsi" w:cstheme="minorHAnsi"/>
          <w:i/>
          <w:iCs/>
          <w:sz w:val="20"/>
          <w:szCs w:val="20"/>
          <w:u w:val="single"/>
        </w:rPr>
        <w:t>Gerenciamento de Riscos</w:t>
      </w:r>
      <w:r w:rsidRPr="004928D8">
        <w:rPr>
          <w:rFonts w:asciiTheme="minorHAnsi" w:hAnsiTheme="minorHAnsi" w:cstheme="minorHAnsi"/>
          <w:i/>
          <w:iCs/>
          <w:sz w:val="20"/>
          <w:szCs w:val="20"/>
        </w:rPr>
        <w:t>; e</w:t>
      </w:r>
    </w:p>
    <w:p w14:paraId="4244122C" w14:textId="77777777" w:rsidR="001B3624" w:rsidRPr="004928D8" w:rsidRDefault="001B3624" w:rsidP="00ED4D4A">
      <w:pPr>
        <w:pStyle w:val="textojustificadorecuoprimeiralinha0"/>
        <w:shd w:val="clear" w:color="auto" w:fill="FFFFFF"/>
        <w:spacing w:before="0" w:beforeAutospacing="0" w:after="0" w:afterAutospacing="0"/>
        <w:jc w:val="both"/>
        <w:textAlignment w:val="baseline"/>
        <w:rPr>
          <w:rFonts w:asciiTheme="minorHAnsi" w:hAnsiTheme="minorHAnsi" w:cstheme="minorHAnsi"/>
          <w:i/>
          <w:iCs/>
          <w:sz w:val="20"/>
          <w:szCs w:val="20"/>
        </w:rPr>
      </w:pPr>
      <w:r w:rsidRPr="004928D8">
        <w:rPr>
          <w:rFonts w:asciiTheme="minorHAnsi" w:hAnsiTheme="minorHAnsi" w:cstheme="minorHAnsi"/>
          <w:i/>
          <w:iCs/>
          <w:sz w:val="20"/>
          <w:szCs w:val="20"/>
        </w:rPr>
        <w:t>III - Termo de Referência ou Projeto Básico.</w:t>
      </w:r>
    </w:p>
    <w:p w14:paraId="4879FDFF" w14:textId="77777777" w:rsidR="001B3624" w:rsidRPr="004928D8" w:rsidRDefault="001B3624" w:rsidP="00ED4D4A">
      <w:pPr>
        <w:pStyle w:val="textojustificadorecuoprimeiralinha0"/>
        <w:shd w:val="clear" w:color="auto" w:fill="FFFFFF"/>
        <w:spacing w:before="0" w:beforeAutospacing="0" w:after="0" w:afterAutospacing="0"/>
        <w:jc w:val="both"/>
        <w:textAlignment w:val="baseline"/>
        <w:rPr>
          <w:rFonts w:asciiTheme="minorHAnsi" w:hAnsiTheme="minorHAnsi" w:cstheme="minorHAnsi"/>
          <w:i/>
          <w:iCs/>
          <w:sz w:val="20"/>
          <w:szCs w:val="20"/>
        </w:rPr>
      </w:pPr>
      <w:r w:rsidRPr="004928D8">
        <w:rPr>
          <w:rFonts w:asciiTheme="minorHAnsi" w:hAnsiTheme="minorHAnsi" w:cstheme="minorHAnsi"/>
          <w:i/>
          <w:iCs/>
          <w:sz w:val="20"/>
          <w:szCs w:val="20"/>
        </w:rPr>
        <w:t>§ 1º As situações que ensejam a dispensa ou inexigibilidade da licitação exigem o cumprimento das etapas do Planejamento da Contratação, no que couber.</w:t>
      </w:r>
    </w:p>
    <w:p w14:paraId="0B11FB94" w14:textId="77777777" w:rsidR="001B3624" w:rsidRPr="004928D8" w:rsidRDefault="001B3624" w:rsidP="00ED4D4A">
      <w:pPr>
        <w:pStyle w:val="textojustificadorecuoprimeiralinha0"/>
        <w:shd w:val="clear" w:color="auto" w:fill="FFFFFF"/>
        <w:spacing w:before="0" w:beforeAutospacing="0" w:after="0" w:afterAutospacing="0"/>
        <w:jc w:val="both"/>
        <w:textAlignment w:val="baseline"/>
        <w:rPr>
          <w:rFonts w:asciiTheme="minorHAnsi" w:hAnsiTheme="minorHAnsi" w:cstheme="minorHAnsi"/>
          <w:i/>
          <w:iCs/>
          <w:sz w:val="20"/>
          <w:szCs w:val="20"/>
        </w:rPr>
      </w:pPr>
      <w:r w:rsidRPr="004928D8">
        <w:rPr>
          <w:rFonts w:asciiTheme="minorHAnsi" w:hAnsiTheme="minorHAnsi" w:cstheme="minorHAnsi"/>
          <w:i/>
          <w:iCs/>
          <w:sz w:val="20"/>
          <w:szCs w:val="20"/>
        </w:rPr>
        <w:t>§ 2º Salvo o Gerenciamento de Riscos relacionado à fase de Gestão do Contrato, as etapas I e II do caput ficam dispensadas quando se tratar de:</w:t>
      </w:r>
    </w:p>
    <w:p w14:paraId="4BED0B5F" w14:textId="77777777" w:rsidR="001B3624" w:rsidRPr="004928D8" w:rsidRDefault="001B3624" w:rsidP="00ED4D4A">
      <w:pPr>
        <w:pStyle w:val="textojustificadorecuoprimeiralinha0"/>
        <w:shd w:val="clear" w:color="auto" w:fill="FFFFFF"/>
        <w:spacing w:before="0" w:beforeAutospacing="0" w:after="0" w:afterAutospacing="0"/>
        <w:jc w:val="both"/>
        <w:textAlignment w:val="baseline"/>
        <w:rPr>
          <w:rFonts w:asciiTheme="minorHAnsi" w:hAnsiTheme="minorHAnsi" w:cstheme="minorHAnsi"/>
          <w:i/>
          <w:iCs/>
          <w:sz w:val="20"/>
          <w:szCs w:val="20"/>
        </w:rPr>
      </w:pPr>
      <w:r w:rsidRPr="004928D8">
        <w:rPr>
          <w:rFonts w:asciiTheme="minorHAnsi" w:hAnsiTheme="minorHAnsi" w:cstheme="minorHAnsi"/>
          <w:i/>
          <w:iCs/>
          <w:sz w:val="20"/>
          <w:szCs w:val="20"/>
        </w:rPr>
        <w:t>a) contratações de serviços cujos valores se enquadram nos limites dos incisos I e II do art. 24 da Lei nº 8.666, de 1993; ou</w:t>
      </w:r>
    </w:p>
    <w:p w14:paraId="7A8119ED" w14:textId="316C2AED" w:rsidR="001B3624" w:rsidRPr="004928D8" w:rsidRDefault="001B3624" w:rsidP="00ED4D4A">
      <w:pPr>
        <w:pStyle w:val="Textodenotadefim"/>
        <w:jc w:val="both"/>
        <w:rPr>
          <w:rFonts w:cstheme="minorHAnsi"/>
          <w:i/>
          <w:iCs/>
        </w:rPr>
      </w:pPr>
      <w:r w:rsidRPr="004928D8">
        <w:rPr>
          <w:rFonts w:cstheme="minorHAnsi"/>
          <w:i/>
          <w:iCs/>
        </w:rPr>
        <w:t>b) contratações previstas nos incisos IV e XI do art. 24 da Lei nº 8.666, de 1993.”</w:t>
      </w:r>
    </w:p>
  </w:endnote>
  <w:endnote w:id="4">
    <w:p w14:paraId="165F2C0E" w14:textId="77777777" w:rsidR="00052049" w:rsidRPr="00011726" w:rsidRDefault="00052049" w:rsidP="00052049">
      <w:pPr>
        <w:pStyle w:val="textojustificadorecuoprimeiralinha0"/>
        <w:shd w:val="clear" w:color="auto" w:fill="FFFFFF"/>
        <w:spacing w:before="0" w:beforeAutospacing="0" w:after="0" w:afterAutospacing="0"/>
        <w:jc w:val="both"/>
        <w:textAlignment w:val="baseline"/>
        <w:rPr>
          <w:rFonts w:asciiTheme="minorHAnsi" w:hAnsiTheme="minorHAnsi" w:cstheme="minorHAnsi"/>
          <w:i/>
          <w:iCs/>
          <w:sz w:val="20"/>
          <w:szCs w:val="20"/>
        </w:rPr>
      </w:pPr>
      <w:r w:rsidRPr="00011726">
        <w:rPr>
          <w:rStyle w:val="Refdenotadefim"/>
          <w:rFonts w:asciiTheme="minorHAnsi" w:eastAsia="MS Gothic" w:hAnsiTheme="minorHAnsi" w:cstheme="minorHAnsi"/>
          <w:sz w:val="20"/>
          <w:szCs w:val="20"/>
        </w:rPr>
        <w:endnoteRef/>
      </w:r>
      <w:r w:rsidRPr="00011726">
        <w:rPr>
          <w:rFonts w:asciiTheme="minorHAnsi" w:hAnsiTheme="minorHAnsi" w:cstheme="minorHAnsi"/>
          <w:sz w:val="20"/>
          <w:szCs w:val="20"/>
        </w:rPr>
        <w:t xml:space="preserve"> </w:t>
      </w:r>
      <w:r>
        <w:rPr>
          <w:rFonts w:asciiTheme="minorHAnsi" w:hAnsiTheme="minorHAnsi" w:cstheme="minorHAnsi"/>
          <w:sz w:val="20"/>
          <w:szCs w:val="20"/>
        </w:rPr>
        <w:t>Os</w:t>
      </w:r>
      <w:r w:rsidRPr="00D504BC">
        <w:rPr>
          <w:rFonts w:asciiTheme="minorHAnsi" w:hAnsiTheme="minorHAnsi" w:cstheme="minorHAnsi"/>
          <w:sz w:val="20"/>
          <w:szCs w:val="20"/>
        </w:rPr>
        <w:t xml:space="preserve"> modelo</w:t>
      </w:r>
      <w:r>
        <w:rPr>
          <w:rFonts w:asciiTheme="minorHAnsi" w:hAnsiTheme="minorHAnsi" w:cstheme="minorHAnsi"/>
          <w:sz w:val="20"/>
          <w:szCs w:val="20"/>
        </w:rPr>
        <w:t>s</w:t>
      </w:r>
      <w:r w:rsidRPr="00D504BC">
        <w:rPr>
          <w:rFonts w:asciiTheme="minorHAnsi" w:hAnsiTheme="minorHAnsi" w:cstheme="minorHAnsi"/>
          <w:sz w:val="20"/>
          <w:szCs w:val="20"/>
        </w:rPr>
        <w:t xml:space="preserve"> </w:t>
      </w:r>
      <w:r>
        <w:rPr>
          <w:rFonts w:asciiTheme="minorHAnsi" w:hAnsiTheme="minorHAnsi" w:cstheme="minorHAnsi"/>
          <w:sz w:val="20"/>
          <w:szCs w:val="20"/>
        </w:rPr>
        <w:t xml:space="preserve">formatados e </w:t>
      </w:r>
      <w:r w:rsidRPr="00D504BC">
        <w:rPr>
          <w:rFonts w:asciiTheme="minorHAnsi" w:hAnsiTheme="minorHAnsi" w:cstheme="minorHAnsi"/>
          <w:sz w:val="20"/>
          <w:szCs w:val="20"/>
        </w:rPr>
        <w:t>disponibilizado</w:t>
      </w:r>
      <w:r>
        <w:rPr>
          <w:rFonts w:asciiTheme="minorHAnsi" w:hAnsiTheme="minorHAnsi" w:cstheme="minorHAnsi"/>
          <w:sz w:val="20"/>
          <w:szCs w:val="20"/>
        </w:rPr>
        <w:t>s</w:t>
      </w:r>
      <w:r w:rsidRPr="00D504BC">
        <w:rPr>
          <w:rFonts w:asciiTheme="minorHAnsi" w:hAnsiTheme="minorHAnsi" w:cstheme="minorHAnsi"/>
          <w:sz w:val="20"/>
          <w:szCs w:val="20"/>
        </w:rPr>
        <w:t xml:space="preserve"> pela </w:t>
      </w:r>
      <w:r>
        <w:rPr>
          <w:rFonts w:asciiTheme="minorHAnsi" w:hAnsiTheme="minorHAnsi" w:cstheme="minorHAnsi"/>
          <w:sz w:val="20"/>
          <w:szCs w:val="20"/>
        </w:rPr>
        <w:t xml:space="preserve">UFF para utilização nas contratações diretas </w:t>
      </w:r>
      <w:r w:rsidRPr="00D504BC">
        <w:rPr>
          <w:rFonts w:asciiTheme="minorHAnsi" w:hAnsiTheme="minorHAnsi" w:cstheme="minorHAnsi"/>
          <w:sz w:val="20"/>
          <w:szCs w:val="20"/>
        </w:rPr>
        <w:t>t</w:t>
      </w:r>
      <w:r>
        <w:rPr>
          <w:rFonts w:asciiTheme="minorHAnsi" w:hAnsiTheme="minorHAnsi" w:cstheme="minorHAnsi"/>
          <w:sz w:val="20"/>
          <w:szCs w:val="20"/>
        </w:rPr>
        <w:t>razem</w:t>
      </w:r>
      <w:r w:rsidRPr="00D504BC">
        <w:rPr>
          <w:rFonts w:asciiTheme="minorHAnsi" w:hAnsiTheme="minorHAnsi" w:cstheme="minorHAnsi"/>
          <w:sz w:val="20"/>
          <w:szCs w:val="20"/>
        </w:rPr>
        <w:t xml:space="preserve"> como base os modelos </w:t>
      </w:r>
      <w:r>
        <w:rPr>
          <w:rFonts w:asciiTheme="minorHAnsi" w:hAnsiTheme="minorHAnsi" w:cstheme="minorHAnsi"/>
          <w:sz w:val="20"/>
          <w:szCs w:val="20"/>
        </w:rPr>
        <w:t>padronizados da</w:t>
      </w:r>
      <w:r w:rsidRPr="00D504BC">
        <w:rPr>
          <w:rFonts w:asciiTheme="minorHAnsi" w:hAnsiTheme="minorHAnsi" w:cstheme="minorHAnsi"/>
          <w:sz w:val="20"/>
          <w:szCs w:val="20"/>
        </w:rPr>
        <w:t xml:space="preserve"> </w:t>
      </w:r>
      <w:r>
        <w:rPr>
          <w:rFonts w:asciiTheme="minorHAnsi" w:hAnsiTheme="minorHAnsi" w:cstheme="minorHAnsi"/>
          <w:sz w:val="20"/>
          <w:szCs w:val="20"/>
        </w:rPr>
        <w:t>AGU. Porém, visando melhor adequação à operacionalização interna, seu escopo foi adaptado,</w:t>
      </w:r>
      <w:r w:rsidRPr="00D504BC">
        <w:rPr>
          <w:rFonts w:asciiTheme="minorHAnsi" w:hAnsiTheme="minorHAnsi" w:cstheme="minorHAnsi"/>
          <w:sz w:val="20"/>
          <w:szCs w:val="20"/>
        </w:rPr>
        <w:t xml:space="preserve"> concentrando no T</w:t>
      </w:r>
      <w:r>
        <w:rPr>
          <w:rFonts w:asciiTheme="minorHAnsi" w:hAnsiTheme="minorHAnsi" w:cstheme="minorHAnsi"/>
          <w:sz w:val="20"/>
          <w:szCs w:val="20"/>
        </w:rPr>
        <w:t xml:space="preserve">ermo de </w:t>
      </w:r>
      <w:r w:rsidRPr="00D504BC">
        <w:rPr>
          <w:rFonts w:asciiTheme="minorHAnsi" w:hAnsiTheme="minorHAnsi" w:cstheme="minorHAnsi"/>
          <w:sz w:val="20"/>
          <w:szCs w:val="20"/>
        </w:rPr>
        <w:t>R</w:t>
      </w:r>
      <w:r>
        <w:rPr>
          <w:rFonts w:asciiTheme="minorHAnsi" w:hAnsiTheme="minorHAnsi" w:cstheme="minorHAnsi"/>
          <w:sz w:val="20"/>
          <w:szCs w:val="20"/>
        </w:rPr>
        <w:t>eferência</w:t>
      </w:r>
      <w:r w:rsidRPr="00D504BC">
        <w:rPr>
          <w:rFonts w:asciiTheme="minorHAnsi" w:hAnsiTheme="minorHAnsi" w:cstheme="minorHAnsi"/>
          <w:sz w:val="20"/>
          <w:szCs w:val="20"/>
        </w:rPr>
        <w:t xml:space="preserve"> suas principais definições</w:t>
      </w:r>
      <w:r>
        <w:rPr>
          <w:rFonts w:asciiTheme="minorHAnsi" w:hAnsiTheme="minorHAnsi" w:cstheme="minorHAnsi"/>
          <w:sz w:val="20"/>
          <w:szCs w:val="20"/>
        </w:rPr>
        <w:t>, que passa a contemplar aspectos da minuta de contrato padronizada da AGU e do Anexo I do Aviso de Contratação Direta</w:t>
      </w:r>
      <w:r w:rsidRPr="00D504BC">
        <w:rPr>
          <w:rFonts w:asciiTheme="minorHAnsi" w:hAnsiTheme="minorHAnsi" w:cstheme="minorHAnsi"/>
          <w:sz w:val="20"/>
          <w:szCs w:val="20"/>
        </w:rPr>
        <w:t>, sem prejuízo, no entanto, do teor do conteúdo dos modelos originais</w:t>
      </w:r>
      <w:r>
        <w:rPr>
          <w:rFonts w:asciiTheme="minorHAnsi" w:hAnsiTheme="minorHAnsi" w:cstheme="minorHAnsi"/>
          <w:sz w:val="20"/>
          <w:szCs w:val="20"/>
        </w:rPr>
        <w:t>.</w:t>
      </w:r>
    </w:p>
  </w:endnote>
  <w:endnote w:id="5">
    <w:p w14:paraId="03CBCE8B" w14:textId="56415AEE" w:rsidR="00044F06" w:rsidRPr="004928D8" w:rsidRDefault="00044F06" w:rsidP="00044F06">
      <w:pPr>
        <w:pStyle w:val="textojustificadorecuoprimeiralinha0"/>
        <w:shd w:val="clear" w:color="auto" w:fill="FFFFFF"/>
        <w:spacing w:before="0" w:beforeAutospacing="0" w:after="0" w:afterAutospacing="0"/>
        <w:jc w:val="both"/>
        <w:textAlignment w:val="baseline"/>
        <w:rPr>
          <w:rFonts w:asciiTheme="minorHAnsi" w:hAnsiTheme="minorHAnsi" w:cstheme="minorHAnsi"/>
          <w:i/>
          <w:iCs/>
          <w:sz w:val="20"/>
          <w:szCs w:val="20"/>
        </w:rPr>
      </w:pPr>
      <w:r w:rsidRPr="004928D8">
        <w:rPr>
          <w:rStyle w:val="Refdenotadefim"/>
          <w:rFonts w:asciiTheme="minorHAnsi" w:eastAsia="MS Gothic" w:hAnsiTheme="minorHAnsi" w:cstheme="minorHAnsi"/>
          <w:sz w:val="20"/>
          <w:szCs w:val="20"/>
        </w:rPr>
        <w:endnoteRef/>
      </w:r>
      <w:r w:rsidRPr="004928D8">
        <w:rPr>
          <w:rFonts w:asciiTheme="minorHAnsi" w:hAnsiTheme="minorHAnsi" w:cstheme="minorHAnsi"/>
          <w:sz w:val="20"/>
          <w:szCs w:val="20"/>
        </w:rPr>
        <w:t xml:space="preserve"> Aguardando regulamentação</w:t>
      </w:r>
      <w:r w:rsidR="00162BBF">
        <w:rPr>
          <w:rFonts w:asciiTheme="minorHAnsi" w:hAnsiTheme="minorHAnsi" w:cstheme="minorHAnsi"/>
          <w:sz w:val="20"/>
          <w:szCs w:val="20"/>
        </w:rPr>
        <w:t xml:space="preserve"> UFF</w:t>
      </w:r>
      <w:r w:rsidRPr="004928D8">
        <w:rPr>
          <w:rFonts w:asciiTheme="minorHAnsi" w:hAnsiTheme="minorHAnsi" w:cstheme="minorHAnsi"/>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317E71" w:rsidRDefault="00317E71">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0AE0FA99" w:rsidR="00317E71" w:rsidRPr="007D1C2C" w:rsidRDefault="00317E71"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497095">
      <w:rPr>
        <w:rStyle w:val="Nmerodepgina"/>
        <w:rFonts w:ascii="Verdana" w:eastAsia="MS Gothic" w:hAnsi="Verdana"/>
        <w:noProof/>
        <w:sz w:val="16"/>
        <w:szCs w:val="16"/>
      </w:rPr>
      <w:t>2</w:t>
    </w:r>
    <w:r w:rsidR="002B7D60"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497095">
      <w:rPr>
        <w:rStyle w:val="Nmerodepgina"/>
        <w:rFonts w:ascii="Verdana" w:eastAsia="MS Gothic" w:hAnsi="Verdana"/>
        <w:noProof/>
        <w:sz w:val="16"/>
        <w:szCs w:val="16"/>
      </w:rPr>
      <w:t>2</w:t>
    </w:r>
    <w:r w:rsidR="002B7D60" w:rsidRPr="00901838">
      <w:rPr>
        <w:rStyle w:val="Nmerodepgina"/>
        <w:rFonts w:ascii="Verdana" w:eastAsia="MS Gothic" w:hAnsi="Verdana"/>
        <w:sz w:val="16"/>
        <w:szCs w:val="16"/>
      </w:rPr>
      <w:fldChar w:fldCharType="end"/>
    </w:r>
  </w:p>
  <w:p w14:paraId="49E75F66" w14:textId="77777777" w:rsidR="00317E71" w:rsidRDefault="00317E71">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C82E" w14:textId="77777777" w:rsidR="00615BB1" w:rsidRDefault="00615BB1" w:rsidP="00195787">
      <w:r>
        <w:separator/>
      </w:r>
    </w:p>
  </w:footnote>
  <w:footnote w:type="continuationSeparator" w:id="0">
    <w:p w14:paraId="4E510858" w14:textId="77777777" w:rsidR="00615BB1" w:rsidRDefault="00615BB1"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317E71" w:rsidRDefault="00317E71" w:rsidP="006E4496">
    <w:pPr>
      <w:pStyle w:val="Cabealho"/>
      <w:jc w:val="right"/>
      <w:rPr>
        <w:rFonts w:ascii="Verdana" w:hAnsi="Verdana"/>
        <w:sz w:val="16"/>
        <w:szCs w:val="16"/>
      </w:rPr>
    </w:pPr>
  </w:p>
  <w:p w14:paraId="68ECA8D3" w14:textId="77777777" w:rsidR="00317E71" w:rsidRDefault="00317E71" w:rsidP="006E4496">
    <w:pPr>
      <w:pStyle w:val="Cabealho"/>
      <w:jc w:val="right"/>
      <w:rPr>
        <w:rFonts w:ascii="Verdana" w:hAnsi="Verdana"/>
        <w:sz w:val="16"/>
        <w:szCs w:val="16"/>
      </w:rPr>
    </w:pPr>
  </w:p>
  <w:p w14:paraId="5A15971E" w14:textId="5953C36B" w:rsidR="00317E71" w:rsidRPr="00347E5F" w:rsidRDefault="00317E71" w:rsidP="00EE1BDE">
    <w:pPr>
      <w:pStyle w:val="Cabealho"/>
      <w:rPr>
        <w:rFonts w:ascii="Verdana" w:hAnsi="Verdana"/>
        <w:sz w:val="16"/>
        <w:szCs w:val="16"/>
      </w:rPr>
    </w:pPr>
  </w:p>
  <w:p w14:paraId="09534C64" w14:textId="64DF1AC0" w:rsidR="00317E71" w:rsidRDefault="00317E71"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49739CE"/>
    <w:multiLevelType w:val="multilevel"/>
    <w:tmpl w:val="8F9CBEA0"/>
    <w:lvl w:ilvl="0">
      <w:start w:val="1"/>
      <w:numFmt w:val="decimal"/>
      <w:lvlText w:val="%1."/>
      <w:lvlJc w:val="left"/>
      <w:pPr>
        <w:ind w:left="720" w:hanging="360"/>
      </w:pPr>
      <w:rPr>
        <w:rFonts w:ascii="Arial" w:hAnsi="Arial"/>
        <w:b/>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6"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8"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3"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5AE1F87"/>
    <w:multiLevelType w:val="multilevel"/>
    <w:tmpl w:val="9248510C"/>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b/>
        <w:bCs/>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0"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1"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2"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96162720">
    <w:abstractNumId w:val="32"/>
  </w:num>
  <w:num w:numId="2" w16cid:durableId="1920015206">
    <w:abstractNumId w:val="36"/>
  </w:num>
  <w:num w:numId="3" w16cid:durableId="1156337356">
    <w:abstractNumId w:val="37"/>
  </w:num>
  <w:num w:numId="4" w16cid:durableId="1839536112">
    <w:abstractNumId w:val="30"/>
  </w:num>
  <w:num w:numId="5" w16cid:durableId="720397007">
    <w:abstractNumId w:val="25"/>
  </w:num>
  <w:num w:numId="6" w16cid:durableId="17105679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7374873">
    <w:abstractNumId w:val="29"/>
  </w:num>
  <w:num w:numId="8" w16cid:durableId="1027290514">
    <w:abstractNumId w:val="23"/>
  </w:num>
  <w:num w:numId="9" w16cid:durableId="1642884528">
    <w:abstractNumId w:val="35"/>
  </w:num>
  <w:num w:numId="10" w16cid:durableId="1590693996">
    <w:abstractNumId w:val="41"/>
  </w:num>
  <w:num w:numId="11" w16cid:durableId="579631877">
    <w:abstractNumId w:val="26"/>
  </w:num>
  <w:num w:numId="12" w16cid:durableId="1228999490">
    <w:abstractNumId w:val="21"/>
  </w:num>
  <w:num w:numId="13" w16cid:durableId="193614546">
    <w:abstractNumId w:val="27"/>
  </w:num>
  <w:num w:numId="14" w16cid:durableId="17807113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7161136">
    <w:abstractNumId w:val="1"/>
  </w:num>
  <w:num w:numId="16" w16cid:durableId="619381062">
    <w:abstractNumId w:val="2"/>
  </w:num>
  <w:num w:numId="17" w16cid:durableId="567304603">
    <w:abstractNumId w:val="4"/>
  </w:num>
  <w:num w:numId="18" w16cid:durableId="653067372">
    <w:abstractNumId w:val="5"/>
  </w:num>
  <w:num w:numId="19" w16cid:durableId="1664971550">
    <w:abstractNumId w:val="6"/>
  </w:num>
  <w:num w:numId="20" w16cid:durableId="1341204595">
    <w:abstractNumId w:val="8"/>
  </w:num>
  <w:num w:numId="21" w16cid:durableId="1546331296">
    <w:abstractNumId w:val="10"/>
  </w:num>
  <w:num w:numId="22" w16cid:durableId="1425613895">
    <w:abstractNumId w:val="14"/>
  </w:num>
  <w:num w:numId="23" w16cid:durableId="1170677385">
    <w:abstractNumId w:val="15"/>
  </w:num>
  <w:num w:numId="24" w16cid:durableId="1413354872">
    <w:abstractNumId w:val="17"/>
  </w:num>
  <w:num w:numId="25" w16cid:durableId="192771082">
    <w:abstractNumId w:val="31"/>
  </w:num>
  <w:num w:numId="26" w16cid:durableId="1476946336">
    <w:abstractNumId w:val="43"/>
  </w:num>
  <w:num w:numId="27" w16cid:durableId="367922450">
    <w:abstractNumId w:val="28"/>
  </w:num>
  <w:num w:numId="28" w16cid:durableId="474296939">
    <w:abstractNumId w:val="22"/>
  </w:num>
  <w:num w:numId="29" w16cid:durableId="161089508">
    <w:abstractNumId w:val="42"/>
  </w:num>
  <w:num w:numId="30" w16cid:durableId="2066876592">
    <w:abstractNumId w:val="20"/>
  </w:num>
  <w:num w:numId="31" w16cid:durableId="513614700">
    <w:abstractNumId w:val="33"/>
  </w:num>
  <w:num w:numId="32" w16cid:durableId="205139644">
    <w:abstractNumId w:val="40"/>
  </w:num>
  <w:num w:numId="33" w16cid:durableId="154688598">
    <w:abstractNumId w:val="24"/>
  </w:num>
  <w:num w:numId="34" w16cid:durableId="1857577544">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1159C"/>
    <w:rsid w:val="00025406"/>
    <w:rsid w:val="00040D39"/>
    <w:rsid w:val="000425AB"/>
    <w:rsid w:val="00044F06"/>
    <w:rsid w:val="00052049"/>
    <w:rsid w:val="00054A82"/>
    <w:rsid w:val="00064935"/>
    <w:rsid w:val="000726A2"/>
    <w:rsid w:val="00073A80"/>
    <w:rsid w:val="000A5C63"/>
    <w:rsid w:val="000B5CD5"/>
    <w:rsid w:val="000D13E3"/>
    <w:rsid w:val="000D1838"/>
    <w:rsid w:val="000D2F1F"/>
    <w:rsid w:val="000D62E0"/>
    <w:rsid w:val="000D6EC4"/>
    <w:rsid w:val="000E0BB9"/>
    <w:rsid w:val="000F0145"/>
    <w:rsid w:val="0010119F"/>
    <w:rsid w:val="001058F6"/>
    <w:rsid w:val="001153D6"/>
    <w:rsid w:val="00122A72"/>
    <w:rsid w:val="00131CC6"/>
    <w:rsid w:val="00135786"/>
    <w:rsid w:val="0014109B"/>
    <w:rsid w:val="001571D0"/>
    <w:rsid w:val="00162BBF"/>
    <w:rsid w:val="00163819"/>
    <w:rsid w:val="0016442A"/>
    <w:rsid w:val="0018615A"/>
    <w:rsid w:val="001877DC"/>
    <w:rsid w:val="00187DB6"/>
    <w:rsid w:val="00191B50"/>
    <w:rsid w:val="00194CFD"/>
    <w:rsid w:val="00195787"/>
    <w:rsid w:val="001A6554"/>
    <w:rsid w:val="001B0325"/>
    <w:rsid w:val="001B1BE6"/>
    <w:rsid w:val="001B3624"/>
    <w:rsid w:val="001B3F02"/>
    <w:rsid w:val="001C057B"/>
    <w:rsid w:val="001C5C08"/>
    <w:rsid w:val="001C723F"/>
    <w:rsid w:val="001D0611"/>
    <w:rsid w:val="00210941"/>
    <w:rsid w:val="002154ED"/>
    <w:rsid w:val="00225216"/>
    <w:rsid w:val="00230969"/>
    <w:rsid w:val="00230E72"/>
    <w:rsid w:val="002318EE"/>
    <w:rsid w:val="00242E92"/>
    <w:rsid w:val="002444B6"/>
    <w:rsid w:val="00250645"/>
    <w:rsid w:val="00252014"/>
    <w:rsid w:val="00252EE9"/>
    <w:rsid w:val="0025380C"/>
    <w:rsid w:val="00254F46"/>
    <w:rsid w:val="00266078"/>
    <w:rsid w:val="00275798"/>
    <w:rsid w:val="0027641D"/>
    <w:rsid w:val="00276426"/>
    <w:rsid w:val="002A29F6"/>
    <w:rsid w:val="002A48AB"/>
    <w:rsid w:val="002A62F2"/>
    <w:rsid w:val="002B7D60"/>
    <w:rsid w:val="002D35D6"/>
    <w:rsid w:val="002D7E78"/>
    <w:rsid w:val="002E549D"/>
    <w:rsid w:val="002E7AB5"/>
    <w:rsid w:val="002F4D24"/>
    <w:rsid w:val="002F756A"/>
    <w:rsid w:val="00302BDB"/>
    <w:rsid w:val="00304D62"/>
    <w:rsid w:val="00305D4B"/>
    <w:rsid w:val="00312FEA"/>
    <w:rsid w:val="00313761"/>
    <w:rsid w:val="00313785"/>
    <w:rsid w:val="00315638"/>
    <w:rsid w:val="00316BC6"/>
    <w:rsid w:val="00317E71"/>
    <w:rsid w:val="0032139D"/>
    <w:rsid w:val="00335697"/>
    <w:rsid w:val="003369A6"/>
    <w:rsid w:val="00337554"/>
    <w:rsid w:val="00345DC9"/>
    <w:rsid w:val="003570DA"/>
    <w:rsid w:val="003672F6"/>
    <w:rsid w:val="0037297E"/>
    <w:rsid w:val="003804AE"/>
    <w:rsid w:val="003932BC"/>
    <w:rsid w:val="003A0722"/>
    <w:rsid w:val="003A3EB1"/>
    <w:rsid w:val="003A5295"/>
    <w:rsid w:val="003B11E3"/>
    <w:rsid w:val="003B1F05"/>
    <w:rsid w:val="003D2CA2"/>
    <w:rsid w:val="003D4A95"/>
    <w:rsid w:val="003E4D83"/>
    <w:rsid w:val="003F1825"/>
    <w:rsid w:val="003F3655"/>
    <w:rsid w:val="003F4DBD"/>
    <w:rsid w:val="003F500E"/>
    <w:rsid w:val="00403A10"/>
    <w:rsid w:val="004063C2"/>
    <w:rsid w:val="00414A38"/>
    <w:rsid w:val="00415D1E"/>
    <w:rsid w:val="00416633"/>
    <w:rsid w:val="004174E3"/>
    <w:rsid w:val="00422FE7"/>
    <w:rsid w:val="004251A4"/>
    <w:rsid w:val="0043170D"/>
    <w:rsid w:val="00434F64"/>
    <w:rsid w:val="0044315D"/>
    <w:rsid w:val="0044702E"/>
    <w:rsid w:val="00447BEF"/>
    <w:rsid w:val="00450266"/>
    <w:rsid w:val="004629C6"/>
    <w:rsid w:val="00470A8D"/>
    <w:rsid w:val="004720B9"/>
    <w:rsid w:val="00477A20"/>
    <w:rsid w:val="004852FB"/>
    <w:rsid w:val="004871F1"/>
    <w:rsid w:val="0048745B"/>
    <w:rsid w:val="004922A2"/>
    <w:rsid w:val="004928D8"/>
    <w:rsid w:val="00492F98"/>
    <w:rsid w:val="00494F0A"/>
    <w:rsid w:val="00497095"/>
    <w:rsid w:val="00497259"/>
    <w:rsid w:val="004A1A69"/>
    <w:rsid w:val="004A40F3"/>
    <w:rsid w:val="004A4EE5"/>
    <w:rsid w:val="004B5C84"/>
    <w:rsid w:val="004C1C27"/>
    <w:rsid w:val="004E1CA4"/>
    <w:rsid w:val="004E712D"/>
    <w:rsid w:val="004F240A"/>
    <w:rsid w:val="004F6BA5"/>
    <w:rsid w:val="005006DB"/>
    <w:rsid w:val="00513C95"/>
    <w:rsid w:val="005156AC"/>
    <w:rsid w:val="005262A8"/>
    <w:rsid w:val="00533F3F"/>
    <w:rsid w:val="005503FA"/>
    <w:rsid w:val="00551E42"/>
    <w:rsid w:val="00561155"/>
    <w:rsid w:val="00561513"/>
    <w:rsid w:val="00562A80"/>
    <w:rsid w:val="00576829"/>
    <w:rsid w:val="005807EC"/>
    <w:rsid w:val="005853CE"/>
    <w:rsid w:val="0059206C"/>
    <w:rsid w:val="005A05A1"/>
    <w:rsid w:val="005A0B33"/>
    <w:rsid w:val="005B003B"/>
    <w:rsid w:val="005B345F"/>
    <w:rsid w:val="005B3CB4"/>
    <w:rsid w:val="005C41B6"/>
    <w:rsid w:val="005D7737"/>
    <w:rsid w:val="005F39EB"/>
    <w:rsid w:val="005F6D6E"/>
    <w:rsid w:val="0060038C"/>
    <w:rsid w:val="00602349"/>
    <w:rsid w:val="00603414"/>
    <w:rsid w:val="0061397F"/>
    <w:rsid w:val="006146CF"/>
    <w:rsid w:val="006151BA"/>
    <w:rsid w:val="00615BB1"/>
    <w:rsid w:val="00617698"/>
    <w:rsid w:val="006314E9"/>
    <w:rsid w:val="00640955"/>
    <w:rsid w:val="00642767"/>
    <w:rsid w:val="00645265"/>
    <w:rsid w:val="006466E1"/>
    <w:rsid w:val="006476B6"/>
    <w:rsid w:val="00647DA8"/>
    <w:rsid w:val="00656E9A"/>
    <w:rsid w:val="00661793"/>
    <w:rsid w:val="00667772"/>
    <w:rsid w:val="00670632"/>
    <w:rsid w:val="006723C3"/>
    <w:rsid w:val="006757D3"/>
    <w:rsid w:val="0069429E"/>
    <w:rsid w:val="00697869"/>
    <w:rsid w:val="006A4546"/>
    <w:rsid w:val="006A50FF"/>
    <w:rsid w:val="006B082C"/>
    <w:rsid w:val="006C27E6"/>
    <w:rsid w:val="006D1E32"/>
    <w:rsid w:val="006D546C"/>
    <w:rsid w:val="006E2B79"/>
    <w:rsid w:val="006E4496"/>
    <w:rsid w:val="006E7396"/>
    <w:rsid w:val="006F29AD"/>
    <w:rsid w:val="0070435E"/>
    <w:rsid w:val="00712E04"/>
    <w:rsid w:val="00720609"/>
    <w:rsid w:val="00720AD7"/>
    <w:rsid w:val="0072557C"/>
    <w:rsid w:val="00727082"/>
    <w:rsid w:val="007312B8"/>
    <w:rsid w:val="00737655"/>
    <w:rsid w:val="00737A77"/>
    <w:rsid w:val="0074359C"/>
    <w:rsid w:val="007464EA"/>
    <w:rsid w:val="007465FC"/>
    <w:rsid w:val="00750831"/>
    <w:rsid w:val="007535D5"/>
    <w:rsid w:val="00754691"/>
    <w:rsid w:val="00765AA3"/>
    <w:rsid w:val="00772F28"/>
    <w:rsid w:val="00782642"/>
    <w:rsid w:val="007856B1"/>
    <w:rsid w:val="007861D9"/>
    <w:rsid w:val="00792C4F"/>
    <w:rsid w:val="00792EFD"/>
    <w:rsid w:val="00793F13"/>
    <w:rsid w:val="007A512D"/>
    <w:rsid w:val="007A5A65"/>
    <w:rsid w:val="007B50C0"/>
    <w:rsid w:val="007C0405"/>
    <w:rsid w:val="007D1562"/>
    <w:rsid w:val="007D4F40"/>
    <w:rsid w:val="007D5648"/>
    <w:rsid w:val="007D77AE"/>
    <w:rsid w:val="007E4F4D"/>
    <w:rsid w:val="007E50AD"/>
    <w:rsid w:val="00800F2B"/>
    <w:rsid w:val="00805A7A"/>
    <w:rsid w:val="008065EE"/>
    <w:rsid w:val="008078B0"/>
    <w:rsid w:val="00814931"/>
    <w:rsid w:val="008154F5"/>
    <w:rsid w:val="008227EC"/>
    <w:rsid w:val="00824928"/>
    <w:rsid w:val="008350F5"/>
    <w:rsid w:val="008540D8"/>
    <w:rsid w:val="008566DD"/>
    <w:rsid w:val="00876271"/>
    <w:rsid w:val="00892576"/>
    <w:rsid w:val="008C23FF"/>
    <w:rsid w:val="008C54E4"/>
    <w:rsid w:val="008C6744"/>
    <w:rsid w:val="008F3BD8"/>
    <w:rsid w:val="0090037C"/>
    <w:rsid w:val="009023E5"/>
    <w:rsid w:val="00912689"/>
    <w:rsid w:val="00927311"/>
    <w:rsid w:val="009350A3"/>
    <w:rsid w:val="00937A6A"/>
    <w:rsid w:val="00946A34"/>
    <w:rsid w:val="009502A0"/>
    <w:rsid w:val="00951247"/>
    <w:rsid w:val="00962413"/>
    <w:rsid w:val="00963E40"/>
    <w:rsid w:val="00973203"/>
    <w:rsid w:val="009A4E8F"/>
    <w:rsid w:val="009A60CB"/>
    <w:rsid w:val="009C1A02"/>
    <w:rsid w:val="009D1EF7"/>
    <w:rsid w:val="009E0F1E"/>
    <w:rsid w:val="009E113C"/>
    <w:rsid w:val="009F2EB2"/>
    <w:rsid w:val="00A05241"/>
    <w:rsid w:val="00A0658B"/>
    <w:rsid w:val="00A21E8F"/>
    <w:rsid w:val="00A30A28"/>
    <w:rsid w:val="00A33729"/>
    <w:rsid w:val="00A45504"/>
    <w:rsid w:val="00A50269"/>
    <w:rsid w:val="00A738FA"/>
    <w:rsid w:val="00A85110"/>
    <w:rsid w:val="00A87093"/>
    <w:rsid w:val="00A93E08"/>
    <w:rsid w:val="00A942C3"/>
    <w:rsid w:val="00AB336E"/>
    <w:rsid w:val="00AC3B53"/>
    <w:rsid w:val="00AD321A"/>
    <w:rsid w:val="00AE0A71"/>
    <w:rsid w:val="00AF32BC"/>
    <w:rsid w:val="00AF3581"/>
    <w:rsid w:val="00AF781E"/>
    <w:rsid w:val="00AF7DA7"/>
    <w:rsid w:val="00B525B8"/>
    <w:rsid w:val="00B54C7E"/>
    <w:rsid w:val="00B66F19"/>
    <w:rsid w:val="00B67441"/>
    <w:rsid w:val="00B72EE9"/>
    <w:rsid w:val="00B82EC1"/>
    <w:rsid w:val="00B85C8F"/>
    <w:rsid w:val="00B9643D"/>
    <w:rsid w:val="00BB0870"/>
    <w:rsid w:val="00BB1363"/>
    <w:rsid w:val="00BB598F"/>
    <w:rsid w:val="00BC4F69"/>
    <w:rsid w:val="00BE2F47"/>
    <w:rsid w:val="00BE53BB"/>
    <w:rsid w:val="00BE591B"/>
    <w:rsid w:val="00BF0117"/>
    <w:rsid w:val="00BF4DF9"/>
    <w:rsid w:val="00BF770C"/>
    <w:rsid w:val="00C01D97"/>
    <w:rsid w:val="00C0241D"/>
    <w:rsid w:val="00C107EE"/>
    <w:rsid w:val="00C11C38"/>
    <w:rsid w:val="00C14D92"/>
    <w:rsid w:val="00C154AA"/>
    <w:rsid w:val="00C1654F"/>
    <w:rsid w:val="00C2046E"/>
    <w:rsid w:val="00C30204"/>
    <w:rsid w:val="00C35A99"/>
    <w:rsid w:val="00C433C3"/>
    <w:rsid w:val="00C44CC3"/>
    <w:rsid w:val="00C47C7B"/>
    <w:rsid w:val="00C50DCE"/>
    <w:rsid w:val="00C5395D"/>
    <w:rsid w:val="00C56A92"/>
    <w:rsid w:val="00C7600F"/>
    <w:rsid w:val="00C804D0"/>
    <w:rsid w:val="00C84C76"/>
    <w:rsid w:val="00C93838"/>
    <w:rsid w:val="00C97332"/>
    <w:rsid w:val="00CB5F48"/>
    <w:rsid w:val="00CD2701"/>
    <w:rsid w:val="00CE00C9"/>
    <w:rsid w:val="00CE1A91"/>
    <w:rsid w:val="00CE4C58"/>
    <w:rsid w:val="00CE626C"/>
    <w:rsid w:val="00CE7B83"/>
    <w:rsid w:val="00D03194"/>
    <w:rsid w:val="00D11FB6"/>
    <w:rsid w:val="00D15CE1"/>
    <w:rsid w:val="00D166E7"/>
    <w:rsid w:val="00D20659"/>
    <w:rsid w:val="00D24004"/>
    <w:rsid w:val="00D35349"/>
    <w:rsid w:val="00D40051"/>
    <w:rsid w:val="00D4570A"/>
    <w:rsid w:val="00D52F83"/>
    <w:rsid w:val="00D54DDA"/>
    <w:rsid w:val="00D61488"/>
    <w:rsid w:val="00D717EF"/>
    <w:rsid w:val="00D72CFE"/>
    <w:rsid w:val="00D734D3"/>
    <w:rsid w:val="00D75B74"/>
    <w:rsid w:val="00D7605E"/>
    <w:rsid w:val="00D8087A"/>
    <w:rsid w:val="00D83B02"/>
    <w:rsid w:val="00D8780F"/>
    <w:rsid w:val="00D901EE"/>
    <w:rsid w:val="00D902D6"/>
    <w:rsid w:val="00D945C1"/>
    <w:rsid w:val="00DB435A"/>
    <w:rsid w:val="00DB6F67"/>
    <w:rsid w:val="00DC6924"/>
    <w:rsid w:val="00DD017F"/>
    <w:rsid w:val="00DE596B"/>
    <w:rsid w:val="00DF5E89"/>
    <w:rsid w:val="00DF69A8"/>
    <w:rsid w:val="00E03B99"/>
    <w:rsid w:val="00E1163C"/>
    <w:rsid w:val="00E232C6"/>
    <w:rsid w:val="00E23909"/>
    <w:rsid w:val="00E4199B"/>
    <w:rsid w:val="00E44B0C"/>
    <w:rsid w:val="00E52524"/>
    <w:rsid w:val="00E52734"/>
    <w:rsid w:val="00E578A6"/>
    <w:rsid w:val="00E93651"/>
    <w:rsid w:val="00EA06C5"/>
    <w:rsid w:val="00EB6AF5"/>
    <w:rsid w:val="00EB7F69"/>
    <w:rsid w:val="00EC3A99"/>
    <w:rsid w:val="00ED4D4A"/>
    <w:rsid w:val="00ED4EB4"/>
    <w:rsid w:val="00EE1BDE"/>
    <w:rsid w:val="00EE3867"/>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50D"/>
    <w:rsid w:val="00F9267B"/>
    <w:rsid w:val="00FA11BA"/>
    <w:rsid w:val="00FA37D5"/>
    <w:rsid w:val="00FA6930"/>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character" w:styleId="MenoPendente">
    <w:name w:val="Unresolved Mention"/>
    <w:basedOn w:val="Fontepargpadro"/>
    <w:uiPriority w:val="99"/>
    <w:semiHidden/>
    <w:unhideWhenUsed/>
    <w:rsid w:val="00C97332"/>
    <w:rPr>
      <w:color w:val="605E5C"/>
      <w:shd w:val="clear" w:color="auto" w:fill="E1DFDD"/>
    </w:rPr>
  </w:style>
  <w:style w:type="paragraph" w:styleId="Textodenotadefim">
    <w:name w:val="endnote text"/>
    <w:basedOn w:val="Normal"/>
    <w:link w:val="TextodenotadefimChar"/>
    <w:uiPriority w:val="99"/>
    <w:unhideWhenUsed/>
    <w:rsid w:val="001058F6"/>
    <w:pPr>
      <w:suppressAutoHyphens w:val="0"/>
    </w:pPr>
    <w:rPr>
      <w:rFonts w:asciiTheme="minorHAnsi" w:eastAsiaTheme="minorHAnsi" w:hAnsiTheme="minorHAnsi" w:cstheme="minorBidi"/>
      <w:szCs w:val="20"/>
      <w:lang w:eastAsia="en-US"/>
    </w:rPr>
  </w:style>
  <w:style w:type="character" w:customStyle="1" w:styleId="TextodenotadefimChar">
    <w:name w:val="Texto de nota de fim Char"/>
    <w:basedOn w:val="Fontepargpadro"/>
    <w:link w:val="Textodenotadefim"/>
    <w:uiPriority w:val="99"/>
    <w:rsid w:val="001058F6"/>
    <w:rPr>
      <w:rFonts w:asciiTheme="minorHAnsi" w:eastAsiaTheme="minorHAnsi" w:hAnsiTheme="minorHAnsi" w:cstheme="minorBidi"/>
      <w:lang w:eastAsia="en-US"/>
    </w:rPr>
  </w:style>
  <w:style w:type="character" w:styleId="Refdenotadefim">
    <w:name w:val="endnote reference"/>
    <w:basedOn w:val="Fontepargpadro"/>
    <w:uiPriority w:val="99"/>
    <w:semiHidden/>
    <w:unhideWhenUsed/>
    <w:rsid w:val="001058F6"/>
    <w:rPr>
      <w:vertAlign w:val="superscript"/>
    </w:rPr>
  </w:style>
  <w:style w:type="paragraph" w:customStyle="1" w:styleId="textojustificadorecuoprimeiralinha0">
    <w:name w:val="texto_justificado_recuo_primeira_linha"/>
    <w:basedOn w:val="Normal"/>
    <w:rsid w:val="00415D1E"/>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E6F85-74DF-460A-887C-EC06CE05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705</Words>
  <Characters>3811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CMAT/AD</cp:lastModifiedBy>
  <cp:revision>21</cp:revision>
  <cp:lastPrinted>2020-03-20T14:30:00Z</cp:lastPrinted>
  <dcterms:created xsi:type="dcterms:W3CDTF">2023-02-24T13:27:00Z</dcterms:created>
  <dcterms:modified xsi:type="dcterms:W3CDTF">2023-04-04T22:45:00Z</dcterms:modified>
  <dc:language>pt-BR</dc:language>
</cp:coreProperties>
</file>