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6D546C" w:rsidRDefault="00317E71" w:rsidP="00BE095B">
      <w:pPr>
        <w:pStyle w:val="Ttulo1"/>
        <w:spacing w:line="276" w:lineRule="auto"/>
        <w:ind w:left="1416" w:hanging="1416"/>
        <w:contextualSpacing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BE095B">
      <w:pPr>
        <w:keepNext/>
        <w:keepLines/>
        <w:tabs>
          <w:tab w:val="left" w:pos="6284"/>
        </w:tabs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BE095B">
      <w:pPr>
        <w:pStyle w:val="Ttulo1"/>
        <w:spacing w:before="0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BE095B">
      <w:pPr>
        <w:keepNext/>
        <w:keepLines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42CB2884" w:rsidR="006E4496" w:rsidRDefault="006E4496" w:rsidP="00BE095B">
      <w:pPr>
        <w:keepNext/>
        <w:keepLines/>
        <w:spacing w:after="120" w:line="276" w:lineRule="auto"/>
        <w:ind w:right="-15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035B870" w14:textId="3776431E" w:rsidR="0085067F" w:rsidRDefault="00BE095B" w:rsidP="00BE095B">
      <w:pPr>
        <w:keepNext/>
        <w:keepLines/>
        <w:spacing w:after="105" w:line="259" w:lineRule="auto"/>
        <w:ind w:right="8"/>
        <w:contextualSpacing/>
        <w:jc w:val="center"/>
        <w:rPr>
          <w:color w:val="000000"/>
          <w:sz w:val="22"/>
        </w:rPr>
      </w:pPr>
      <w:r>
        <w:rPr>
          <w:rFonts w:ascii="Calibri" w:eastAsia="Calibri" w:hAnsi="Calibri" w:cs="Calibri"/>
          <w:b/>
          <w:color w:val="000000"/>
          <w:sz w:val="26"/>
        </w:rPr>
        <w:t xml:space="preserve">MODELO </w:t>
      </w:r>
      <w:r w:rsidR="0085067F">
        <w:rPr>
          <w:rFonts w:ascii="Calibri" w:eastAsia="Calibri" w:hAnsi="Calibri" w:cs="Calibri"/>
          <w:b/>
          <w:color w:val="000000"/>
          <w:sz w:val="26"/>
        </w:rPr>
        <w:t xml:space="preserve">ESTUDO TÉCNICO PRELIMINAR DA CONTRATAÇÃO - TIC </w:t>
      </w:r>
    </w:p>
    <w:p w14:paraId="6755EA01" w14:textId="438F8CA7" w:rsidR="00BE546C" w:rsidRPr="00BE095B" w:rsidRDefault="00BE546C" w:rsidP="00BE095B">
      <w:pPr>
        <w:keepNext/>
        <w:keepLines/>
        <w:suppressLineNumbers/>
        <w:spacing w:after="2" w:line="360" w:lineRule="auto"/>
        <w:ind w:left="120" w:right="53"/>
        <w:contextualSpacing/>
        <w:jc w:val="center"/>
        <w:rPr>
          <w:rFonts w:asciiTheme="minorHAnsi" w:hAnsiTheme="minorHAnsi" w:cstheme="minorHAnsi"/>
          <w:bCs/>
          <w:color w:val="FF0000"/>
          <w:sz w:val="22"/>
          <w:szCs w:val="22"/>
          <w:u w:val="single"/>
        </w:rPr>
      </w:pPr>
      <w:r w:rsidRPr="00BE095B">
        <w:rPr>
          <w:rFonts w:asciiTheme="minorHAnsi" w:eastAsia="Calibri" w:hAnsiTheme="minorHAnsi" w:cstheme="minorHAnsi"/>
          <w:bCs/>
          <w:color w:val="FF0000"/>
          <w:sz w:val="22"/>
          <w:szCs w:val="22"/>
          <w:u w:val="single"/>
        </w:rPr>
        <w:t>Orientações Gerais:</w:t>
      </w:r>
    </w:p>
    <w:p w14:paraId="65FF07E5" w14:textId="77777777" w:rsidR="00BE546C" w:rsidRPr="00BE095B" w:rsidRDefault="00BE546C" w:rsidP="00BE095B">
      <w:pPr>
        <w:keepNext/>
        <w:keepLines/>
        <w:suppressLineNumbers/>
        <w:spacing w:after="125" w:line="360" w:lineRule="auto"/>
        <w:ind w:left="130"/>
        <w:contextualSpacing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E095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Este modelo de ETP foi elaborado com base na IN SGD/ME nº 01/2019 c/c a IN SEGES/ME nº 40/2020. </w:t>
      </w:r>
    </w:p>
    <w:p w14:paraId="03DECCBD" w14:textId="77777777" w:rsidR="00BE546C" w:rsidRPr="00BE095B" w:rsidRDefault="00BE546C" w:rsidP="00BE095B">
      <w:pPr>
        <w:keepNext/>
        <w:keepLines/>
        <w:suppressLineNumbers/>
        <w:spacing w:after="127" w:line="360" w:lineRule="auto"/>
        <w:ind w:left="130"/>
        <w:contextualSpacing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E095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 Estudo Técnico Preliminar deve ser realizado pelos Integrantes Técnico e requisitante da Equipe de Planejamento da Contratação. </w:t>
      </w:r>
    </w:p>
    <w:p w14:paraId="15611B65" w14:textId="77777777" w:rsidR="00BE546C" w:rsidRPr="00BE095B" w:rsidRDefault="00BE546C" w:rsidP="00BE095B">
      <w:pPr>
        <w:keepNext/>
        <w:keepLines/>
        <w:suppressLineNumbers/>
        <w:spacing w:after="163" w:line="360" w:lineRule="auto"/>
        <w:ind w:left="130"/>
        <w:contextualSpacing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E095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Para os itens que não se apliquem a contratação, </w:t>
      </w:r>
      <w:r w:rsidRPr="00BE095B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deverá constar justificativa</w:t>
      </w:r>
      <w:r w:rsidRPr="00BE095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</w:t>
      </w:r>
    </w:p>
    <w:p w14:paraId="0CD36DF5" w14:textId="262E164A" w:rsidR="00BE546C" w:rsidRPr="00BE095B" w:rsidRDefault="00BE546C" w:rsidP="00BE095B">
      <w:pPr>
        <w:keepNext/>
        <w:keepLines/>
        <w:suppressLineNumbers/>
        <w:spacing w:after="2" w:line="360" w:lineRule="auto"/>
        <w:ind w:left="120" w:right="4923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119D6E5" w14:textId="77777777" w:rsidR="00BE546C" w:rsidRPr="00BE095B" w:rsidRDefault="00BE546C" w:rsidP="00BE095B">
      <w:pPr>
        <w:keepNext/>
        <w:keepLines/>
        <w:suppressLineNumbers/>
        <w:spacing w:after="2" w:line="360" w:lineRule="auto"/>
        <w:ind w:left="120" w:right="4923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9F1186E" w14:textId="77777777" w:rsidR="00BE546C" w:rsidRPr="00BE095B" w:rsidRDefault="00BE546C" w:rsidP="00BE095B">
      <w:pPr>
        <w:pStyle w:val="PargrafodaLista"/>
        <w:keepNext/>
        <w:keepLines/>
        <w:numPr>
          <w:ilvl w:val="0"/>
          <w:numId w:val="42"/>
        </w:numPr>
        <w:suppressLineNumbers/>
        <w:spacing w:after="2" w:line="360" w:lineRule="auto"/>
        <w:ind w:right="492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095B">
        <w:rPr>
          <w:rFonts w:asciiTheme="minorHAnsi" w:hAnsiTheme="minorHAnsi" w:cstheme="minorHAnsi"/>
          <w:b/>
          <w:sz w:val="22"/>
          <w:szCs w:val="22"/>
        </w:rPr>
        <w:t>INFORMAÇÕES BÁSICAS</w:t>
      </w:r>
    </w:p>
    <w:p w14:paraId="13B5A524" w14:textId="5EA98F73" w:rsidR="0085067F" w:rsidRPr="00BE095B" w:rsidRDefault="0085067F" w:rsidP="00BE095B">
      <w:pPr>
        <w:keepNext/>
        <w:keepLines/>
        <w:suppressLineNumbers/>
        <w:spacing w:after="2" w:line="360" w:lineRule="auto"/>
        <w:ind w:left="120" w:right="4923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095B">
        <w:rPr>
          <w:rFonts w:asciiTheme="minorHAnsi" w:hAnsiTheme="minorHAnsi" w:cstheme="minorHAnsi"/>
          <w:bCs/>
          <w:sz w:val="22"/>
          <w:szCs w:val="22"/>
        </w:rPr>
        <w:t xml:space="preserve">Processo nº </w:t>
      </w:r>
      <w:proofErr w:type="spellStart"/>
      <w:r w:rsidRPr="00BE095B">
        <w:rPr>
          <w:rFonts w:asciiTheme="minorHAnsi" w:hAnsiTheme="minorHAnsi" w:cstheme="minorHAnsi"/>
          <w:bCs/>
          <w:sz w:val="22"/>
          <w:szCs w:val="22"/>
        </w:rPr>
        <w:t>xxxx.xxxxxx</w:t>
      </w:r>
      <w:proofErr w:type="spellEnd"/>
      <w:r w:rsidRPr="00BE095B">
        <w:rPr>
          <w:rFonts w:asciiTheme="minorHAnsi" w:hAnsiTheme="minorHAnsi" w:cstheme="minorHAnsi"/>
          <w:bCs/>
          <w:sz w:val="22"/>
          <w:szCs w:val="22"/>
        </w:rPr>
        <w:t>/</w:t>
      </w:r>
      <w:proofErr w:type="spellStart"/>
      <w:r w:rsidRPr="00BE095B">
        <w:rPr>
          <w:rFonts w:asciiTheme="minorHAnsi" w:hAnsiTheme="minorHAnsi" w:cstheme="minorHAnsi"/>
          <w:bCs/>
          <w:sz w:val="22"/>
          <w:szCs w:val="22"/>
        </w:rPr>
        <w:t>xxxx-xx</w:t>
      </w:r>
      <w:proofErr w:type="spellEnd"/>
      <w:r w:rsidRPr="00BE095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7CE9125" w14:textId="5D6DFC32" w:rsidR="0085067F" w:rsidRPr="00BE095B" w:rsidRDefault="0085067F" w:rsidP="00BE095B">
      <w:pPr>
        <w:pStyle w:val="Ttulo1"/>
        <w:numPr>
          <w:ilvl w:val="0"/>
          <w:numId w:val="42"/>
        </w:numPr>
        <w:suppressLineNumbers/>
        <w:spacing w:line="360" w:lineRule="auto"/>
        <w:contextualSpacing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E095B">
        <w:rPr>
          <w:rFonts w:asciiTheme="minorHAnsi" w:hAnsiTheme="minorHAnsi" w:cstheme="minorHAnsi"/>
          <w:b/>
          <w:color w:val="auto"/>
          <w:sz w:val="22"/>
          <w:szCs w:val="22"/>
        </w:rPr>
        <w:t xml:space="preserve">DESCRIÇÃO DA NECESSIDADE DA CONTRATAÇÃO </w:t>
      </w:r>
    </w:p>
    <w:p w14:paraId="35EA18E4" w14:textId="41B5739A" w:rsidR="0085067F" w:rsidRPr="00BE095B" w:rsidRDefault="00BE095B" w:rsidP="00BE095B">
      <w:pPr>
        <w:pStyle w:val="Ttulo1"/>
        <w:suppressLineNumbers/>
        <w:spacing w:line="360" w:lineRule="auto"/>
        <w:ind w:left="62"/>
        <w:contextualSpacing/>
        <w:jc w:val="both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BE095B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>BREVE ORIENTAÇÃO:</w:t>
      </w:r>
      <w:r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</w:t>
      </w:r>
      <w:r w:rsidR="0085067F" w:rsidRPr="00BE095B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Descrição da necessidade para o órgão, entidade ou determinado público alvo que a contratação se propõe a atender. A descrição necessidade pode ser realizada por meio da declaração da situação problema a ser enfrentada ou da oportunidade de negócio a ser alcançada, incluindo a discriminação do valor a ser entregue à organização ou público alvo.</w:t>
      </w:r>
    </w:p>
    <w:p w14:paraId="43542D86" w14:textId="77777777" w:rsidR="00BE095B" w:rsidRPr="00BE095B" w:rsidRDefault="00BE095B" w:rsidP="00BE095B">
      <w:pPr>
        <w:pStyle w:val="Ttulo1"/>
        <w:numPr>
          <w:ilvl w:val="0"/>
          <w:numId w:val="42"/>
        </w:numPr>
        <w:suppressLineNumbers/>
        <w:spacing w:line="360" w:lineRule="auto"/>
        <w:contextualSpacing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E095B">
        <w:rPr>
          <w:rFonts w:asciiTheme="minorHAnsi" w:hAnsiTheme="minorHAnsi" w:cstheme="minorHAnsi"/>
          <w:b/>
          <w:color w:val="auto"/>
          <w:sz w:val="22"/>
          <w:szCs w:val="22"/>
        </w:rPr>
        <w:t xml:space="preserve">ÁREA REQUISITANTE </w:t>
      </w:r>
    </w:p>
    <w:p w14:paraId="6C3D67B2" w14:textId="77777777" w:rsidR="00BE095B" w:rsidRPr="00BE095B" w:rsidRDefault="00BE095B" w:rsidP="00BE095B">
      <w:pPr>
        <w:keepNext/>
        <w:keepLines/>
        <w:suppressLineNumbers/>
        <w:spacing w:after="163" w:line="360" w:lineRule="auto"/>
        <w:ind w:left="355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B46BF93" w14:textId="3FBF5D06" w:rsidR="0085067F" w:rsidRPr="00BE095B" w:rsidRDefault="0085067F" w:rsidP="00BE095B">
      <w:pPr>
        <w:pStyle w:val="PargrafodaLista"/>
        <w:keepNext/>
        <w:keepLines/>
        <w:numPr>
          <w:ilvl w:val="0"/>
          <w:numId w:val="42"/>
        </w:numPr>
        <w:suppressLineNumbers/>
        <w:spacing w:after="163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095B">
        <w:rPr>
          <w:rFonts w:asciiTheme="minorHAnsi" w:hAnsiTheme="minorHAnsi" w:cstheme="minorHAnsi"/>
          <w:b/>
          <w:sz w:val="22"/>
          <w:szCs w:val="22"/>
        </w:rPr>
        <w:t xml:space="preserve">Necessidades de Negócio </w:t>
      </w:r>
    </w:p>
    <w:p w14:paraId="06ACD4E5" w14:textId="005DF77D" w:rsidR="00BE095B" w:rsidRDefault="00BE095B" w:rsidP="00BE095B">
      <w:pPr>
        <w:keepNext/>
        <w:keepLines/>
        <w:suppressLineNumbers/>
        <w:spacing w:after="163" w:line="360" w:lineRule="auto"/>
        <w:ind w:left="355"/>
        <w:contextualSpacing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BE095B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>BREVE ORIENTAÇÃO:</w:t>
      </w:r>
      <w:r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 xml:space="preserve"> </w:t>
      </w:r>
      <w:r w:rsidR="0085067F" w:rsidRPr="00BE095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Conforme o inciso I, do art. 11, da IN SGD/ME nº 1, de 2019, o órgão demandante deve definir e especificar as necessidades de negócio que a contratação via atender. Essas necessidades podem ser descritas por meio de declarações de metas de negócio, objetivos ou resultados que descrevem o porquê do planejamento da contratação. Essas necessidades podem se aplicar a toda à entidade, a uma área de negócios, a uma iniciativa específica ou a determinado público alvo.</w:t>
      </w:r>
    </w:p>
    <w:p w14:paraId="3B202C7D" w14:textId="2F70091E" w:rsidR="0085067F" w:rsidRPr="00BE095B" w:rsidRDefault="0085067F" w:rsidP="00BE095B">
      <w:pPr>
        <w:keepNext/>
        <w:keepLines/>
        <w:suppressLineNumbers/>
        <w:spacing w:after="163" w:line="360" w:lineRule="auto"/>
        <w:ind w:left="355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095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 definição das necessidades de negócio representa o detalhamento do objeto a ser contratado - O QUE a solução deve prover, independentemente da tecnologia que se empregue ou dos padrões tecnológicos da instituição.</w:t>
      </w:r>
    </w:p>
    <w:p w14:paraId="259594F9" w14:textId="218BA8A5" w:rsidR="0085067F" w:rsidRPr="00BE095B" w:rsidRDefault="0085067F" w:rsidP="00BE095B">
      <w:pPr>
        <w:pStyle w:val="PargrafodaLista"/>
        <w:keepNext/>
        <w:keepLines/>
        <w:numPr>
          <w:ilvl w:val="0"/>
          <w:numId w:val="42"/>
        </w:numPr>
        <w:suppressLineNumbers/>
        <w:spacing w:after="163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095B">
        <w:rPr>
          <w:rFonts w:asciiTheme="minorHAnsi" w:hAnsiTheme="minorHAnsi" w:cstheme="minorHAnsi"/>
          <w:b/>
          <w:sz w:val="22"/>
          <w:szCs w:val="22"/>
        </w:rPr>
        <w:t xml:space="preserve">Necessidades Tecnológicas </w:t>
      </w:r>
    </w:p>
    <w:p w14:paraId="79C953D3" w14:textId="13182F3E" w:rsidR="00BE095B" w:rsidRDefault="00BE095B" w:rsidP="00BE095B">
      <w:pPr>
        <w:keepNext/>
        <w:keepLines/>
        <w:suppressLineNumbers/>
        <w:spacing w:after="163" w:line="360" w:lineRule="auto"/>
        <w:ind w:left="355"/>
        <w:contextualSpacing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BE095B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lastRenderedPageBreak/>
        <w:t>BREVE ORIENTAÇÃO:</w:t>
      </w:r>
      <w:r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 xml:space="preserve"> </w:t>
      </w:r>
      <w:r w:rsidR="0085067F" w:rsidRPr="00BE095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Conforme o inciso I, do art. 11, da IN SGD/ME nº 1, de 2019, o órgão demandante deve definir e especificar as necessidades tecnológicas, aquelas que definem os padrões, metodologias, processos definidos, competências das equipes, cuidados com a segurança da informação, entre outros aspectos, que a solução deve atender para que atinja o desempenho e os resultados esperados.</w:t>
      </w:r>
    </w:p>
    <w:p w14:paraId="00F6B35A" w14:textId="3BA1B140" w:rsidR="00BE095B" w:rsidRDefault="0085067F" w:rsidP="00BE095B">
      <w:pPr>
        <w:keepNext/>
        <w:keepLines/>
        <w:suppressLineNumbers/>
        <w:spacing w:after="163" w:line="360" w:lineRule="auto"/>
        <w:ind w:left="355"/>
        <w:contextualSpacing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BE095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Essas definições são inerentes ao ambiente computacional da organização, envolvem características de sua infraestrutura, capacidade, organização, boas práticas implementadas e decisões que foram tomadas pela área de TIC ao longo dos anos, bem com os projetos para o futuro.</w:t>
      </w:r>
    </w:p>
    <w:p w14:paraId="20FBCE12" w14:textId="711E4317" w:rsidR="0085067F" w:rsidRPr="00BE095B" w:rsidRDefault="00BE095B" w:rsidP="00BE095B">
      <w:pPr>
        <w:pStyle w:val="PargrafodaLista"/>
        <w:keepNext/>
        <w:keepLines/>
        <w:numPr>
          <w:ilvl w:val="0"/>
          <w:numId w:val="42"/>
        </w:numPr>
        <w:suppressLineNumbers/>
        <w:spacing w:after="163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095B">
        <w:rPr>
          <w:rFonts w:asciiTheme="minorHAnsi" w:hAnsiTheme="minorHAnsi" w:cstheme="minorHAnsi"/>
          <w:b/>
          <w:sz w:val="22"/>
          <w:szCs w:val="22"/>
        </w:rPr>
        <w:t xml:space="preserve">DEMAIS REQUISITOS NECESSÁRIOS E SUFICIENTES À ESCOLHA DA SOLUÇÃO DE TIC </w:t>
      </w:r>
    </w:p>
    <w:p w14:paraId="19801FEB" w14:textId="22311EDC" w:rsidR="00BE095B" w:rsidRPr="00BE095B" w:rsidRDefault="00BE095B" w:rsidP="00BE095B">
      <w:pPr>
        <w:keepNext/>
        <w:keepLines/>
        <w:suppressLineNumbers/>
        <w:shd w:val="clear" w:color="auto" w:fill="FFFFFF"/>
        <w:spacing w:line="360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095B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>BREVE ORIENTAÇÃO:</w:t>
      </w:r>
      <w:r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 xml:space="preserve"> </w:t>
      </w:r>
      <w:r w:rsidR="0085067F" w:rsidRPr="0085067F">
        <w:rPr>
          <w:rFonts w:asciiTheme="minorHAnsi" w:hAnsiTheme="minorHAnsi" w:cstheme="minorHAnsi"/>
          <w:bCs/>
          <w:sz w:val="22"/>
          <w:szCs w:val="22"/>
        </w:rPr>
        <w:t>Deve-se descrever todos os requisitos indispensáveis ao atendimento à necessidade de negócio e garantindo-se a economicidade da contratação. Nessa seção pode-se detalhar:</w:t>
      </w:r>
      <w:r w:rsidRPr="00BE095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0446422" w14:textId="77777777" w:rsidR="00BE095B" w:rsidRPr="00BE095B" w:rsidRDefault="0085067F" w:rsidP="00BE095B">
      <w:pPr>
        <w:keepNext/>
        <w:keepLines/>
        <w:suppressLineNumbers/>
        <w:shd w:val="clear" w:color="auto" w:fill="FFFFFF"/>
        <w:spacing w:line="360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067F">
        <w:rPr>
          <w:rFonts w:asciiTheme="minorHAnsi" w:hAnsiTheme="minorHAnsi" w:cstheme="minorHAnsi"/>
          <w:bCs/>
          <w:sz w:val="22"/>
          <w:szCs w:val="22"/>
        </w:rPr>
        <w:br/>
        <w:t>a) os requisitos Internos Funcionais, que são aqueles ligados diretamente às funcionalidades esperadas pela área requisitante e necessárias aos usuários finais, de maneira a atender à necessidade da contratação.</w:t>
      </w:r>
    </w:p>
    <w:p w14:paraId="15A1649D" w14:textId="6AC25865" w:rsidR="00BE095B" w:rsidRPr="00BE095B" w:rsidRDefault="0085067F" w:rsidP="00BE095B">
      <w:pPr>
        <w:keepNext/>
        <w:keepLines/>
        <w:suppressLineNumbers/>
        <w:shd w:val="clear" w:color="auto" w:fill="FFFFFF"/>
        <w:spacing w:line="360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067F">
        <w:rPr>
          <w:rFonts w:asciiTheme="minorHAnsi" w:hAnsiTheme="minorHAnsi" w:cstheme="minorHAnsi"/>
          <w:bCs/>
          <w:sz w:val="22"/>
          <w:szCs w:val="22"/>
        </w:rPr>
        <w:t>b) Requisitos Internos Não Funcionais, que não estão vinculados diretamente à necessidade da contratação (a exemplo de requisitos de disponibilidade, usabilidade, acessibilidade, integridade, segurança) ou ainda relacionado a atendim</w:t>
      </w:r>
      <w:r w:rsidR="00BE095B" w:rsidRPr="00BE095B">
        <w:rPr>
          <w:rFonts w:asciiTheme="minorHAnsi" w:hAnsiTheme="minorHAnsi" w:cstheme="minorHAnsi"/>
          <w:bCs/>
          <w:sz w:val="22"/>
          <w:szCs w:val="22"/>
        </w:rPr>
        <w:t>e</w:t>
      </w:r>
      <w:r w:rsidRPr="0085067F">
        <w:rPr>
          <w:rFonts w:asciiTheme="minorHAnsi" w:hAnsiTheme="minorHAnsi" w:cstheme="minorHAnsi"/>
          <w:bCs/>
          <w:sz w:val="22"/>
          <w:szCs w:val="22"/>
        </w:rPr>
        <w:t>nto a padrões internos da organização.</w:t>
      </w:r>
    </w:p>
    <w:p w14:paraId="465A691F" w14:textId="6B9D9314" w:rsidR="0085067F" w:rsidRPr="0085067F" w:rsidRDefault="0085067F" w:rsidP="00BE095B">
      <w:pPr>
        <w:keepNext/>
        <w:keepLines/>
        <w:suppressLineNumbers/>
        <w:shd w:val="clear" w:color="auto" w:fill="FFFFFF"/>
        <w:spacing w:line="360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067F">
        <w:rPr>
          <w:rFonts w:asciiTheme="minorHAnsi" w:hAnsiTheme="minorHAnsi" w:cstheme="minorHAnsi"/>
          <w:bCs/>
          <w:sz w:val="22"/>
          <w:szCs w:val="22"/>
        </w:rPr>
        <w:t>c) Requisitos Externos, que são os gerados fora da organização, a exemplo de demandas legais, regulatórias e de padronização estabelecidas pelo Governo Federal.</w:t>
      </w:r>
    </w:p>
    <w:p w14:paraId="2FBF8FA0" w14:textId="4A00D84E" w:rsidR="0085067F" w:rsidRPr="00BE095B" w:rsidRDefault="00BE095B" w:rsidP="00BE095B">
      <w:pPr>
        <w:pStyle w:val="Ttulo1"/>
        <w:suppressLineNumbers/>
        <w:spacing w:line="360" w:lineRule="auto"/>
        <w:ind w:left="62"/>
        <w:contextualSpacing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E095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7. </w:t>
      </w:r>
      <w:r w:rsidR="0085067F" w:rsidRPr="00BE095B">
        <w:rPr>
          <w:rFonts w:asciiTheme="minorHAnsi" w:hAnsiTheme="minorHAnsi" w:cstheme="minorHAnsi"/>
          <w:b/>
          <w:color w:val="auto"/>
          <w:sz w:val="22"/>
          <w:szCs w:val="22"/>
        </w:rPr>
        <w:t xml:space="preserve">ESTIMATIVA DA DEMANDA </w:t>
      </w:r>
      <w:r w:rsidR="0085067F" w:rsidRPr="00BE095B">
        <w:rPr>
          <w:rFonts w:asciiTheme="minorHAnsi" w:eastAsia="Calibri" w:hAnsiTheme="minorHAnsi" w:cstheme="minorHAnsi"/>
          <w:b/>
          <w:color w:val="auto"/>
          <w:sz w:val="22"/>
          <w:szCs w:val="22"/>
        </w:rPr>
        <w:t>–</w:t>
      </w:r>
      <w:r w:rsidR="0085067F" w:rsidRPr="00BE095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QUANTIDADE DE BENS E SERVIÇOS  </w:t>
      </w:r>
    </w:p>
    <w:p w14:paraId="63284ABF" w14:textId="4307A27B" w:rsidR="0085067F" w:rsidRPr="00BE095B" w:rsidRDefault="00BE095B" w:rsidP="00BE095B">
      <w:pPr>
        <w:pStyle w:val="Ttulo1"/>
        <w:suppressLineNumbers/>
        <w:spacing w:line="360" w:lineRule="auto"/>
        <w:ind w:left="62"/>
        <w:contextualSpacing/>
        <w:jc w:val="both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BE095B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>BREVE ORIENTAÇÃO:</w:t>
      </w:r>
      <w:r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 xml:space="preserve"> </w:t>
      </w:r>
      <w:r w:rsidR="0085067F" w:rsidRPr="00BE095B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Conforme o inciso I, do art. 11, da IN SGD/ME nº 1, de 2019, o órgão demandante deve descrever de forma detalhada, motivada e justificada, inclusive quanto à forma de cálculo, o quantitativo de bens e serviços necessários para a sua composição. É importante documentar a aplicação do método adotado para o cálculo das estimativas das quantidades dos itens a contratar, explicitando como os cálculos foram feitos (memorial de cálculo).</w:t>
      </w:r>
    </w:p>
    <w:p w14:paraId="07ED79C8" w14:textId="076054F6" w:rsidR="0085067F" w:rsidRPr="00BE095B" w:rsidRDefault="0085067F" w:rsidP="00BE095B">
      <w:pPr>
        <w:pStyle w:val="Ttulo1"/>
        <w:numPr>
          <w:ilvl w:val="0"/>
          <w:numId w:val="43"/>
        </w:numPr>
        <w:suppressLineNumbers/>
        <w:spacing w:line="360" w:lineRule="auto"/>
        <w:contextualSpacing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E095B">
        <w:rPr>
          <w:rFonts w:asciiTheme="minorHAnsi" w:hAnsiTheme="minorHAnsi" w:cstheme="minorHAnsi"/>
          <w:b/>
          <w:color w:val="auto"/>
          <w:sz w:val="22"/>
          <w:szCs w:val="22"/>
        </w:rPr>
        <w:t xml:space="preserve">LEVANTAMENTO </w:t>
      </w:r>
      <w:r w:rsidRPr="00BE095B">
        <w:rPr>
          <w:rFonts w:asciiTheme="minorHAnsi" w:hAnsiTheme="minorHAnsi" w:cstheme="minorHAnsi"/>
          <w:b/>
          <w:color w:val="auto"/>
          <w:sz w:val="22"/>
          <w:szCs w:val="22"/>
        </w:rPr>
        <w:t>DE SOLUÇÕES</w:t>
      </w:r>
      <w:r w:rsidRPr="00BE095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719FA362" w14:textId="77777777" w:rsidR="0085067F" w:rsidRPr="00BE095B" w:rsidRDefault="0085067F" w:rsidP="00BE095B">
      <w:pPr>
        <w:keepNext/>
        <w:keepLines/>
        <w:suppressLineNumbers/>
        <w:spacing w:after="1" w:line="360" w:lineRule="auto"/>
        <w:ind w:left="-5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C6590B9" w14:textId="3C10FCFD" w:rsidR="0085067F" w:rsidRPr="00BE095B" w:rsidRDefault="00BE095B" w:rsidP="00BE095B">
      <w:pPr>
        <w:keepNext/>
        <w:keepLines/>
        <w:suppressLineNumbers/>
        <w:spacing w:after="1" w:line="360" w:lineRule="auto"/>
        <w:ind w:left="-5"/>
        <w:contextualSpacing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BE095B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>BREVE ORIENTAÇÃO:</w:t>
      </w:r>
      <w:r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 xml:space="preserve"> </w:t>
      </w:r>
      <w:r w:rsidR="0085067F" w:rsidRPr="00BE095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Deve-se realizar um levantamento de soluções disponíveis que podem atender à necessidade da contratação para órgão/entidade, considerando as possibilidades descritas abaixo, em alinhamento ao inciso II do art. 11:</w:t>
      </w:r>
    </w:p>
    <w:p w14:paraId="1D932D64" w14:textId="77777777" w:rsidR="0085067F" w:rsidRPr="0085067F" w:rsidRDefault="0085067F" w:rsidP="00BE095B">
      <w:pPr>
        <w:keepNext/>
        <w:keepLines/>
        <w:numPr>
          <w:ilvl w:val="0"/>
          <w:numId w:val="41"/>
        </w:numPr>
        <w:suppressLineNumbers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067F">
        <w:rPr>
          <w:rFonts w:asciiTheme="minorHAnsi" w:hAnsiTheme="minorHAnsi" w:cstheme="minorHAnsi"/>
          <w:bCs/>
          <w:sz w:val="22"/>
          <w:szCs w:val="22"/>
        </w:rPr>
        <w:t>Necessidades similares em outros órgãos ou entidades da Administração Pública e as soluções adotadas;</w:t>
      </w:r>
    </w:p>
    <w:p w14:paraId="324128A6" w14:textId="77777777" w:rsidR="0085067F" w:rsidRPr="0085067F" w:rsidRDefault="0085067F" w:rsidP="00BE095B">
      <w:pPr>
        <w:keepNext/>
        <w:keepLines/>
        <w:numPr>
          <w:ilvl w:val="0"/>
          <w:numId w:val="41"/>
        </w:numPr>
        <w:suppressLineNumbers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067F">
        <w:rPr>
          <w:rFonts w:asciiTheme="minorHAnsi" w:hAnsiTheme="minorHAnsi" w:cstheme="minorHAnsi"/>
          <w:bCs/>
          <w:sz w:val="22"/>
          <w:szCs w:val="22"/>
        </w:rPr>
        <w:t>As alternativas do mercado;</w:t>
      </w:r>
    </w:p>
    <w:p w14:paraId="08C1418C" w14:textId="77777777" w:rsidR="0085067F" w:rsidRPr="0085067F" w:rsidRDefault="0085067F" w:rsidP="00BE095B">
      <w:pPr>
        <w:keepNext/>
        <w:keepLines/>
        <w:numPr>
          <w:ilvl w:val="0"/>
          <w:numId w:val="41"/>
        </w:numPr>
        <w:suppressLineNumbers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067F">
        <w:rPr>
          <w:rFonts w:asciiTheme="minorHAnsi" w:hAnsiTheme="minorHAnsi" w:cstheme="minorHAnsi"/>
          <w:bCs/>
          <w:sz w:val="22"/>
          <w:szCs w:val="22"/>
        </w:rPr>
        <w:t>A existência de software público brasileiro, quando aplicável;</w:t>
      </w:r>
    </w:p>
    <w:p w14:paraId="78FC5825" w14:textId="77777777" w:rsidR="0085067F" w:rsidRPr="0085067F" w:rsidRDefault="0085067F" w:rsidP="00BE095B">
      <w:pPr>
        <w:keepNext/>
        <w:keepLines/>
        <w:numPr>
          <w:ilvl w:val="0"/>
          <w:numId w:val="41"/>
        </w:numPr>
        <w:suppressLineNumbers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067F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As políticas, os modelos e os padrões de governo, a exemplo do </w:t>
      </w:r>
      <w:proofErr w:type="spellStart"/>
      <w:r w:rsidRPr="0085067F">
        <w:rPr>
          <w:rFonts w:asciiTheme="minorHAnsi" w:hAnsiTheme="minorHAnsi" w:cstheme="minorHAnsi"/>
          <w:bCs/>
          <w:sz w:val="22"/>
          <w:szCs w:val="22"/>
        </w:rPr>
        <w:t>ePing</w:t>
      </w:r>
      <w:proofErr w:type="spellEnd"/>
      <w:r w:rsidRPr="0085067F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85067F">
        <w:rPr>
          <w:rFonts w:asciiTheme="minorHAnsi" w:hAnsiTheme="minorHAnsi" w:cstheme="minorHAnsi"/>
          <w:bCs/>
          <w:sz w:val="22"/>
          <w:szCs w:val="22"/>
        </w:rPr>
        <w:t>eMag</w:t>
      </w:r>
      <w:proofErr w:type="spellEnd"/>
      <w:r w:rsidRPr="0085067F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85067F">
        <w:rPr>
          <w:rFonts w:asciiTheme="minorHAnsi" w:hAnsiTheme="minorHAnsi" w:cstheme="minorHAnsi"/>
          <w:bCs/>
          <w:sz w:val="22"/>
          <w:szCs w:val="22"/>
        </w:rPr>
        <w:t>ePwg</w:t>
      </w:r>
      <w:proofErr w:type="spellEnd"/>
      <w:r w:rsidRPr="0085067F">
        <w:rPr>
          <w:rFonts w:asciiTheme="minorHAnsi" w:hAnsiTheme="minorHAnsi" w:cstheme="minorHAnsi"/>
          <w:bCs/>
          <w:sz w:val="22"/>
          <w:szCs w:val="22"/>
        </w:rPr>
        <w:t>, ICP-Brasil e e-ARQ Brasil, quando aplicáveis;</w:t>
      </w:r>
    </w:p>
    <w:p w14:paraId="03CE7DCE" w14:textId="77777777" w:rsidR="0085067F" w:rsidRPr="0085067F" w:rsidRDefault="0085067F" w:rsidP="00BE095B">
      <w:pPr>
        <w:keepNext/>
        <w:keepLines/>
        <w:numPr>
          <w:ilvl w:val="0"/>
          <w:numId w:val="41"/>
        </w:numPr>
        <w:suppressLineNumbers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067F">
        <w:rPr>
          <w:rFonts w:asciiTheme="minorHAnsi" w:hAnsiTheme="minorHAnsi" w:cstheme="minorHAnsi"/>
          <w:bCs/>
          <w:sz w:val="22"/>
          <w:szCs w:val="22"/>
        </w:rPr>
        <w:t xml:space="preserve">As necessidades de adequação do ambiente do órgão ou entidade para viabilizar a execução contratual (exemplo: mobiliário, instalação elétrica, espaço adequado para prestação do serviço, </w:t>
      </w:r>
      <w:proofErr w:type="spellStart"/>
      <w:r w:rsidRPr="0085067F">
        <w:rPr>
          <w:rFonts w:asciiTheme="minorHAnsi" w:hAnsiTheme="minorHAnsi" w:cstheme="minorHAnsi"/>
          <w:bCs/>
          <w:sz w:val="22"/>
          <w:szCs w:val="22"/>
        </w:rPr>
        <w:t>etc</w:t>
      </w:r>
      <w:proofErr w:type="spellEnd"/>
      <w:r w:rsidRPr="0085067F">
        <w:rPr>
          <w:rFonts w:asciiTheme="minorHAnsi" w:hAnsiTheme="minorHAnsi" w:cstheme="minorHAnsi"/>
          <w:bCs/>
          <w:sz w:val="22"/>
          <w:szCs w:val="22"/>
        </w:rPr>
        <w:t>);</w:t>
      </w:r>
    </w:p>
    <w:p w14:paraId="23BCECC7" w14:textId="77777777" w:rsidR="0085067F" w:rsidRPr="0085067F" w:rsidRDefault="0085067F" w:rsidP="00BE095B">
      <w:pPr>
        <w:keepNext/>
        <w:keepLines/>
        <w:numPr>
          <w:ilvl w:val="0"/>
          <w:numId w:val="41"/>
        </w:numPr>
        <w:suppressLineNumbers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067F">
        <w:rPr>
          <w:rFonts w:asciiTheme="minorHAnsi" w:hAnsiTheme="minorHAnsi" w:cstheme="minorHAnsi"/>
          <w:bCs/>
          <w:sz w:val="22"/>
          <w:szCs w:val="22"/>
        </w:rPr>
        <w:t>A possibilidade de aquisição na forma de bens ou contratação como serviço;</w:t>
      </w:r>
    </w:p>
    <w:p w14:paraId="21D456D3" w14:textId="77777777" w:rsidR="0085067F" w:rsidRPr="0085067F" w:rsidRDefault="0085067F" w:rsidP="00BE095B">
      <w:pPr>
        <w:keepNext/>
        <w:keepLines/>
        <w:numPr>
          <w:ilvl w:val="0"/>
          <w:numId w:val="41"/>
        </w:numPr>
        <w:suppressLineNumbers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067F">
        <w:rPr>
          <w:rFonts w:asciiTheme="minorHAnsi" w:hAnsiTheme="minorHAnsi" w:cstheme="minorHAnsi"/>
          <w:bCs/>
          <w:sz w:val="22"/>
          <w:szCs w:val="22"/>
        </w:rPr>
        <w:t>Os diferentes modelos de prestação do serviço;</w:t>
      </w:r>
    </w:p>
    <w:p w14:paraId="6A13AFE5" w14:textId="77777777" w:rsidR="0085067F" w:rsidRPr="0085067F" w:rsidRDefault="0085067F" w:rsidP="00BE095B">
      <w:pPr>
        <w:keepNext/>
        <w:keepLines/>
        <w:numPr>
          <w:ilvl w:val="0"/>
          <w:numId w:val="41"/>
        </w:numPr>
        <w:suppressLineNumbers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067F">
        <w:rPr>
          <w:rFonts w:asciiTheme="minorHAnsi" w:hAnsiTheme="minorHAnsi" w:cstheme="minorHAnsi"/>
          <w:bCs/>
          <w:sz w:val="22"/>
          <w:szCs w:val="22"/>
        </w:rPr>
        <w:t>Os diferentes tipos de soluções em termos de especificação, composição ou características dos bens e serviços integrantes;</w:t>
      </w:r>
    </w:p>
    <w:p w14:paraId="104FDCD4" w14:textId="77777777" w:rsidR="0085067F" w:rsidRPr="0085067F" w:rsidRDefault="0085067F" w:rsidP="00BE095B">
      <w:pPr>
        <w:keepNext/>
        <w:keepLines/>
        <w:numPr>
          <w:ilvl w:val="0"/>
          <w:numId w:val="41"/>
        </w:numPr>
        <w:suppressLineNumbers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067F">
        <w:rPr>
          <w:rFonts w:asciiTheme="minorHAnsi" w:hAnsiTheme="minorHAnsi" w:cstheme="minorHAnsi"/>
          <w:bCs/>
          <w:sz w:val="22"/>
          <w:szCs w:val="22"/>
        </w:rPr>
        <w:t>A ampliação ou substituição da solução implantada;</w:t>
      </w:r>
    </w:p>
    <w:p w14:paraId="62D7756C" w14:textId="77777777" w:rsidR="0085067F" w:rsidRPr="0085067F" w:rsidRDefault="0085067F" w:rsidP="00BE095B">
      <w:pPr>
        <w:keepNext/>
        <w:keepLines/>
        <w:numPr>
          <w:ilvl w:val="0"/>
          <w:numId w:val="41"/>
        </w:numPr>
        <w:suppressLineNumbers/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067F">
        <w:rPr>
          <w:rFonts w:asciiTheme="minorHAnsi" w:hAnsiTheme="minorHAnsi" w:cstheme="minorHAnsi"/>
          <w:bCs/>
          <w:sz w:val="22"/>
          <w:szCs w:val="22"/>
        </w:rPr>
        <w:t>As diferentes métricas de prestação do serviço e de pagamento.</w:t>
      </w:r>
    </w:p>
    <w:p w14:paraId="47FC3A26" w14:textId="227D3824" w:rsidR="0085067F" w:rsidRPr="00BE095B" w:rsidRDefault="0085067F" w:rsidP="00BE095B">
      <w:pPr>
        <w:pStyle w:val="Ttulo1"/>
        <w:numPr>
          <w:ilvl w:val="0"/>
          <w:numId w:val="43"/>
        </w:numPr>
        <w:suppressLineNumbers/>
        <w:spacing w:line="360" w:lineRule="auto"/>
        <w:contextualSpacing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E095B">
        <w:rPr>
          <w:rFonts w:asciiTheme="minorHAnsi" w:hAnsiTheme="minorHAnsi" w:cstheme="minorHAnsi"/>
          <w:b/>
          <w:color w:val="auto"/>
          <w:sz w:val="22"/>
          <w:szCs w:val="22"/>
        </w:rPr>
        <w:t xml:space="preserve">ANÁLISE </w:t>
      </w:r>
      <w:r w:rsidRPr="00BE095B">
        <w:rPr>
          <w:rFonts w:asciiTheme="minorHAnsi" w:hAnsiTheme="minorHAnsi" w:cstheme="minorHAnsi"/>
          <w:b/>
          <w:color w:val="auto"/>
          <w:sz w:val="22"/>
          <w:szCs w:val="22"/>
        </w:rPr>
        <w:t>COMPARATIVA DE SOLUÇÕES</w:t>
      </w:r>
    </w:p>
    <w:p w14:paraId="664FA2B0" w14:textId="3E0DBD7D" w:rsidR="0085067F" w:rsidRPr="00BE095B" w:rsidRDefault="00BE095B" w:rsidP="00BE095B">
      <w:pPr>
        <w:pStyle w:val="Ttulo1"/>
        <w:suppressLineNumbers/>
        <w:spacing w:line="360" w:lineRule="auto"/>
        <w:ind w:left="62"/>
        <w:contextualSpacing/>
        <w:jc w:val="both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BE095B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>BREVE ORIENTAÇÃO:</w:t>
      </w:r>
      <w:r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 xml:space="preserve"> </w:t>
      </w:r>
      <w:r w:rsidR="0085067F" w:rsidRPr="00BE095B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Consiste em uma análise crítica entre as diferentes soluções, considerando o aspecto econômico (TCO) entre as Soluções e os aspectos qualitativos em termos de benefícios para o alcance dos objetivos da contratação.</w:t>
      </w:r>
      <w:r w:rsidR="0085067F" w:rsidRPr="00BE095B"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="0085067F" w:rsidRPr="00BE095B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Além da abordagem quantitativa, uma boa prática para auxiliar nas decisões é desenhar uma matriz qualitativa comparativa, em que cada coluna representa uma solução e cada linha uma dimensão qualitativa a ser avaliada. Nessa matriz cada célula contém uma avaliação qualidade na relação solução </w:t>
      </w:r>
      <w:proofErr w:type="spellStart"/>
      <w:r w:rsidR="0085067F" w:rsidRPr="00BE095B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vs</w:t>
      </w:r>
      <w:proofErr w:type="spellEnd"/>
      <w:r w:rsidR="0085067F" w:rsidRPr="00BE095B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dimensão a ser avaliada.</w:t>
      </w:r>
    </w:p>
    <w:p w14:paraId="42572E01" w14:textId="66679F2C" w:rsidR="00BE546C" w:rsidRPr="00BE095B" w:rsidRDefault="00BE546C" w:rsidP="00BE095B">
      <w:pPr>
        <w:pStyle w:val="Ttulo1"/>
        <w:numPr>
          <w:ilvl w:val="0"/>
          <w:numId w:val="43"/>
        </w:numPr>
        <w:suppressLineNumbers/>
        <w:spacing w:line="360" w:lineRule="auto"/>
        <w:contextualSpacing/>
        <w:jc w:val="both"/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</w:pPr>
      <w:r w:rsidRPr="00BE095B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Registro de soluções consideradas inviáveis</w:t>
      </w:r>
    </w:p>
    <w:p w14:paraId="0FE3F93C" w14:textId="076FDE5F" w:rsidR="00BE546C" w:rsidRPr="00BE095B" w:rsidRDefault="00BE095B" w:rsidP="00BE095B">
      <w:pPr>
        <w:pStyle w:val="Ttulo1"/>
        <w:suppressLineNumbers/>
        <w:spacing w:line="360" w:lineRule="auto"/>
        <w:ind w:left="62"/>
        <w:contextualSpacing/>
        <w:jc w:val="both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BE095B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>BREVE ORIENTAÇÃO:</w:t>
      </w:r>
      <w:r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 xml:space="preserve"> </w:t>
      </w:r>
      <w:r w:rsidR="00BE546C" w:rsidRPr="00BE095B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Conforme § 1º do art. 11, as soluções identificadas e consideradas inviáveis deverão ser registradas no Estudo Técnico Preliminar da Contratação (breve descrição e justificativa), dispensando-se a realização dos respectivos cálculos de custo total de propriedade.</w:t>
      </w:r>
    </w:p>
    <w:p w14:paraId="169E09AA" w14:textId="60DCC5D2" w:rsidR="00BE546C" w:rsidRPr="00BE095B" w:rsidRDefault="00BE546C" w:rsidP="00BE095B">
      <w:pPr>
        <w:pStyle w:val="Ttulo1"/>
        <w:numPr>
          <w:ilvl w:val="0"/>
          <w:numId w:val="43"/>
        </w:numPr>
        <w:suppressLineNumbers/>
        <w:spacing w:line="360" w:lineRule="auto"/>
        <w:contextualSpacing/>
        <w:jc w:val="both"/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</w:pPr>
      <w:r w:rsidRPr="00BE095B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Análise comparativa de custos (TCO)</w:t>
      </w:r>
    </w:p>
    <w:p w14:paraId="135AF61F" w14:textId="048F8CCF" w:rsidR="00BE095B" w:rsidRDefault="00BE095B" w:rsidP="00BE095B">
      <w:pPr>
        <w:pStyle w:val="Ttulo1"/>
        <w:suppressLineNumbers/>
        <w:spacing w:line="360" w:lineRule="auto"/>
        <w:ind w:left="62"/>
        <w:contextualSpacing/>
        <w:jc w:val="both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BE095B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>BREVE ORIENTAÇÃO:</w:t>
      </w:r>
      <w:r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 xml:space="preserve"> </w:t>
      </w:r>
      <w:r w:rsidR="00BE546C" w:rsidRPr="00BE095B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Conforme inciso III do art. 11, deve-se proceder a comparação de custos totais de propriedade para as soluções técnica e funcionalmente viáveis.</w:t>
      </w:r>
    </w:p>
    <w:p w14:paraId="60E124ED" w14:textId="5F92873C" w:rsidR="00BE095B" w:rsidRDefault="00BE546C" w:rsidP="00BE095B">
      <w:pPr>
        <w:pStyle w:val="Ttulo1"/>
        <w:suppressLineNumbers/>
        <w:spacing w:line="360" w:lineRule="auto"/>
        <w:ind w:left="62"/>
        <w:contextualSpacing/>
        <w:jc w:val="both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BE095B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Para cada solução considerada viável deve-se realizar o cálculo do Custo Total de Propriedade, considerando os custos inerentes ao ciclo de vida dos bens e serviços da solução, a exemplo dos valores de aquisição dos ativos, insumos, garantia técnica estendida, manutenção, migração e treinamento.</w:t>
      </w:r>
    </w:p>
    <w:p w14:paraId="270E4868" w14:textId="38527828" w:rsidR="00BE095B" w:rsidRDefault="00BE546C" w:rsidP="00BE095B">
      <w:pPr>
        <w:pStyle w:val="Ttulo1"/>
        <w:suppressLineNumbers/>
        <w:spacing w:line="360" w:lineRule="auto"/>
        <w:contextualSpacing/>
        <w:jc w:val="both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BE095B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Deve-se registrar a memória de cálculo que referencie os preços e os custos utilizados na análise, com vistas a permitir a verificação da origem dos dados.</w:t>
      </w:r>
    </w:p>
    <w:p w14:paraId="0739F6AD" w14:textId="69FC8B2E" w:rsidR="00BE546C" w:rsidRPr="00BE095B" w:rsidRDefault="00BE546C" w:rsidP="00BE095B">
      <w:pPr>
        <w:pStyle w:val="Ttulo1"/>
        <w:suppressLineNumbers/>
        <w:spacing w:line="360" w:lineRule="auto"/>
        <w:ind w:left="62"/>
        <w:contextualSpacing/>
        <w:jc w:val="both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BE095B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A análise comparativa deve ser feita por meio da elaboração de um mapa comparativo, consolidando os resultados apresentados.</w:t>
      </w:r>
    </w:p>
    <w:p w14:paraId="0EF77BF1" w14:textId="2C5F8591" w:rsidR="00BE546C" w:rsidRPr="00BE095B" w:rsidRDefault="00BE546C" w:rsidP="00BE095B">
      <w:pPr>
        <w:pStyle w:val="Ttulo1"/>
        <w:suppressLineNumbers/>
        <w:spacing w:line="360" w:lineRule="auto"/>
        <w:ind w:left="62"/>
        <w:contextualSpacing/>
        <w:jc w:val="both"/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</w:pPr>
      <w:r w:rsidRPr="00BE095B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12. </w:t>
      </w:r>
      <w:r w:rsidRPr="00BE095B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Descrição da solução de TIC a ser contratada</w:t>
      </w:r>
    </w:p>
    <w:p w14:paraId="4FF85F1A" w14:textId="591E60AB" w:rsidR="00BE546C" w:rsidRPr="00BE095B" w:rsidRDefault="00BE095B" w:rsidP="00BE095B">
      <w:pPr>
        <w:pStyle w:val="Ttulo1"/>
        <w:suppressLineNumbers/>
        <w:spacing w:line="360" w:lineRule="auto"/>
        <w:ind w:left="62"/>
        <w:contextualSpacing/>
        <w:jc w:val="both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BE095B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>BREVE ORIENTAÇÃO:</w:t>
      </w:r>
      <w:r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 xml:space="preserve"> </w:t>
      </w:r>
      <w:r w:rsidR="00BE546C" w:rsidRPr="00BE095B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Deve-se identificar a solução escolhida que será objeto da contratação.</w:t>
      </w:r>
    </w:p>
    <w:p w14:paraId="75FD3891" w14:textId="02885C9D" w:rsidR="00BE546C" w:rsidRPr="00BE095B" w:rsidRDefault="00BE546C" w:rsidP="00BE095B">
      <w:pPr>
        <w:pStyle w:val="Ttulo1"/>
        <w:suppressLineNumbers/>
        <w:spacing w:line="360" w:lineRule="auto"/>
        <w:ind w:left="62"/>
        <w:contextualSpacing/>
        <w:jc w:val="both"/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</w:pPr>
      <w:r w:rsidRPr="00BE095B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lastRenderedPageBreak/>
        <w:t xml:space="preserve">13. </w:t>
      </w:r>
      <w:r w:rsidRPr="00BE095B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Estimativa de custo total da contratação</w:t>
      </w:r>
    </w:p>
    <w:p w14:paraId="44559880" w14:textId="355F1295" w:rsidR="00BE546C" w:rsidRPr="00BE095B" w:rsidRDefault="00BE095B" w:rsidP="00BE095B">
      <w:pPr>
        <w:keepNext/>
        <w:keepLines/>
        <w:suppressLineNumbers/>
        <w:spacing w:line="360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BE095B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>BREVE ORIENTAÇÃO:</w:t>
      </w:r>
      <w:r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 xml:space="preserve"> </w:t>
      </w:r>
      <w:r w:rsidR="00BE546C" w:rsidRPr="00BE095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Registro da estimativa do custo da contratação, considerando a Solução escolhida em formato numérico.</w:t>
      </w:r>
    </w:p>
    <w:p w14:paraId="2EED153B" w14:textId="77777777" w:rsidR="00BE546C" w:rsidRPr="00BE095B" w:rsidRDefault="00BE546C" w:rsidP="00BE095B">
      <w:pPr>
        <w:keepNext/>
        <w:keepLines/>
        <w:suppressLineNumbers/>
        <w:spacing w:line="360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C7454C6" w14:textId="2EC33DCE" w:rsidR="00BE546C" w:rsidRPr="00BE095B" w:rsidRDefault="00BE546C" w:rsidP="00BE095B">
      <w:pPr>
        <w:keepNext/>
        <w:keepLines/>
        <w:suppressLineNumbers/>
        <w:spacing w:line="36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BE095B">
        <w:rPr>
          <w:rStyle w:val="ng-star-inserted"/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14. </w:t>
      </w:r>
      <w:r w:rsidRPr="00BE095B">
        <w:rPr>
          <w:rStyle w:val="ng-star-inserted"/>
          <w:rFonts w:asciiTheme="minorHAnsi" w:hAnsiTheme="minorHAnsi" w:cstheme="minorHAnsi"/>
          <w:b/>
          <w:sz w:val="22"/>
          <w:szCs w:val="22"/>
          <w:shd w:val="clear" w:color="auto" w:fill="FFFFFF"/>
        </w:rPr>
        <w:t> </w:t>
      </w:r>
      <w:r w:rsidRPr="00BE095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Justificativa técnica da escolha da solução</w:t>
      </w:r>
    </w:p>
    <w:p w14:paraId="10F34094" w14:textId="32A558A6" w:rsidR="00BE546C" w:rsidRDefault="00BE095B" w:rsidP="00BE095B">
      <w:pPr>
        <w:keepNext/>
        <w:keepLines/>
        <w:suppressLineNumbers/>
        <w:spacing w:line="360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BE095B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>BREVE ORIENTAÇÃO:</w:t>
      </w:r>
      <w:r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 xml:space="preserve"> </w:t>
      </w:r>
      <w:r w:rsidR="00BE546C" w:rsidRPr="00BE095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Descrever as razões técnicas que motivaram a escolha da solução, considerando os aspectos qualitativos incluindo riscos e a relação aos benefícios esperados.</w:t>
      </w:r>
    </w:p>
    <w:p w14:paraId="7C956D95" w14:textId="77777777" w:rsidR="00BE095B" w:rsidRPr="00BE095B" w:rsidRDefault="00BE095B" w:rsidP="00BE095B">
      <w:pPr>
        <w:keepNext/>
        <w:keepLines/>
        <w:suppressLineNumbers/>
        <w:spacing w:line="360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DD7582" w14:textId="77777777" w:rsidR="00BE095B" w:rsidRDefault="00BE546C" w:rsidP="00BE095B">
      <w:pPr>
        <w:pStyle w:val="h6"/>
        <w:keepNext/>
        <w:keepLines/>
        <w:suppressLineNumbers/>
        <w:shd w:val="clear" w:color="auto" w:fill="FFFFFF"/>
        <w:suppressAutoHyphens/>
        <w:spacing w:before="0" w:beforeAutospacing="0" w:line="36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095B">
        <w:rPr>
          <w:rFonts w:asciiTheme="minorHAnsi" w:hAnsiTheme="minorHAnsi" w:cstheme="minorHAnsi"/>
          <w:b/>
          <w:sz w:val="22"/>
          <w:szCs w:val="22"/>
        </w:rPr>
        <w:t xml:space="preserve">15. </w:t>
      </w:r>
      <w:r w:rsidRPr="00BE095B">
        <w:rPr>
          <w:rFonts w:asciiTheme="minorHAnsi" w:hAnsiTheme="minorHAnsi" w:cstheme="minorHAnsi"/>
          <w:b/>
          <w:sz w:val="22"/>
          <w:szCs w:val="22"/>
        </w:rPr>
        <w:t>Justificativa econômica da escolha da solução</w:t>
      </w:r>
    </w:p>
    <w:p w14:paraId="513FBE81" w14:textId="0FF07E53" w:rsidR="00BE546C" w:rsidRPr="00BE095B" w:rsidRDefault="00BE095B" w:rsidP="00BE095B">
      <w:pPr>
        <w:pStyle w:val="h6"/>
        <w:keepNext/>
        <w:keepLines/>
        <w:suppressLineNumbers/>
        <w:shd w:val="clear" w:color="auto" w:fill="FFFFFF"/>
        <w:suppressAutoHyphens/>
        <w:spacing w:before="0" w:beforeAutospacing="0" w:line="360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BE095B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>BREVE ORIENTAÇÃO:</w:t>
      </w:r>
      <w:r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 xml:space="preserve"> </w:t>
      </w:r>
      <w:r w:rsidR="00BE546C" w:rsidRPr="00BE095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Descrever as razões em termos quantitativos que motivaram a escolha da solução enfatizando os aspectos de </w:t>
      </w:r>
      <w:r w:rsidRPr="00BE095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economicidade</w:t>
      </w:r>
      <w:r w:rsidR="00BE546C" w:rsidRPr="00BE095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em relação às demais.</w:t>
      </w:r>
    </w:p>
    <w:p w14:paraId="62EE1835" w14:textId="0B99D954" w:rsidR="00BE546C" w:rsidRPr="00BE095B" w:rsidRDefault="00BE546C" w:rsidP="00BE095B">
      <w:pPr>
        <w:keepNext/>
        <w:keepLines/>
        <w:suppressLineNumbers/>
        <w:spacing w:line="360" w:lineRule="auto"/>
        <w:ind w:left="-5"/>
        <w:contextualSpacing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BE095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16. </w:t>
      </w:r>
      <w:r w:rsidRPr="00BE095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Benefícios a serem alcançados com a contratação</w:t>
      </w:r>
    </w:p>
    <w:p w14:paraId="5242F4CB" w14:textId="3F7FEC1C" w:rsidR="00BE546C" w:rsidRPr="00BE095B" w:rsidRDefault="00BE095B" w:rsidP="00BE095B">
      <w:pPr>
        <w:keepNext/>
        <w:keepLines/>
        <w:suppressLineNumbers/>
        <w:spacing w:line="360" w:lineRule="auto"/>
        <w:ind w:left="-5"/>
        <w:contextualSpacing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BE095B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>BREVE ORIENTAÇÃO:</w:t>
      </w:r>
      <w:r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 xml:space="preserve"> </w:t>
      </w:r>
      <w:r w:rsidR="00BE546C" w:rsidRPr="00BE095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Identificação dos resultados a serem alcançados com a contratação da solução de TIC. Os resultados podem ser descritos em termos de </w:t>
      </w:r>
      <w:r w:rsidRPr="00BE095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benefícios</w:t>
      </w:r>
      <w:r w:rsidR="00BE546C" w:rsidRPr="00BE095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às atividades do órgão ou entidade, à sociedades ou a públicos alvos relacionados à necessidade da contratação.</w:t>
      </w:r>
    </w:p>
    <w:p w14:paraId="70CA1BBC" w14:textId="1496EDCA" w:rsidR="00BE546C" w:rsidRPr="00BE095B" w:rsidRDefault="00BE546C" w:rsidP="00BE095B">
      <w:pPr>
        <w:keepNext/>
        <w:keepLines/>
        <w:suppressLineNumbers/>
        <w:spacing w:line="360" w:lineRule="auto"/>
        <w:ind w:left="-5"/>
        <w:contextualSpacing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</w:p>
    <w:p w14:paraId="7D2D26D6" w14:textId="60B95839" w:rsidR="00BE546C" w:rsidRPr="00BE095B" w:rsidRDefault="00BE546C" w:rsidP="00BE095B">
      <w:pPr>
        <w:keepNext/>
        <w:keepLines/>
        <w:suppressLineNumbers/>
        <w:spacing w:line="360" w:lineRule="auto"/>
        <w:ind w:left="-5"/>
        <w:contextualSpacing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BE095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17. </w:t>
      </w:r>
      <w:r w:rsidRPr="00BE095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Providências a serem Adotadas</w:t>
      </w:r>
    </w:p>
    <w:p w14:paraId="417A7460" w14:textId="5AF1D2E5" w:rsidR="00BE546C" w:rsidRPr="00BE095B" w:rsidRDefault="00BE095B" w:rsidP="00BE095B">
      <w:pPr>
        <w:keepNext/>
        <w:keepLines/>
        <w:suppressLineNumbers/>
        <w:spacing w:line="360" w:lineRule="auto"/>
        <w:ind w:left="-5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095B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>BREVE ORIENTAÇÃO:</w:t>
      </w:r>
      <w:r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 xml:space="preserve"> </w:t>
      </w:r>
      <w:r w:rsidR="00BE546C" w:rsidRPr="00BE095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Informar, se houver, todas as providências e as necessidades de adequação do ambiente do órgão ou entidade para viabilizar a execução contratual (alínea “e”, Inciso II, art. 11, da IN SGD/ME nº 1, de 2019).</w:t>
      </w:r>
    </w:p>
    <w:p w14:paraId="24022414" w14:textId="77777777" w:rsidR="00BE546C" w:rsidRPr="00BE095B" w:rsidRDefault="00BE546C" w:rsidP="00BE095B">
      <w:pPr>
        <w:keepNext/>
        <w:keepLines/>
        <w:suppressLineNumbers/>
        <w:spacing w:line="360" w:lineRule="auto"/>
        <w:ind w:left="-5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FCC7C2B" w14:textId="77777777" w:rsidR="00BE546C" w:rsidRPr="00BE095B" w:rsidRDefault="00BE546C" w:rsidP="00BE095B">
      <w:pPr>
        <w:keepNext/>
        <w:keepLines/>
        <w:suppressLineNumbers/>
        <w:spacing w:line="360" w:lineRule="auto"/>
        <w:ind w:left="-5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10D01F" w14:textId="77777777" w:rsidR="0085067F" w:rsidRPr="00BE095B" w:rsidRDefault="0085067F" w:rsidP="00BE095B">
      <w:pPr>
        <w:keepNext/>
        <w:keepLines/>
        <w:suppressLineNumbers/>
        <w:spacing w:after="249" w:line="360" w:lineRule="auto"/>
        <w:ind w:left="-5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095B"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O ETP deve ser aprovado e assinado pelos Integrantes Técnico e Requisitante da EPC e pela autoridade máxima da área de TIC. </w:t>
      </w:r>
    </w:p>
    <w:p w14:paraId="06DE22D4" w14:textId="77777777" w:rsidR="0085067F" w:rsidRDefault="0085067F" w:rsidP="00BE095B">
      <w:pPr>
        <w:keepNext/>
        <w:keepLines/>
        <w:spacing w:after="120" w:line="276" w:lineRule="auto"/>
        <w:ind w:right="-15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53E43E2" w14:textId="77777777" w:rsidR="009271C3" w:rsidRPr="009271C3" w:rsidRDefault="009271C3" w:rsidP="00BE095B">
      <w:pPr>
        <w:pStyle w:val="Pr-formataoHTML"/>
        <w:keepNext/>
        <w:keepLines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D6BC614" w14:textId="532E11F1" w:rsidR="009271C3" w:rsidRPr="009271C3" w:rsidRDefault="009271C3" w:rsidP="00BE095B">
      <w:pPr>
        <w:keepNext/>
        <w:keepLines/>
        <w:spacing w:after="120" w:line="276" w:lineRule="auto"/>
        <w:ind w:right="-15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271C3" w:rsidRPr="009271C3" w:rsidSect="00135B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134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A6EAC" w14:textId="77777777" w:rsidR="000229D0" w:rsidRDefault="000229D0" w:rsidP="00195787">
      <w:r>
        <w:separator/>
      </w:r>
    </w:p>
  </w:endnote>
  <w:endnote w:type="continuationSeparator" w:id="0">
    <w:p w14:paraId="67E68099" w14:textId="77777777" w:rsidR="000229D0" w:rsidRDefault="000229D0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796F" w14:textId="77777777" w:rsidR="00AB48DB" w:rsidRDefault="00AB48D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0A58EF" w:rsidRDefault="000A58EF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9A6EDCF" w:rsidR="000A58EF" w:rsidRPr="007D1C2C" w:rsidRDefault="00BE095B" w:rsidP="00BB598F">
    <w:pPr>
      <w:pStyle w:val="Rodap"/>
      <w:jc w:val="center"/>
      <w:rPr>
        <w:i/>
      </w:rPr>
    </w:pPr>
    <w:r>
      <w:rPr>
        <w:sz w:val="12"/>
        <w:szCs w:val="12"/>
      </w:rPr>
      <w:t>Modelo de ETP TIC – 20/11/2021 V.1.</w:t>
    </w:r>
    <w:r w:rsidR="000A58EF">
      <w:rPr>
        <w:sz w:val="12"/>
        <w:szCs w:val="12"/>
      </w:rPr>
      <w:tab/>
    </w:r>
    <w:r w:rsidR="000A58EF">
      <w:rPr>
        <w:sz w:val="12"/>
        <w:szCs w:val="12"/>
      </w:rPr>
      <w:tab/>
    </w:r>
    <w:r w:rsidR="000A58EF">
      <w:rPr>
        <w:rFonts w:ascii="Verdana" w:hAnsi="Verdana"/>
        <w:sz w:val="16"/>
        <w:szCs w:val="16"/>
      </w:rPr>
      <w:t>Pág</w:t>
    </w:r>
    <w:r w:rsidR="000A58EF" w:rsidRPr="00901838">
      <w:rPr>
        <w:rFonts w:ascii="Verdana" w:hAnsi="Verdana"/>
        <w:sz w:val="16"/>
        <w:szCs w:val="16"/>
      </w:rPr>
      <w:t xml:space="preserve">. 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0A58EF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0A58EF" w:rsidRPr="00901838">
      <w:rPr>
        <w:rStyle w:val="Nmerodepgina"/>
        <w:rFonts w:ascii="Verdana" w:eastAsia="MS Gothic" w:hAnsi="Verdana"/>
        <w:sz w:val="16"/>
        <w:szCs w:val="16"/>
      </w:rPr>
      <w:t>/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0A58EF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0A58EF" w:rsidRDefault="000A58EF">
    <w:pPr>
      <w:pStyle w:val="Rodap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F63F" w14:textId="77777777" w:rsidR="00AB48DB" w:rsidRDefault="00AB48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908B" w14:textId="77777777" w:rsidR="000229D0" w:rsidRDefault="000229D0" w:rsidP="00195787">
      <w:r>
        <w:separator/>
      </w:r>
    </w:p>
  </w:footnote>
  <w:footnote w:type="continuationSeparator" w:id="0">
    <w:p w14:paraId="2BF91F3D" w14:textId="77777777" w:rsidR="000229D0" w:rsidRDefault="000229D0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F31E" w14:textId="77777777" w:rsidR="00AB48DB" w:rsidRDefault="00AB48D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4C64" w14:textId="4B6E2FB1" w:rsidR="000A58EF" w:rsidRDefault="000A58EF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8" name="Imagem 38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E5B9" w14:textId="77777777" w:rsidR="00AB48DB" w:rsidRDefault="00AB48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3E6C6B"/>
    <w:multiLevelType w:val="hybridMultilevel"/>
    <w:tmpl w:val="F1028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795F1B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0EA91F7F"/>
    <w:multiLevelType w:val="multilevel"/>
    <w:tmpl w:val="0B309AE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2F75DC"/>
    <w:multiLevelType w:val="multilevel"/>
    <w:tmpl w:val="9A0681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32F2A9E"/>
    <w:multiLevelType w:val="multilevel"/>
    <w:tmpl w:val="674A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A76B98"/>
    <w:multiLevelType w:val="hybridMultilevel"/>
    <w:tmpl w:val="A00A099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427FB"/>
    <w:multiLevelType w:val="multilevel"/>
    <w:tmpl w:val="8F7648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31" w15:restartNumberingAfterBreak="0">
    <w:nsid w:val="22DA35BA"/>
    <w:multiLevelType w:val="hybridMultilevel"/>
    <w:tmpl w:val="A600D294"/>
    <w:lvl w:ilvl="0" w:tplc="120CA73E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34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23C2E58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CC15CF6"/>
    <w:multiLevelType w:val="hybridMultilevel"/>
    <w:tmpl w:val="0B1A3ACE"/>
    <w:lvl w:ilvl="0" w:tplc="39BAEBB0">
      <w:start w:val="1"/>
      <w:numFmt w:val="lowerLetter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3107E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7CC6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F2A6D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1A96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4C0F6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90887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E8091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928F1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26246E3"/>
    <w:multiLevelType w:val="multilevel"/>
    <w:tmpl w:val="5D4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FFF02BC"/>
    <w:multiLevelType w:val="hybridMultilevel"/>
    <w:tmpl w:val="C6D0944E"/>
    <w:lvl w:ilvl="0" w:tplc="DB96B2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67502F91"/>
    <w:multiLevelType w:val="multilevel"/>
    <w:tmpl w:val="44A03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9" w15:restartNumberingAfterBreak="0">
    <w:nsid w:val="70232FCA"/>
    <w:multiLevelType w:val="multilevel"/>
    <w:tmpl w:val="334E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51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44"/>
  </w:num>
  <w:num w:numId="3">
    <w:abstractNumId w:val="45"/>
  </w:num>
  <w:num w:numId="4">
    <w:abstractNumId w:val="36"/>
  </w:num>
  <w:num w:numId="5">
    <w:abstractNumId w:val="30"/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9"/>
  </w:num>
  <w:num w:numId="9">
    <w:abstractNumId w:val="43"/>
  </w:num>
  <w:num w:numId="10">
    <w:abstractNumId w:val="50"/>
  </w:num>
  <w:num w:numId="11">
    <w:abstractNumId w:val="32"/>
  </w:num>
  <w:num w:numId="12">
    <w:abstractNumId w:val="20"/>
  </w:num>
  <w:num w:numId="13">
    <w:abstractNumId w:val="33"/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7"/>
  </w:num>
  <w:num w:numId="26">
    <w:abstractNumId w:val="52"/>
  </w:num>
  <w:num w:numId="27">
    <w:abstractNumId w:val="34"/>
  </w:num>
  <w:num w:numId="28">
    <w:abstractNumId w:val="26"/>
  </w:num>
  <w:num w:numId="29">
    <w:abstractNumId w:val="51"/>
  </w:num>
  <w:num w:numId="30">
    <w:abstractNumId w:val="48"/>
  </w:num>
  <w:num w:numId="31">
    <w:abstractNumId w:val="22"/>
  </w:num>
  <w:num w:numId="32">
    <w:abstractNumId w:val="38"/>
  </w:num>
  <w:num w:numId="33">
    <w:abstractNumId w:val="46"/>
  </w:num>
  <w:num w:numId="34">
    <w:abstractNumId w:val="25"/>
  </w:num>
  <w:num w:numId="35">
    <w:abstractNumId w:val="41"/>
  </w:num>
  <w:num w:numId="36">
    <w:abstractNumId w:val="24"/>
  </w:num>
  <w:num w:numId="37">
    <w:abstractNumId w:val="28"/>
  </w:num>
  <w:num w:numId="38">
    <w:abstractNumId w:val="23"/>
  </w:num>
  <w:num w:numId="39">
    <w:abstractNumId w:val="21"/>
  </w:num>
  <w:num w:numId="40">
    <w:abstractNumId w:val="40"/>
  </w:num>
  <w:num w:numId="41">
    <w:abstractNumId w:val="49"/>
  </w:num>
  <w:num w:numId="42">
    <w:abstractNumId w:val="31"/>
  </w:num>
  <w:num w:numId="43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29D0"/>
    <w:rsid w:val="00022E4A"/>
    <w:rsid w:val="00025406"/>
    <w:rsid w:val="00040D39"/>
    <w:rsid w:val="000425AB"/>
    <w:rsid w:val="00054A82"/>
    <w:rsid w:val="00064935"/>
    <w:rsid w:val="00073A80"/>
    <w:rsid w:val="000A58EF"/>
    <w:rsid w:val="000A5C63"/>
    <w:rsid w:val="000A62C8"/>
    <w:rsid w:val="000B5CD5"/>
    <w:rsid w:val="000D0B49"/>
    <w:rsid w:val="000D13E3"/>
    <w:rsid w:val="000D1838"/>
    <w:rsid w:val="000D62E0"/>
    <w:rsid w:val="000E0BB9"/>
    <w:rsid w:val="000F0145"/>
    <w:rsid w:val="0010119F"/>
    <w:rsid w:val="00104571"/>
    <w:rsid w:val="00122A72"/>
    <w:rsid w:val="00123A6B"/>
    <w:rsid w:val="00131CC6"/>
    <w:rsid w:val="00135BEF"/>
    <w:rsid w:val="0014109B"/>
    <w:rsid w:val="001571D0"/>
    <w:rsid w:val="00163819"/>
    <w:rsid w:val="00166CF4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158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1C39"/>
    <w:rsid w:val="003570DA"/>
    <w:rsid w:val="003804AE"/>
    <w:rsid w:val="00394D5F"/>
    <w:rsid w:val="003A2662"/>
    <w:rsid w:val="003A4456"/>
    <w:rsid w:val="003A5295"/>
    <w:rsid w:val="003B11E3"/>
    <w:rsid w:val="003D2CA2"/>
    <w:rsid w:val="003D4A95"/>
    <w:rsid w:val="003D5227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63"/>
    <w:rsid w:val="00447BEF"/>
    <w:rsid w:val="00450266"/>
    <w:rsid w:val="004629C6"/>
    <w:rsid w:val="00470A8D"/>
    <w:rsid w:val="004720B9"/>
    <w:rsid w:val="00477A20"/>
    <w:rsid w:val="00482E6D"/>
    <w:rsid w:val="004871F1"/>
    <w:rsid w:val="0048745B"/>
    <w:rsid w:val="00487AEC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46ADF"/>
    <w:rsid w:val="00552B81"/>
    <w:rsid w:val="00561155"/>
    <w:rsid w:val="005807EC"/>
    <w:rsid w:val="005853CE"/>
    <w:rsid w:val="005A0B33"/>
    <w:rsid w:val="005A0C7A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06AE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1EC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0E4D"/>
    <w:rsid w:val="00782642"/>
    <w:rsid w:val="007856B1"/>
    <w:rsid w:val="007861D9"/>
    <w:rsid w:val="00792C4F"/>
    <w:rsid w:val="00792EFD"/>
    <w:rsid w:val="00793F13"/>
    <w:rsid w:val="00796214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067F"/>
    <w:rsid w:val="008540D8"/>
    <w:rsid w:val="008566DD"/>
    <w:rsid w:val="00892576"/>
    <w:rsid w:val="0089665C"/>
    <w:rsid w:val="008C23FF"/>
    <w:rsid w:val="008C54E4"/>
    <w:rsid w:val="008C6744"/>
    <w:rsid w:val="008E166E"/>
    <w:rsid w:val="008F3BD8"/>
    <w:rsid w:val="0090037C"/>
    <w:rsid w:val="00912689"/>
    <w:rsid w:val="009271C3"/>
    <w:rsid w:val="009350A3"/>
    <w:rsid w:val="00937A6A"/>
    <w:rsid w:val="00946A34"/>
    <w:rsid w:val="009502A0"/>
    <w:rsid w:val="00951247"/>
    <w:rsid w:val="00973203"/>
    <w:rsid w:val="009937E6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74E08"/>
    <w:rsid w:val="00A85110"/>
    <w:rsid w:val="00A87093"/>
    <w:rsid w:val="00A93E08"/>
    <w:rsid w:val="00A942C3"/>
    <w:rsid w:val="00AB336E"/>
    <w:rsid w:val="00AB48DB"/>
    <w:rsid w:val="00AB700F"/>
    <w:rsid w:val="00AC3B53"/>
    <w:rsid w:val="00AD321A"/>
    <w:rsid w:val="00AE0A71"/>
    <w:rsid w:val="00AF32BC"/>
    <w:rsid w:val="00AF3581"/>
    <w:rsid w:val="00AF781E"/>
    <w:rsid w:val="00AF7DA7"/>
    <w:rsid w:val="00B17DC6"/>
    <w:rsid w:val="00B525B8"/>
    <w:rsid w:val="00B54C7E"/>
    <w:rsid w:val="00B66F19"/>
    <w:rsid w:val="00B67441"/>
    <w:rsid w:val="00B72EE9"/>
    <w:rsid w:val="00B82EC1"/>
    <w:rsid w:val="00B85C8F"/>
    <w:rsid w:val="00B90BA6"/>
    <w:rsid w:val="00B9643D"/>
    <w:rsid w:val="00BB0870"/>
    <w:rsid w:val="00BB1363"/>
    <w:rsid w:val="00BB598F"/>
    <w:rsid w:val="00BC4F69"/>
    <w:rsid w:val="00BE095B"/>
    <w:rsid w:val="00BE2F47"/>
    <w:rsid w:val="00BE53BB"/>
    <w:rsid w:val="00BE546C"/>
    <w:rsid w:val="00BE591B"/>
    <w:rsid w:val="00BF0117"/>
    <w:rsid w:val="00BF319D"/>
    <w:rsid w:val="00BF4761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5096"/>
    <w:rsid w:val="00C50DCE"/>
    <w:rsid w:val="00C5395D"/>
    <w:rsid w:val="00C754FF"/>
    <w:rsid w:val="00C7600F"/>
    <w:rsid w:val="00C804D0"/>
    <w:rsid w:val="00C9098A"/>
    <w:rsid w:val="00CA1C08"/>
    <w:rsid w:val="00CB041E"/>
    <w:rsid w:val="00CB5F48"/>
    <w:rsid w:val="00CD2701"/>
    <w:rsid w:val="00CD3A73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3BAF"/>
    <w:rsid w:val="00D4570A"/>
    <w:rsid w:val="00D52F83"/>
    <w:rsid w:val="00D62B2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31561"/>
    <w:rsid w:val="00E44B0C"/>
    <w:rsid w:val="00E52524"/>
    <w:rsid w:val="00E578A6"/>
    <w:rsid w:val="00E67DCF"/>
    <w:rsid w:val="00EA06C5"/>
    <w:rsid w:val="00EB556D"/>
    <w:rsid w:val="00EB6AF5"/>
    <w:rsid w:val="00EB7F69"/>
    <w:rsid w:val="00ED4EB4"/>
    <w:rsid w:val="00ED7983"/>
    <w:rsid w:val="00F12161"/>
    <w:rsid w:val="00F12A88"/>
    <w:rsid w:val="00F147BA"/>
    <w:rsid w:val="00F233BA"/>
    <w:rsid w:val="00F35B8E"/>
    <w:rsid w:val="00F43482"/>
    <w:rsid w:val="00F4673F"/>
    <w:rsid w:val="00F51B33"/>
    <w:rsid w:val="00F559A1"/>
    <w:rsid w:val="00F6478A"/>
    <w:rsid w:val="00F672BD"/>
    <w:rsid w:val="00F67610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D242D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semiHidden/>
    <w:unhideWhenUsed/>
    <w:rsid w:val="00ED7983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D7983"/>
    <w:rPr>
      <w:rFonts w:ascii="Arial" w:hAnsi="Arial" w:cs="Tahoma"/>
    </w:rPr>
  </w:style>
  <w:style w:type="character" w:styleId="Refdenotaderodap">
    <w:name w:val="footnote reference"/>
    <w:basedOn w:val="Fontepargpadro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qFormat/>
    <w:rsid w:val="003A2662"/>
    <w:rPr>
      <w:rFonts w:ascii="Arial" w:hAnsi="Arial" w:cs="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2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271C3"/>
    <w:rPr>
      <w:rFonts w:ascii="Courier New" w:hAnsi="Courier New" w:cs="Courier New"/>
    </w:rPr>
  </w:style>
  <w:style w:type="table" w:customStyle="1" w:styleId="TableGrid">
    <w:name w:val="TableGrid"/>
    <w:rsid w:val="0085067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g-star-inserted">
    <w:name w:val="ng-star-inserted"/>
    <w:basedOn w:val="Fontepargpadro"/>
    <w:rsid w:val="00BE546C"/>
  </w:style>
  <w:style w:type="paragraph" w:customStyle="1" w:styleId="h6">
    <w:name w:val="h6"/>
    <w:basedOn w:val="Normal"/>
    <w:rsid w:val="00BE546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sr-only">
    <w:name w:val="sr-only"/>
    <w:basedOn w:val="Fontepargpadro"/>
    <w:rsid w:val="00BE5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F44B-BF1A-454B-AC46-2BCA2593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1261</Words>
  <Characters>6810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 Paulo Moraes</cp:lastModifiedBy>
  <cp:revision>3</cp:revision>
  <cp:lastPrinted>2021-11-21T02:30:00Z</cp:lastPrinted>
  <dcterms:created xsi:type="dcterms:W3CDTF">2021-11-21T02:30:00Z</dcterms:created>
  <dcterms:modified xsi:type="dcterms:W3CDTF">2021-11-21T02:31:00Z</dcterms:modified>
  <dc:language>pt-BR</dc:language>
</cp:coreProperties>
</file>