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contextualSpacing/>
        <w:jc w:val="center"/>
        <w:rPr>
          <w:rFonts w:asciiTheme="minorHAnsi" w:hAnsiTheme="minorHAnsi" w:cstheme="minorHAnsi"/>
          <w:sz w:val="20"/>
        </w:rPr>
      </w:pPr>
      <w:r>
        <w:rPr>
          <w:rFonts w:asciiTheme="minorHAnsi" w:hAnsiTheme="minorHAnsi" w:cstheme="minorHAnsi"/>
          <w:sz w:val="20"/>
          <w:lang w:eastAsia="pt-BR"/>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38175" cy="685800"/>
                    </a:xfrm>
                    <a:prstGeom prst="rect">
                      <a:avLst/>
                    </a:prstGeom>
                    <a:solidFill>
                      <a:srgbClr val="FFFFFF"/>
                    </a:solidFill>
                    <a:ln>
                      <a:noFill/>
                    </a:ln>
                  </pic:spPr>
                </pic:pic>
              </a:graphicData>
            </a:graphic>
          </wp:anchor>
        </w:drawing>
      </w:r>
      <w:r>
        <w:rPr>
          <w:rFonts w:asciiTheme="minorHAnsi" w:hAnsiTheme="minorHAnsi" w:cstheme="minorHAnsi"/>
          <w:sz w:val="20"/>
        </w:rPr>
        <w:t xml:space="preserve">Das </w:t>
      </w:r>
    </w:p>
    <w:p>
      <w:pPr>
        <w:pStyle w:val="18"/>
        <w:keepNext/>
        <w:keepLines/>
        <w:contextualSpacing/>
        <w:jc w:val="center"/>
        <w:rPr>
          <w:rFonts w:asciiTheme="minorHAnsi" w:hAnsiTheme="minorHAnsi" w:cstheme="minorHAnsi"/>
          <w:sz w:val="20"/>
        </w:rPr>
      </w:pPr>
    </w:p>
    <w:p>
      <w:pPr>
        <w:pStyle w:val="18"/>
        <w:keepNext/>
        <w:keepLines/>
        <w:contextualSpacing/>
        <w:jc w:val="center"/>
        <w:rPr>
          <w:rFonts w:asciiTheme="minorHAnsi" w:hAnsiTheme="minorHAnsi" w:cstheme="minorHAnsi"/>
          <w:sz w:val="20"/>
        </w:rPr>
      </w:pPr>
    </w:p>
    <w:p>
      <w:pPr>
        <w:keepNext/>
        <w:keepLines/>
        <w:contextualSpacing/>
        <w:jc w:val="center"/>
        <w:rPr>
          <w:rFonts w:asciiTheme="minorHAnsi" w:hAnsiTheme="minorHAnsi" w:cstheme="minorHAnsi"/>
          <w:b/>
        </w:rPr>
      </w:pPr>
      <w:r>
        <w:rPr>
          <w:rFonts w:asciiTheme="minorHAnsi" w:hAnsiTheme="minorHAnsi" w:cstheme="minorHAnsi"/>
          <w:b/>
        </w:rPr>
        <w:t>SERVIÇO PÚBLICO FEDERAL</w:t>
      </w:r>
    </w:p>
    <w:p>
      <w:pPr>
        <w:keepNext/>
        <w:keepLines/>
        <w:contextualSpacing/>
        <w:jc w:val="center"/>
        <w:rPr>
          <w:rFonts w:asciiTheme="minorHAnsi" w:hAnsiTheme="minorHAnsi" w:cstheme="minorHAnsi"/>
          <w:b/>
        </w:rPr>
      </w:pPr>
      <w:r>
        <w:rPr>
          <w:rFonts w:asciiTheme="minorHAnsi" w:hAnsiTheme="minorHAnsi" w:cstheme="minorHAnsi"/>
          <w:b/>
        </w:rPr>
        <w:t>MINISTÉRIO DA EDUCAÇÃO</w:t>
      </w:r>
    </w:p>
    <w:p>
      <w:pPr>
        <w:keepNext/>
        <w:keepLines/>
        <w:contextualSpacing/>
        <w:jc w:val="center"/>
        <w:rPr>
          <w:rFonts w:asciiTheme="minorHAnsi" w:hAnsiTheme="minorHAnsi" w:cstheme="minorHAnsi"/>
          <w:b/>
        </w:rPr>
      </w:pPr>
      <w:r>
        <w:rPr>
          <w:rFonts w:asciiTheme="minorHAnsi" w:hAnsiTheme="minorHAnsi" w:cstheme="minorHAnsi"/>
          <w:b/>
        </w:rPr>
        <w:t>UNIVERSIDADE FEDERAL FLUMINENSE</w:t>
      </w:r>
    </w:p>
    <w:p>
      <w:pPr>
        <w:keepNext/>
        <w:keepLines/>
        <w:contextualSpacing/>
        <w:jc w:val="center"/>
        <w:rPr>
          <w:rFonts w:asciiTheme="minorHAnsi" w:hAnsiTheme="minorHAnsi" w:cstheme="minorHAnsi"/>
        </w:rPr>
      </w:pPr>
      <w:r>
        <w:rPr>
          <w:rFonts w:asciiTheme="minorHAnsi" w:hAnsiTheme="minorHAnsi" w:cstheme="minorHAnsi"/>
          <w:b/>
        </w:rPr>
        <w:t>PRÓ-REITORIA DE ADMINISTRAÇÃO</w:t>
      </w:r>
    </w:p>
    <w:p>
      <w:pPr>
        <w:pStyle w:val="18"/>
        <w:keepNext/>
        <w:keepLines/>
        <w:contextualSpacing/>
        <w:jc w:val="center"/>
        <w:rPr>
          <w:rFonts w:asciiTheme="minorHAnsi" w:hAnsiTheme="minorHAnsi" w:cstheme="minorHAnsi"/>
          <w:b w:val="0"/>
          <w:sz w:val="20"/>
        </w:rPr>
      </w:pPr>
    </w:p>
    <w:p>
      <w:pPr>
        <w:pStyle w:val="18"/>
        <w:keepNext/>
        <w:keepLines/>
        <w:contextualSpacing/>
        <w:jc w:val="center"/>
        <w:rPr>
          <w:rFonts w:asciiTheme="minorHAnsi" w:hAnsiTheme="minorHAnsi" w:cstheme="minorHAnsi"/>
          <w:color w:val="FF0000"/>
          <w:sz w:val="20"/>
        </w:rPr>
      </w:pPr>
      <w:r>
        <w:rPr>
          <w:rFonts w:asciiTheme="minorHAnsi" w:hAnsiTheme="minorHAnsi" w:cstheme="minorHAnsi"/>
          <w:b w:val="0"/>
          <w:color w:val="FF0000"/>
          <w:sz w:val="20"/>
        </w:rPr>
        <w:t xml:space="preserve">ANEXO V - MINUTA DO TERMO DE CONTRATO nº _/2022/AD </w:t>
      </w:r>
    </w:p>
    <w:p>
      <w:pPr>
        <w:pStyle w:val="18"/>
        <w:keepNext/>
        <w:keepLines/>
        <w:contextualSpacing/>
        <w:rPr>
          <w:rFonts w:asciiTheme="minorHAnsi" w:hAnsiTheme="minorHAnsi" w:cstheme="minorHAnsi"/>
          <w:sz w:val="20"/>
        </w:rPr>
      </w:pPr>
    </w:p>
    <w:p>
      <w:pPr>
        <w:pStyle w:val="18"/>
        <w:keepNext/>
        <w:keepLines/>
        <w:ind w:left="4253"/>
        <w:contextualSpacing/>
        <w:rPr>
          <w:rFonts w:asciiTheme="minorHAnsi" w:hAnsiTheme="minorHAnsi" w:cstheme="minorHAnsi"/>
          <w:sz w:val="20"/>
          <w:u w:val="none"/>
        </w:rPr>
      </w:pPr>
      <w:r>
        <w:rPr>
          <w:rFonts w:asciiTheme="minorHAnsi" w:hAnsiTheme="minorHAnsi" w:cstheme="minorHAnsi"/>
          <w:sz w:val="20"/>
        </w:rPr>
        <w:tab/>
      </w:r>
      <w:r>
        <w:rPr>
          <w:rFonts w:asciiTheme="minorHAnsi" w:hAnsiTheme="minorHAnsi" w:cstheme="minorHAnsi"/>
          <w:sz w:val="20"/>
          <w:u w:val="none"/>
        </w:rPr>
        <w:tab/>
      </w:r>
    </w:p>
    <w:p>
      <w:pPr>
        <w:pStyle w:val="18"/>
        <w:keepNext/>
        <w:keepLines/>
        <w:ind w:left="4253"/>
        <w:contextualSpacing/>
        <w:rPr>
          <w:rFonts w:asciiTheme="minorHAnsi" w:hAnsiTheme="minorHAnsi" w:cstheme="minorHAnsi"/>
          <w:b w:val="0"/>
          <w:bCs/>
          <w:sz w:val="20"/>
          <w:u w:val="none"/>
        </w:rPr>
      </w:pPr>
      <w:r>
        <w:rPr>
          <w:rFonts w:asciiTheme="minorHAnsi" w:hAnsiTheme="minorHAnsi" w:cstheme="minorHAnsi"/>
          <w:sz w:val="20"/>
          <w:u w:val="none"/>
        </w:rPr>
        <w:t xml:space="preserve">Contrato de Prestação de Serviços nº </w:t>
      </w:r>
      <w:r>
        <w:rPr>
          <w:rFonts w:asciiTheme="minorHAnsi" w:hAnsiTheme="minorHAnsi" w:cstheme="minorHAnsi"/>
          <w:b w:val="0"/>
          <w:sz w:val="20"/>
          <w:u w:val="none"/>
        </w:rPr>
        <w:t xml:space="preserve">/2022/AD </w:t>
      </w:r>
      <w:r>
        <w:rPr>
          <w:rFonts w:asciiTheme="minorHAnsi" w:hAnsiTheme="minorHAnsi" w:cstheme="minorHAnsi"/>
          <w:sz w:val="20"/>
          <w:u w:val="none"/>
        </w:rPr>
        <w:t xml:space="preserve">que entre si fazem a </w:t>
      </w:r>
      <w:r>
        <w:rPr>
          <w:rFonts w:asciiTheme="minorHAnsi" w:hAnsiTheme="minorHAnsi" w:cstheme="minorHAnsi"/>
          <w:b w:val="0"/>
          <w:i/>
          <w:sz w:val="20"/>
          <w:u w:val="none"/>
        </w:rPr>
        <w:t>Universidade Federal Fluminense</w:t>
      </w:r>
      <w:r>
        <w:rPr>
          <w:rFonts w:asciiTheme="minorHAnsi" w:hAnsiTheme="minorHAnsi" w:cstheme="minorHAnsi"/>
          <w:i/>
          <w:sz w:val="20"/>
          <w:u w:val="none"/>
        </w:rPr>
        <w:t xml:space="preserve"> </w:t>
      </w:r>
      <w:r>
        <w:rPr>
          <w:rFonts w:asciiTheme="minorHAnsi" w:hAnsiTheme="minorHAnsi" w:cstheme="minorHAnsi"/>
          <w:sz w:val="20"/>
          <w:u w:val="none"/>
        </w:rPr>
        <w:t>e a empresa _____________.</w:t>
      </w:r>
    </w:p>
    <w:p>
      <w:pPr>
        <w:pStyle w:val="18"/>
        <w:keepNext/>
        <w:keepLines/>
        <w:contextualSpacing/>
        <w:rPr>
          <w:rFonts w:asciiTheme="minorHAnsi" w:hAnsiTheme="minorHAnsi" w:cstheme="minorHAnsi"/>
          <w:sz w:val="20"/>
          <w:u w:val="none"/>
        </w:rPr>
      </w:pPr>
    </w:p>
    <w:p>
      <w:pPr>
        <w:pStyle w:val="18"/>
        <w:keepNext/>
        <w:keepLines/>
        <w:contextualSpacing/>
        <w:rPr>
          <w:rFonts w:asciiTheme="minorHAnsi" w:hAnsiTheme="minorHAnsi" w:cstheme="minorHAnsi"/>
          <w:sz w:val="20"/>
          <w:u w:val="none"/>
        </w:rPr>
      </w:pPr>
    </w:p>
    <w:p>
      <w:pPr>
        <w:spacing w:before="120" w:after="120" w:line="276" w:lineRule="auto"/>
        <w:jc w:val="both"/>
        <w:rPr>
          <w:lang w:eastAsia="pt-BR"/>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A </w:t>
      </w:r>
      <w:r>
        <w:rPr>
          <w:rFonts w:asciiTheme="minorHAnsi" w:hAnsiTheme="minorHAnsi" w:cstheme="minorHAnsi"/>
          <w:i/>
        </w:rPr>
        <w:t>UNIVERSIDADE FEDERAL FLUMINENSE</w:t>
      </w:r>
      <w:r>
        <w:rPr>
          <w:rFonts w:asciiTheme="minorHAnsi" w:hAnsiTheme="minorHAnsi" w:cstheme="minorHAnsi"/>
        </w:rPr>
        <w:t xml:space="preserve">, autarquia Federal, vinculada ao Ministério da Educação, com sede na Rua Miguel de Frias nº 09, Icaraí, Niterói, Estado do Rio de Janeiro, doravante denominada </w:t>
      </w:r>
      <w:r>
        <w:rPr>
          <w:rFonts w:asciiTheme="minorHAnsi" w:hAnsiTheme="minorHAnsi" w:cstheme="minorHAnsi"/>
          <w:i/>
        </w:rPr>
        <w:t>CONTRATANTE</w:t>
      </w:r>
      <w:r>
        <w:rPr>
          <w:rFonts w:asciiTheme="minorHAnsi" w:hAnsiTheme="minorHAnsi" w:cstheme="minorHAnsi"/>
        </w:rPr>
        <w:t xml:space="preserve">, inscrita no CNPJ/MF sob o nº 28.523.215/0001-06, neste ato representada pelo seu Magnífico Reitor, Professor </w:t>
      </w:r>
      <w:r>
        <w:rPr>
          <w:rFonts w:asciiTheme="minorHAnsi" w:hAnsiTheme="minorHAnsi" w:cstheme="minorHAnsi"/>
          <w:i/>
        </w:rPr>
        <w:t>ANTONIO CLÁUDIO LUCAS DA NOBREGA</w:t>
      </w:r>
      <w:r>
        <w:rPr>
          <w:rFonts w:asciiTheme="minorHAnsi" w:hAnsiTheme="minorHAnsi" w:cstheme="minorHAnsi"/>
        </w:rPr>
        <w:t>,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23069.151880/2022-14,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w:t>
      </w:r>
      <w:r>
        <w:rPr>
          <w:rFonts w:asciiTheme="minorHAnsi" w:hAnsiTheme="minorHAnsi" w:cstheme="minorHAnsi"/>
          <w:color w:val="000000" w:themeColor="text1"/>
          <w14:textFill>
            <w14:solidFill>
              <w14:schemeClr w14:val="tx1"/>
            </w14:solidFill>
          </w14:textFill>
        </w:rPr>
        <w:t xml:space="preserve">º </w:t>
      </w:r>
      <w:r>
        <w:rPr>
          <w:rFonts w:hint="default" w:asciiTheme="minorHAnsi" w:hAnsiTheme="minorHAnsi" w:cstheme="minorHAnsi"/>
          <w:color w:val="000000" w:themeColor="text1"/>
          <w:lang w:val="pt-BR"/>
          <w14:textFill>
            <w14:solidFill>
              <w14:schemeClr w14:val="tx1"/>
            </w14:solidFill>
          </w14:textFill>
        </w:rPr>
        <w:t>39/2022</w:t>
      </w:r>
      <w:r>
        <w:rPr>
          <w:rFonts w:asciiTheme="minorHAnsi" w:hAnsiTheme="minorHAnsi" w:cstheme="minorHAnsi"/>
        </w:rPr>
        <w:t>, mediante as cláusulas e condições a seguir enunciadas.</w:t>
      </w:r>
    </w:p>
    <w:p>
      <w:pPr>
        <w:pStyle w:val="18"/>
        <w:keepNext/>
        <w:keepLines/>
        <w:contextualSpacing/>
        <w:rPr>
          <w:rFonts w:asciiTheme="minorHAnsi" w:hAnsiTheme="minorHAnsi" w:cstheme="minorHAnsi"/>
          <w:b w:val="0"/>
          <w:sz w:val="20"/>
          <w:u w:val="none"/>
        </w:rPr>
      </w:pPr>
    </w:p>
    <w:p>
      <w:pPr>
        <w:pStyle w:val="18"/>
        <w:keepNext/>
        <w:keepLines/>
        <w:contextualSpacing/>
        <w:rPr>
          <w:rFonts w:asciiTheme="minorHAnsi" w:hAnsiTheme="minorHAnsi" w:cstheme="minorHAnsi"/>
          <w:b w:val="0"/>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PRIMEIRA - OBJETO DO CONTRATO</w:t>
      </w:r>
    </w:p>
    <w:p>
      <w:pPr>
        <w:pStyle w:val="21"/>
        <w:keepNext/>
        <w:keepLines/>
        <w:numPr>
          <w:ilvl w:val="1"/>
          <w:numId w:val="4"/>
        </w:numPr>
        <w:suppressAutoHyphens w:val="0"/>
        <w:spacing w:line="240" w:lineRule="auto"/>
        <w:contextualSpacing/>
        <w:jc w:val="both"/>
        <w:rPr>
          <w:rFonts w:asciiTheme="minorHAnsi" w:hAnsiTheme="minorHAnsi" w:cstheme="minorHAnsi"/>
        </w:rPr>
      </w:pPr>
      <w:r>
        <w:rPr>
          <w:rFonts w:ascii="Calibri" w:hAnsi="Calibri" w:cs="Calibri"/>
          <w:color w:val="000000"/>
        </w:rPr>
        <w:t>Contratação de empresa(s) especializada(s) em locação de caçambas para retirada de resíduos (resíduos de obra, restos de divisórias de madeira, galhos e folhas de árvores, etc.) e limpeza de fossas</w:t>
      </w:r>
      <w:r>
        <w:rPr>
          <w:rFonts w:asciiTheme="minorHAnsi" w:hAnsiTheme="minorHAnsi" w:cstheme="minorHAnsi"/>
        </w:rPr>
        <w:t>, conforme especificações deste Termo de Referência.</w:t>
      </w:r>
    </w:p>
    <w:tbl>
      <w:tblPr>
        <w:tblStyle w:val="13"/>
        <w:tblW w:w="9067" w:type="dxa"/>
        <w:tblInd w:w="0" w:type="dxa"/>
        <w:tblLayout w:type="autofit"/>
        <w:tblCellMar>
          <w:top w:w="0" w:type="dxa"/>
          <w:left w:w="70" w:type="dxa"/>
          <w:bottom w:w="0" w:type="dxa"/>
          <w:right w:w="70" w:type="dxa"/>
        </w:tblCellMar>
      </w:tblPr>
      <w:tblGrid>
        <w:gridCol w:w="608"/>
        <w:gridCol w:w="4774"/>
        <w:gridCol w:w="992"/>
        <w:gridCol w:w="1418"/>
        <w:gridCol w:w="1275"/>
      </w:tblGrid>
      <w:tr>
        <w:tblPrEx>
          <w:tblCellMar>
            <w:top w:w="0" w:type="dxa"/>
            <w:left w:w="70" w:type="dxa"/>
            <w:bottom w:w="0" w:type="dxa"/>
            <w:right w:w="70" w:type="dxa"/>
          </w:tblCellMar>
        </w:tblPrEx>
        <w:trPr>
          <w:trHeight w:val="600" w:hRule="atLeast"/>
        </w:trPr>
        <w:tc>
          <w:tcPr>
            <w:tcW w:w="608" w:type="dxa"/>
            <w:tcBorders>
              <w:top w:val="single" w:color="auto" w:sz="4" w:space="0"/>
              <w:left w:val="single" w:color="auto" w:sz="4" w:space="0"/>
              <w:bottom w:val="single" w:color="auto" w:sz="4" w:space="0"/>
              <w:right w:val="single" w:color="auto" w:sz="4" w:space="0"/>
            </w:tcBorders>
            <w:shd w:val="clear" w:color="000000" w:fill="C5D9F1"/>
            <w:vAlign w:val="bottom"/>
          </w:tcPr>
          <w:p>
            <w:pPr>
              <w:suppressAutoHyphens w:val="0"/>
              <w:jc w:val="center"/>
              <w:rPr>
                <w:rFonts w:ascii="Calibri" w:hAnsi="Calibri" w:cs="Calibri"/>
                <w:b/>
                <w:bCs/>
                <w:lang w:eastAsia="pt-BR"/>
              </w:rPr>
            </w:pPr>
            <w:r>
              <w:rPr>
                <w:rFonts w:ascii="Calibri" w:hAnsi="Calibri" w:cs="Calibri"/>
                <w:b/>
                <w:bCs/>
                <w:lang w:eastAsia="pt-BR"/>
              </w:rPr>
              <w:t>ITEM</w:t>
            </w:r>
          </w:p>
        </w:tc>
        <w:tc>
          <w:tcPr>
            <w:tcW w:w="4774" w:type="dxa"/>
            <w:tcBorders>
              <w:top w:val="single" w:color="auto" w:sz="4" w:space="0"/>
              <w:left w:val="nil"/>
              <w:bottom w:val="single" w:color="auto" w:sz="4" w:space="0"/>
              <w:right w:val="single" w:color="auto" w:sz="4" w:space="0"/>
            </w:tcBorders>
            <w:shd w:val="clear" w:color="000000" w:fill="C5D9F1"/>
            <w:noWrap/>
            <w:vAlign w:val="center"/>
          </w:tcPr>
          <w:p>
            <w:pPr>
              <w:suppressAutoHyphens w:val="0"/>
              <w:jc w:val="center"/>
              <w:rPr>
                <w:rFonts w:ascii="Calibri" w:hAnsi="Calibri" w:cs="Calibri"/>
                <w:b/>
                <w:bCs/>
                <w:lang w:eastAsia="pt-BR"/>
              </w:rPr>
            </w:pPr>
            <w:r>
              <w:rPr>
                <w:rFonts w:ascii="Calibri" w:hAnsi="Calibri" w:cs="Calibri"/>
                <w:b/>
                <w:bCs/>
                <w:lang w:eastAsia="pt-BR"/>
              </w:rPr>
              <w:t>DESCRIÇÃO</w:t>
            </w:r>
          </w:p>
        </w:tc>
        <w:tc>
          <w:tcPr>
            <w:tcW w:w="992" w:type="dxa"/>
            <w:tcBorders>
              <w:top w:val="single" w:color="auto" w:sz="4" w:space="0"/>
              <w:left w:val="nil"/>
              <w:bottom w:val="single" w:color="auto" w:sz="4" w:space="0"/>
              <w:right w:val="single" w:color="auto" w:sz="4" w:space="0"/>
            </w:tcBorders>
            <w:shd w:val="clear" w:color="000000" w:fill="C5D9F1"/>
            <w:noWrap/>
            <w:vAlign w:val="center"/>
          </w:tcPr>
          <w:p>
            <w:pPr>
              <w:suppressAutoHyphens w:val="0"/>
              <w:jc w:val="center"/>
              <w:rPr>
                <w:rFonts w:ascii="Calibri" w:hAnsi="Calibri" w:cs="Calibri"/>
                <w:b/>
                <w:bCs/>
                <w:lang w:eastAsia="pt-BR"/>
              </w:rPr>
            </w:pPr>
            <w:r>
              <w:rPr>
                <w:rFonts w:ascii="Calibri" w:hAnsi="Calibri" w:cs="Calibri"/>
                <w:b/>
                <w:bCs/>
                <w:lang w:eastAsia="pt-BR"/>
              </w:rPr>
              <w:t>QUANT.</w:t>
            </w:r>
          </w:p>
        </w:tc>
        <w:tc>
          <w:tcPr>
            <w:tcW w:w="1418" w:type="dxa"/>
            <w:tcBorders>
              <w:top w:val="single" w:color="auto" w:sz="4" w:space="0"/>
              <w:left w:val="nil"/>
              <w:bottom w:val="single" w:color="auto" w:sz="4" w:space="0"/>
              <w:right w:val="single" w:color="auto" w:sz="4" w:space="0"/>
            </w:tcBorders>
            <w:shd w:val="clear" w:color="000000" w:fill="C5D9F1"/>
            <w:vAlign w:val="center"/>
          </w:tcPr>
          <w:p>
            <w:pPr>
              <w:suppressAutoHyphens w:val="0"/>
              <w:jc w:val="center"/>
              <w:rPr>
                <w:rFonts w:ascii="Calibri" w:hAnsi="Calibri" w:cs="Calibri"/>
                <w:b/>
                <w:bCs/>
                <w:lang w:eastAsia="pt-BR"/>
              </w:rPr>
            </w:pPr>
            <w:r>
              <w:rPr>
                <w:rFonts w:ascii="Calibri" w:hAnsi="Calibri" w:cs="Calibri"/>
                <w:b/>
                <w:bCs/>
                <w:lang w:eastAsia="pt-BR"/>
              </w:rPr>
              <w:t>VALOR UNITÁRIO</w:t>
            </w:r>
          </w:p>
        </w:tc>
        <w:tc>
          <w:tcPr>
            <w:tcW w:w="1275" w:type="dxa"/>
            <w:tcBorders>
              <w:top w:val="single" w:color="auto" w:sz="4" w:space="0"/>
              <w:left w:val="nil"/>
              <w:bottom w:val="single" w:color="auto" w:sz="4" w:space="0"/>
              <w:right w:val="single" w:color="auto" w:sz="4" w:space="0"/>
            </w:tcBorders>
            <w:shd w:val="clear" w:color="000000" w:fill="C5D9F1"/>
            <w:vAlign w:val="center"/>
          </w:tcPr>
          <w:p>
            <w:pPr>
              <w:suppressAutoHyphens w:val="0"/>
              <w:jc w:val="center"/>
              <w:rPr>
                <w:rFonts w:ascii="Calibri" w:hAnsi="Calibri" w:cs="Calibri"/>
                <w:b/>
                <w:bCs/>
                <w:lang w:eastAsia="pt-BR"/>
              </w:rPr>
            </w:pPr>
            <w:r>
              <w:rPr>
                <w:rFonts w:ascii="Calibri" w:hAnsi="Calibri" w:cs="Calibri"/>
                <w:b/>
                <w:bCs/>
                <w:lang w:eastAsia="pt-BR"/>
              </w:rPr>
              <w:t>VALOR ANUAL</w:t>
            </w:r>
          </w:p>
        </w:tc>
      </w:tr>
      <w:tr>
        <w:tblPrEx>
          <w:tblCellMar>
            <w:top w:w="0" w:type="dxa"/>
            <w:left w:w="70" w:type="dxa"/>
            <w:bottom w:w="0" w:type="dxa"/>
            <w:right w:w="70" w:type="dxa"/>
          </w:tblCellMar>
        </w:tblPrEx>
        <w:trPr>
          <w:trHeight w:val="12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1</w:t>
            </w:r>
          </w:p>
        </w:tc>
        <w:tc>
          <w:tcPr>
            <w:tcW w:w="4774" w:type="dxa"/>
            <w:tcBorders>
              <w:top w:val="nil"/>
              <w:left w:val="nil"/>
              <w:bottom w:val="single" w:color="auto" w:sz="4" w:space="0"/>
              <w:right w:val="single" w:color="auto" w:sz="4" w:space="0"/>
            </w:tcBorders>
            <w:shd w:val="clear" w:color="auto" w:fill="auto"/>
            <w:vAlign w:val="bottom"/>
          </w:tcPr>
          <w:p>
            <w:pPr>
              <w:suppressAutoHyphens w:val="0"/>
              <w:rPr>
                <w:rFonts w:ascii="Calibri" w:hAnsi="Calibri" w:cs="Calibri"/>
                <w:lang w:eastAsia="pt-BR"/>
              </w:rPr>
            </w:pPr>
            <w:r>
              <w:rPr>
                <w:rFonts w:hint="default" w:ascii="Calibri" w:hAnsi="Calibri"/>
                <w:lang w:eastAsia="pt-BR"/>
              </w:rPr>
              <w:t>Serviço de coleta, transporte e destinação final de resíduos, por um período de 12 meses, por empresa especializada, com locação de caçambas estacionárias com capacidade mínima de 5m³ nos municípios estabelecidos no TR</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hint="default" w:ascii="Calibri" w:hAnsi="Calibri" w:cs="Calibri"/>
                <w:lang w:val="en-US" w:eastAsia="pt-BR"/>
              </w:rPr>
            </w:pPr>
            <w:r>
              <w:rPr>
                <w:rFonts w:hint="default" w:ascii="Calibri" w:hAnsi="Calibri" w:cs="Calibri"/>
                <w:lang w:val="en-US" w:eastAsia="pt-BR"/>
              </w:rPr>
              <w:t>80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r>
        <w:tblPrEx>
          <w:tblCellMar>
            <w:top w:w="0" w:type="dxa"/>
            <w:left w:w="70" w:type="dxa"/>
            <w:bottom w:w="0" w:type="dxa"/>
            <w:right w:w="70" w:type="dxa"/>
          </w:tblCellMar>
        </w:tblPrEx>
        <w:trPr>
          <w:trHeight w:val="12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2</w:t>
            </w:r>
          </w:p>
        </w:tc>
        <w:tc>
          <w:tcPr>
            <w:tcW w:w="4774" w:type="dxa"/>
            <w:tcBorders>
              <w:top w:val="nil"/>
              <w:left w:val="nil"/>
              <w:bottom w:val="single" w:color="auto" w:sz="4" w:space="0"/>
              <w:right w:val="single" w:color="auto" w:sz="4" w:space="0"/>
            </w:tcBorders>
            <w:shd w:val="clear" w:color="auto" w:fill="auto"/>
            <w:vAlign w:val="center"/>
          </w:tcPr>
          <w:p>
            <w:pPr>
              <w:suppressAutoHyphens w:val="0"/>
              <w:rPr>
                <w:rFonts w:ascii="Calibri" w:hAnsi="Calibri" w:cs="Calibri"/>
                <w:lang w:eastAsia="pt-BR"/>
              </w:rPr>
            </w:pPr>
            <w:r>
              <w:rPr>
                <w:rFonts w:hint="default" w:ascii="Calibri" w:hAnsi="Calibri"/>
                <w:lang w:eastAsia="pt-BR"/>
              </w:rPr>
              <w:t>Serviço de coleta, transporte e destinação final de resíduos, por um período de 12 meses, por empresa especializada, com locação de caçambas estacionárias do tipo rollon com capacidade mínima de 30m³ no município de Niterói/RJ.</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20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r>
        <w:tblPrEx>
          <w:tblCellMar>
            <w:top w:w="0" w:type="dxa"/>
            <w:left w:w="70" w:type="dxa"/>
            <w:bottom w:w="0" w:type="dxa"/>
            <w:right w:w="70" w:type="dxa"/>
          </w:tblCellMar>
        </w:tblPrEx>
        <w:trPr>
          <w:trHeight w:val="180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3</w:t>
            </w:r>
          </w:p>
        </w:tc>
        <w:tc>
          <w:tcPr>
            <w:tcW w:w="4774" w:type="dxa"/>
            <w:tcBorders>
              <w:top w:val="nil"/>
              <w:left w:val="nil"/>
              <w:bottom w:val="single" w:color="auto" w:sz="4" w:space="0"/>
              <w:right w:val="single" w:color="auto" w:sz="4" w:space="0"/>
            </w:tcBorders>
            <w:shd w:val="clear" w:color="auto" w:fill="auto"/>
            <w:vAlign w:val="center"/>
          </w:tcPr>
          <w:p>
            <w:pPr>
              <w:suppressAutoHyphens w:val="0"/>
              <w:rPr>
                <w:rFonts w:ascii="Calibri" w:hAnsi="Calibri" w:cs="Calibri"/>
                <w:lang w:eastAsia="pt-BR"/>
              </w:rPr>
            </w:pPr>
            <w:r>
              <w:rPr>
                <w:rFonts w:hint="default" w:ascii="Calibri" w:hAnsi="Calibri"/>
                <w:lang w:eastAsia="pt-BR"/>
              </w:rPr>
              <w:t>Serviço de desobstrução e limpeza por hidro jateamento e/ou sucção de “bocas de lobo”, galerias de águas pluviais, galerias de esgoto, caixas de gordura, fossas e sumidouros, incluindo coleta, transporte e destinação final dos resíduos, com caminhões do tipo sewer jet e/ou vac all com capacidade mínima de 8m³ no município de Niterói/RJ.</w:t>
            </w:r>
          </w:p>
        </w:tc>
        <w:tc>
          <w:tcPr>
            <w:tcW w:w="992" w:type="dxa"/>
            <w:tcBorders>
              <w:top w:val="nil"/>
              <w:left w:val="nil"/>
              <w:bottom w:val="single" w:color="auto" w:sz="4" w:space="0"/>
              <w:right w:val="single" w:color="auto" w:sz="4" w:space="0"/>
            </w:tcBorders>
            <w:shd w:val="clear" w:color="auto" w:fill="auto"/>
            <w:noWrap/>
            <w:vAlign w:val="center"/>
          </w:tcPr>
          <w:p>
            <w:pPr>
              <w:suppressAutoHyphens w:val="0"/>
              <w:jc w:val="center"/>
              <w:rPr>
                <w:rFonts w:ascii="Calibri" w:hAnsi="Calibri" w:cs="Calibri"/>
                <w:lang w:eastAsia="pt-BR"/>
              </w:rPr>
            </w:pPr>
            <w:r>
              <w:rPr>
                <w:rFonts w:ascii="Calibri" w:hAnsi="Calibri" w:cs="Calibri"/>
                <w:lang w:eastAsia="pt-BR"/>
              </w:rPr>
              <w:t>120</w:t>
            </w:r>
          </w:p>
        </w:tc>
        <w:tc>
          <w:tcPr>
            <w:tcW w:w="1418"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bookmarkStart w:id="0" w:name="_GoBack"/>
            <w:bookmarkEnd w:id="0"/>
          </w:p>
        </w:tc>
        <w:tc>
          <w:tcPr>
            <w:tcW w:w="1275" w:type="dxa"/>
            <w:tcBorders>
              <w:top w:val="nil"/>
              <w:left w:val="nil"/>
              <w:bottom w:val="single" w:color="auto" w:sz="4" w:space="0"/>
              <w:right w:val="single" w:color="auto" w:sz="4" w:space="0"/>
            </w:tcBorders>
            <w:shd w:val="clear" w:color="auto" w:fill="auto"/>
            <w:noWrap/>
            <w:vAlign w:val="center"/>
          </w:tcPr>
          <w:p>
            <w:pPr>
              <w:suppressAutoHyphens w:val="0"/>
              <w:jc w:val="right"/>
              <w:rPr>
                <w:rFonts w:ascii="Calibri" w:hAnsi="Calibri" w:cs="Calibri"/>
                <w:lang w:eastAsia="pt-BR"/>
              </w:rPr>
            </w:pPr>
          </w:p>
        </w:tc>
      </w:tr>
    </w:tbl>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SEGUNDA – VIGÊNCIA</w:t>
      </w:r>
    </w:p>
    <w:p>
      <w:pPr>
        <w:pStyle w:val="60"/>
        <w:keepNext/>
        <w:keepLines/>
        <w:numPr>
          <w:ilvl w:val="1"/>
          <w:numId w:val="5"/>
        </w:numPr>
        <w:spacing w:before="120" w:after="120" w:line="276" w:lineRule="auto"/>
        <w:jc w:val="both"/>
        <w:rPr>
          <w:rFonts w:asciiTheme="minorHAnsi" w:hAnsiTheme="minorHAnsi" w:cstheme="minorHAnsi"/>
          <w:i/>
        </w:rPr>
      </w:pPr>
      <w:r>
        <w:rPr>
          <w:rFonts w:asciiTheme="minorHAnsi" w:hAnsiTheme="minorHAnsi" w:cstheme="minorHAnsi"/>
          <w:bCs/>
          <w:iCs/>
        </w:rPr>
        <w:t xml:space="preserve">O prazo de vigência deste Termo de Contrato é aquele fixado no Edital, com início na data de assinatura pela UFF, </w:t>
      </w:r>
      <w:r>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Esteja formalmente demonstrado que a forma de prestação dos serviços tem natureza continuada;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juntado relatório que discorra sobre a execução do contrato, com informações de que os serviços tenham sido prestados regularmente;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juntada justificativa e motivo, por escrito, de que a Administração mantém interesse na realização do serviço;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o valor do contrato permanece economicamente vantajoso para a Administração;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 xml:space="preserve">Haja manifestação expressa da contratada informando o interesse na prorrogação; </w:t>
      </w:r>
    </w:p>
    <w:p>
      <w:pPr>
        <w:keepNext/>
        <w:keepLines/>
        <w:numPr>
          <w:ilvl w:val="2"/>
          <w:numId w:val="3"/>
        </w:numPr>
        <w:tabs>
          <w:tab w:val="left" w:pos="1418"/>
          <w:tab w:val="clear" w:pos="2130"/>
        </w:tabs>
        <w:suppressAutoHyphens w:val="0"/>
        <w:spacing w:before="120" w:after="120" w:line="276" w:lineRule="auto"/>
        <w:ind w:left="709"/>
        <w:contextualSpacing/>
        <w:jc w:val="both"/>
        <w:rPr>
          <w:rFonts w:asciiTheme="minorHAnsi" w:hAnsiTheme="minorHAnsi" w:cstheme="minorHAnsi"/>
          <w:bCs/>
          <w:i/>
          <w:iCs/>
        </w:rPr>
      </w:pPr>
      <w:r>
        <w:rPr>
          <w:rFonts w:asciiTheme="minorHAnsi" w:hAnsiTheme="minorHAnsi" w:cstheme="minorHAnsi"/>
          <w:bCs/>
          <w:i/>
          <w:iCs/>
        </w:rPr>
        <w:t>Seja comprovado que a contratada mantém as condições iniciais de habilitação.</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A CONTRATADA não tem direito subjetivo à prorrogação contratual.</w:t>
      </w:r>
    </w:p>
    <w:p>
      <w:pPr>
        <w:keepNext/>
        <w:keepLines/>
        <w:numPr>
          <w:ilvl w:val="1"/>
          <w:numId w:val="3"/>
        </w:numPr>
        <w:tabs>
          <w:tab w:val="left" w:pos="1418"/>
        </w:tabs>
        <w:suppressAutoHyphens w:val="0"/>
        <w:spacing w:before="120" w:after="120" w:line="276" w:lineRule="auto"/>
        <w:ind w:left="709"/>
        <w:contextualSpacing/>
        <w:jc w:val="both"/>
        <w:rPr>
          <w:rFonts w:asciiTheme="minorHAnsi" w:hAnsiTheme="minorHAnsi" w:cstheme="minorHAnsi"/>
          <w:i/>
        </w:rPr>
      </w:pPr>
      <w:r>
        <w:rPr>
          <w:rFonts w:asciiTheme="minorHAnsi" w:hAnsiTheme="minorHAnsi" w:cstheme="minorHAnsi"/>
          <w:i/>
        </w:rPr>
        <w:t xml:space="preserve">A prorrogação de contrato deverá ser promovida mediante celebração de termo aditivo. </w:t>
      </w:r>
    </w:p>
    <w:p>
      <w:pPr>
        <w:pStyle w:val="18"/>
        <w:keepNext/>
        <w:keepLines/>
        <w:suppressAutoHyphens w:val="0"/>
        <w:spacing w:after="12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TERCEIRA - VALOR DO CONTRATO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O valor mensal da contratação é de R$ .......... (.....), perfazendo o valor total de R$ .......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keepNext/>
        <w:keepLines/>
        <w:tabs>
          <w:tab w:val="left" w:pos="709"/>
        </w:tabs>
        <w:spacing w:before="120" w:after="120" w:line="276" w:lineRule="auto"/>
        <w:ind w:left="426" w:firstLine="57"/>
        <w:contextualSpacing/>
        <w:jc w:val="both"/>
        <w:rPr>
          <w:rFonts w:asciiTheme="minorHAnsi" w:hAnsiTheme="minorHAnsi" w:cstheme="minorHAnsi"/>
          <w:bCs/>
          <w:iCs/>
        </w:rPr>
      </w:pPr>
      <w:r>
        <w:rPr>
          <w:rFonts w:asciiTheme="minorHAnsi" w:hAnsiTheme="minorHAnsi" w:cstheme="minorHAnsi"/>
          <w:bCs/>
          <w:iCs/>
        </w:rPr>
        <w:t>3.3. O valor acima é meramente estimativo, de forma que os pagamentos devidos à CONTRATADA dependerão dos quantitativos de serviços efetivamente prestados.</w:t>
      </w:r>
    </w:p>
    <w:p>
      <w:pPr>
        <w:pStyle w:val="18"/>
        <w:keepNext/>
        <w:keepLines/>
        <w:suppressAutoHyphens w:val="0"/>
        <w:spacing w:after="120"/>
        <w:ind w:left="360"/>
        <w:contextualSpacing/>
        <w:rPr>
          <w:rFonts w:asciiTheme="minorHAnsi" w:hAnsiTheme="minorHAnsi" w:cstheme="minorHAnsi"/>
          <w:sz w:val="20"/>
          <w:u w:val="none"/>
        </w:rPr>
      </w:pPr>
    </w:p>
    <w:p>
      <w:pPr>
        <w:pStyle w:val="18"/>
        <w:keepNext/>
        <w:keepLines/>
        <w:numPr>
          <w:ilvl w:val="0"/>
          <w:numId w:val="3"/>
        </w:numPr>
        <w:suppressAutoHyphens w:val="0"/>
        <w:spacing w:after="120"/>
        <w:contextualSpacing/>
        <w:rPr>
          <w:rFonts w:asciiTheme="minorHAnsi" w:hAnsiTheme="minorHAnsi" w:cstheme="minorHAnsi"/>
          <w:sz w:val="20"/>
          <w:u w:val="none"/>
        </w:rPr>
      </w:pPr>
      <w:r>
        <w:rPr>
          <w:rFonts w:asciiTheme="minorHAnsi" w:hAnsiTheme="minorHAnsi" w:cstheme="minorHAnsi"/>
          <w:sz w:val="20"/>
          <w:u w:val="none"/>
        </w:rPr>
        <w:t>CLAUSULA QUARTA – DOTAÇÃO ORÇAMENTÁRIA</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As despesas decorrentes desta contratação estão programadas em dotação orçamentária própria, prevista no orçamento da União, para o exercício de 2022, na classificação abaixo:</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Gestão/Unidade: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Fonte: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Programa de Trabalho: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Elemento de Despesa:  </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PI:</w:t>
      </w:r>
    </w:p>
    <w:p>
      <w:pPr>
        <w:keepNext/>
        <w:keepLines/>
        <w:numPr>
          <w:ilvl w:val="1"/>
          <w:numId w:val="3"/>
        </w:numPr>
        <w:tabs>
          <w:tab w:val="left" w:pos="709"/>
          <w:tab w:val="clear" w:pos="1065"/>
        </w:tabs>
        <w:suppressAutoHyphens w:val="0"/>
        <w:spacing w:before="120" w:after="120" w:line="276" w:lineRule="auto"/>
        <w:ind w:left="426"/>
        <w:contextualSpacing/>
        <w:jc w:val="both"/>
        <w:rPr>
          <w:rFonts w:asciiTheme="minorHAnsi" w:hAnsiTheme="minorHAnsi" w:cstheme="minorHAnsi"/>
          <w:bCs/>
          <w:iCs/>
        </w:rPr>
      </w:pPr>
      <w:r>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pPr>
        <w:pStyle w:val="10"/>
        <w:keepLines/>
        <w:spacing w:after="120"/>
        <w:contextualSpacing/>
        <w:rPr>
          <w:rFonts w:asciiTheme="minorHAnsi" w:hAnsiTheme="minorHAnsi" w:cstheme="minorHAnsi"/>
          <w:sz w:val="20"/>
        </w:rPr>
      </w:pPr>
    </w:p>
    <w:p>
      <w:pPr>
        <w:pStyle w:val="10"/>
        <w:keepLines/>
        <w:numPr>
          <w:ilvl w:val="0"/>
          <w:numId w:val="3"/>
        </w:numPr>
        <w:spacing w:after="120"/>
        <w:contextualSpacing/>
        <w:rPr>
          <w:rFonts w:asciiTheme="minorHAnsi" w:hAnsiTheme="minorHAnsi" w:cstheme="minorHAnsi"/>
          <w:sz w:val="20"/>
        </w:rPr>
      </w:pPr>
      <w:r>
        <w:rPr>
          <w:rFonts w:asciiTheme="minorHAnsi" w:hAnsiTheme="minorHAnsi" w:cstheme="minorHAnsi"/>
          <w:sz w:val="20"/>
        </w:rPr>
        <w:t>CLÁUSULA QUINTA - PAGAMENTO</w:t>
      </w:r>
    </w:p>
    <w:p>
      <w:pPr>
        <w:pStyle w:val="60"/>
        <w:keepNext/>
        <w:keepLines/>
        <w:numPr>
          <w:ilvl w:val="1"/>
          <w:numId w:val="6"/>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pPr>
        <w:pStyle w:val="18"/>
        <w:keepNext/>
        <w:keepLines/>
        <w:suppressAutoHyphens w:val="0"/>
        <w:spacing w:after="120"/>
        <w:ind w:left="360"/>
        <w:contextualSpacing/>
        <w:rPr>
          <w:rFonts w:asciiTheme="minorHAnsi" w:hAnsiTheme="minorHAnsi" w:cstheme="minorHAnsi"/>
          <w:sz w:val="20"/>
          <w:u w:val="none"/>
        </w:rPr>
      </w:pPr>
    </w:p>
    <w:p>
      <w:pPr>
        <w:pStyle w:val="64"/>
        <w:numPr>
          <w:ilvl w:val="0"/>
          <w:numId w:val="6"/>
        </w:numPr>
        <w:contextualSpacing/>
        <w:rPr>
          <w:rFonts w:asciiTheme="minorHAnsi" w:hAnsiTheme="minorHAnsi" w:cstheme="minorHAnsi"/>
        </w:rPr>
      </w:pPr>
      <w:r>
        <w:rPr>
          <w:rFonts w:asciiTheme="minorHAnsi" w:hAnsiTheme="minorHAnsi" w:cstheme="minorHAnsi"/>
        </w:rPr>
        <w:t>CLAUSULA SEXTA - REAJUSTAMENTO DE PREÇOS EM SENTIDO AMPLO</w:t>
      </w:r>
    </w:p>
    <w:p>
      <w:pPr>
        <w:pStyle w:val="60"/>
        <w:keepNext/>
        <w:keepLines/>
        <w:numPr>
          <w:ilvl w:val="1"/>
          <w:numId w:val="6"/>
        </w:numPr>
        <w:spacing w:before="120" w:after="120" w:line="276" w:lineRule="auto"/>
        <w:jc w:val="both"/>
        <w:rPr>
          <w:rFonts w:asciiTheme="minorHAnsi" w:hAnsiTheme="minorHAnsi" w:cstheme="minorHAnsi"/>
          <w:bCs/>
          <w:iCs/>
          <w:lang w:eastAsia="ar-SA"/>
        </w:rPr>
      </w:pPr>
      <w:r>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pPr>
        <w:pStyle w:val="18"/>
        <w:keepNext/>
        <w:keepLines/>
        <w:tabs>
          <w:tab w:val="left" w:pos="-3544"/>
        </w:tabs>
        <w:suppressAutoHyphens w:val="0"/>
        <w:spacing w:after="120"/>
        <w:ind w:right="51"/>
        <w:contextualSpacing/>
        <w:rPr>
          <w:rFonts w:asciiTheme="minorHAnsi" w:hAnsiTheme="minorHAnsi" w:cstheme="minorHAnsi"/>
          <w:sz w:val="20"/>
        </w:rPr>
      </w:pPr>
    </w:p>
    <w:p>
      <w:pPr>
        <w:pStyle w:val="64"/>
        <w:numPr>
          <w:ilvl w:val="0"/>
          <w:numId w:val="6"/>
        </w:numPr>
        <w:contextualSpacing/>
        <w:rPr>
          <w:rFonts w:asciiTheme="minorHAnsi" w:hAnsiTheme="minorHAnsi" w:cstheme="minorHAnsi"/>
        </w:rPr>
      </w:pPr>
      <w:r>
        <w:rPr>
          <w:rFonts w:asciiTheme="minorHAnsi" w:hAnsiTheme="minorHAnsi" w:cstheme="minorHAnsi"/>
        </w:rPr>
        <w:t>CLAUSULA SÉTIMA - GARANTIA DE EXECUÇÃO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será exigida a prestação de garantia na presente contratação, conforme regras constantes do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CLAUSULA OITAVA- MODELO DE EXECUÇÃO DOS SERVIÇOS E FISCALIZAÇÃO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18"/>
        <w:keepNext/>
        <w:keepLines/>
        <w:suppressAutoHyphens w:val="0"/>
        <w:spacing w:before="100" w:after="100"/>
        <w:contextualSpacing/>
        <w:rPr>
          <w:rFonts w:asciiTheme="minorHAnsi" w:hAnsiTheme="minorHAnsi" w:cstheme="minorHAnsi"/>
          <w:sz w:val="20"/>
          <w:u w:val="none"/>
        </w:rPr>
      </w:pPr>
    </w:p>
    <w:p>
      <w:pPr>
        <w:pStyle w:val="18"/>
        <w:keepNext/>
        <w:keepLines/>
        <w:numPr>
          <w:ilvl w:val="0"/>
          <w:numId w:val="6"/>
        </w:numPr>
        <w:suppressAutoHyphens w:val="0"/>
        <w:spacing w:before="100" w:after="100"/>
        <w:contextualSpacing/>
        <w:rPr>
          <w:rFonts w:asciiTheme="minorHAnsi" w:hAnsiTheme="minorHAnsi" w:eastAsiaTheme="majorEastAsia" w:cstheme="minorHAnsi"/>
          <w:bCs/>
          <w:sz w:val="20"/>
          <w:u w:val="none"/>
          <w:lang w:eastAsia="pt-BR"/>
        </w:rPr>
      </w:pPr>
      <w:r>
        <w:rPr>
          <w:rFonts w:asciiTheme="minorHAnsi" w:hAnsiTheme="minorHAnsi" w:eastAsiaTheme="majorEastAsia" w:cstheme="minorHAnsi"/>
          <w:bCs/>
          <w:sz w:val="20"/>
          <w:u w:val="none"/>
          <w:lang w:eastAsia="pt-BR"/>
        </w:rPr>
        <w:t>CLAUSULA NOVA - OBRIGAÇÕES DA CONTRATANTE E DA CONTRATADA</w:t>
      </w:r>
    </w:p>
    <w:p>
      <w:pPr>
        <w:pStyle w:val="60"/>
        <w:keepNext/>
        <w:keepLines/>
        <w:numPr>
          <w:ilvl w:val="1"/>
          <w:numId w:val="6"/>
        </w:numPr>
        <w:spacing w:before="120" w:after="120" w:line="276" w:lineRule="auto"/>
        <w:jc w:val="both"/>
        <w:rPr>
          <w:rFonts w:asciiTheme="minorHAnsi" w:hAnsiTheme="minorHAnsi" w:cstheme="minorHAnsi"/>
        </w:rPr>
      </w:pPr>
      <w:r>
        <w:rPr>
          <w:rFonts w:asciiTheme="minorHAnsi" w:hAnsiTheme="minorHAnsi" w:cstheme="minorHAnsi"/>
        </w:rPr>
        <w:t>As obrigações da CONTRATANTE e da CONTRATADA são aquelas previstas no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 SANÇÕES ADMINISTRATIVAS.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sanções relacionadas à execução do contrato são aquelas previstas no Termo de Referência, anexo do Edital.</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PRIMEIRA – RESCISÃO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presente Termo de Contrato poderá ser rescindido:</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 xml:space="preserve">amigavelmente, nos termos do art. 79, inciso II, da Lei nº 8.666, de 1993. </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reconhece os direitos da CONTRATANTE em caso de rescisão administrativa prevista no art. 77 da Lei nº 8.666, de 1993.</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termo de rescisão, sempre que possível, será precedido:</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Balanço dos eventos contratuais já cumpridos ou parcialmente cumpridos;</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Relação dos pagamentos já efetuados e ainda devidos;</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rPr>
        <w:t>Indenizações e multas.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szCs w:val="24"/>
        </w:rPr>
      </w:pPr>
      <w:r>
        <w:rPr>
          <w:rFonts w:asciiTheme="minorHAnsi" w:hAnsiTheme="minorHAnsi" w:cstheme="minorHAnsi"/>
          <w:color w:val="000000"/>
        </w:rPr>
        <w:t xml:space="preserve">O não pagamento dos salários e das verbas trabalhistas, e o não recolhimento das contribuições sociais, previdenciárias e para com o FGTS </w:t>
      </w:r>
      <w:r>
        <w:rPr>
          <w:rFonts w:asciiTheme="minorHAnsi" w:hAnsiTheme="minorHAnsi" w:cstheme="minorHAnsi"/>
        </w:rPr>
        <w:t xml:space="preserve">poderá dar ensejo à rescisão </w:t>
      </w:r>
      <w:r>
        <w:rPr>
          <w:rFonts w:asciiTheme="minorHAnsi" w:hAnsiTheme="minorHAnsi" w:cstheme="minorHAnsi"/>
          <w:color w:val="000000"/>
        </w:rPr>
        <w:t>do contrato por ato unilateral e escrito do CONTRATANTE e à aplicação das penalidades cabíveis</w:t>
      </w:r>
      <w:r>
        <w:rPr>
          <w:rFonts w:asciiTheme="minorHAnsi" w:hAnsiTheme="minorHAnsi" w:cstheme="minorHAnsi"/>
        </w:rPr>
        <w:t xml:space="preserve"> (art. 8º, inciso IV, do Decreto n.º 9.507, de 2018). </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Quando</w:t>
      </w:r>
      <w:r>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color w:val="000000"/>
        </w:rPr>
      </w:pPr>
      <w:r>
        <w:rPr>
          <w:rFonts w:asciiTheme="minorHAnsi" w:hAnsiTheme="minorHAnsi" w:cstheme="minorHAnsi"/>
        </w:rPr>
        <w:t>Até</w:t>
      </w:r>
      <w:r>
        <w:rPr>
          <w:rFonts w:asciiTheme="minorHAnsi" w:hAnsiTheme="minorHAnsi" w:cstheme="minorHAnsi"/>
          <w:color w:val="000000"/>
        </w:rPr>
        <w:t xml:space="preserve"> que a CONTRATADA comprove o disposto no item anterior, a CONTRATANTE reterá:</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color w:val="000000"/>
        </w:rPr>
        <w:t>os valores das Notas fiscais ou Faturas correspondentes em valor proporcional ao inadimplemento, até que a situação seja regularizada.</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color w:val="000000"/>
        </w:rPr>
        <w:t xml:space="preserve">Na </w:t>
      </w:r>
      <w:r>
        <w:rPr>
          <w:rFonts w:asciiTheme="minorHAnsi" w:hAnsiTheme="minorHAnsi" w:cstheme="minorHAnsi"/>
        </w:rPr>
        <w:t>hipótese</w:t>
      </w:r>
      <w:r>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CONTRATANTE poderá ainda:</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color w:val="000000"/>
        </w:rPr>
      </w:pPr>
      <w:r>
        <w:rPr>
          <w:rFonts w:asciiTheme="minorHAnsi" w:hAnsiTheme="minorHAnsi" w:cstheme="minorHAnsi"/>
        </w:rPr>
        <w:t xml:space="preserve"> </w:t>
      </w:r>
      <w:r>
        <w:rPr>
          <w:rFonts w:asciiTheme="minorHAnsi" w:hAnsiTheme="minorHAnsi" w:cstheme="minorHAnsi"/>
          <w:color w:val="000000"/>
        </w:rPr>
        <w:t>nos casos de obrigação de pagamento de multa pela CONTRATADA, reter a garantia prestada a ser executada, conforme legislação que rege a matéria; e</w:t>
      </w:r>
    </w:p>
    <w:p>
      <w:pPr>
        <w:keepNext/>
        <w:keepLines/>
        <w:numPr>
          <w:ilvl w:val="2"/>
          <w:numId w:val="6"/>
        </w:numPr>
        <w:suppressAutoHyphens w:val="0"/>
        <w:spacing w:before="120" w:after="120" w:line="276" w:lineRule="auto"/>
        <w:ind w:left="1134"/>
        <w:contextualSpacing/>
        <w:jc w:val="both"/>
        <w:rPr>
          <w:rFonts w:asciiTheme="minorHAnsi" w:hAnsiTheme="minorHAnsi" w:cstheme="minorHAnsi"/>
        </w:rPr>
      </w:pPr>
      <w:r>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Pr>
          <w:rFonts w:asciiTheme="minorHAnsi" w:hAnsiTheme="minorHAnsi" w:cstheme="minorHAnsi"/>
        </w:rPr>
        <w:t xml:space="preserve"> em favor da CONTRATADA decorrentes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 contrato poderá ser rescindido no caso de se constatar a ocorrência da vedação estabelecida no art. 5º do Decreto n.º 9.507, de 2018.</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SEGUNDA – VEDAÇÕES E PERMISSÕES</w:t>
      </w:r>
    </w:p>
    <w:p>
      <w:pPr>
        <w:rPr>
          <w:lang w:eastAsia="pt-BR"/>
        </w:rPr>
      </w:pPr>
    </w:p>
    <w:p>
      <w:pPr>
        <w:pStyle w:val="64"/>
        <w:numPr>
          <w:ilvl w:val="1"/>
          <w:numId w:val="6"/>
        </w:numPr>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vedado à CONTRATADA interromper a execução dos serviços sob alegação de inadimplemento por parte da CONTRATANTE, salvo nos casos previstos em lei.</w:t>
      </w:r>
    </w:p>
    <w:p>
      <w:pPr>
        <w:pStyle w:val="64"/>
        <w:numPr>
          <w:ilvl w:val="1"/>
          <w:numId w:val="6"/>
        </w:numPr>
        <w:tabs>
          <w:tab w:val="left" w:pos="1080"/>
        </w:tabs>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É permitido à CONTRATADA caucionar ou utilizar este Termo de Contrato para qualquer operação financeira, nos termos e de acordo com os procedimentos previstos na Instrução Normativa SEGES/ME nº 53, de 8 de Julho de 2020.</w:t>
      </w:r>
    </w:p>
    <w:p>
      <w:pPr>
        <w:pStyle w:val="64"/>
        <w:numPr>
          <w:ilvl w:val="2"/>
          <w:numId w:val="6"/>
        </w:numPr>
        <w:tabs>
          <w:tab w:val="left" w:pos="1800"/>
        </w:tabs>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pPr>
        <w:pStyle w:val="64"/>
        <w:numPr>
          <w:ilvl w:val="2"/>
          <w:numId w:val="6"/>
        </w:numPr>
        <w:ind w:left="360" w:hanging="360"/>
        <w:contextualSpacing/>
        <w:rPr>
          <w:rFonts w:eastAsia="Times New Roman" w:asciiTheme="minorHAnsi" w:hAnsiTheme="minorHAnsi" w:cstheme="minorHAnsi"/>
          <w:b w:val="0"/>
          <w:bCs w:val="0"/>
          <w:color w:val="000000"/>
          <w:lang w:eastAsia="ar-SA"/>
        </w:rPr>
      </w:pPr>
      <w:r>
        <w:rPr>
          <w:rFonts w:eastAsia="Times New Roman" w:asciiTheme="minorHAnsi" w:hAnsiTheme="minorHAnsi" w:cstheme="minorHAnsi"/>
          <w:b w:val="0"/>
          <w:bCs w:val="0"/>
          <w:color w:val="000000"/>
          <w:lang w:eastAsia="ar-SA"/>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pPr>
        <w:contextualSpacing/>
      </w:pPr>
    </w:p>
    <w:p>
      <w:pPr>
        <w:pStyle w:val="64"/>
        <w:numPr>
          <w:ilvl w:val="0"/>
          <w:numId w:val="6"/>
        </w:numPr>
        <w:contextualSpacing/>
        <w:rPr>
          <w:rFonts w:asciiTheme="minorHAnsi" w:hAnsiTheme="minorHAnsi" w:cstheme="minorHAnsi"/>
        </w:rPr>
      </w:pPr>
      <w:r>
        <w:rPr>
          <w:rFonts w:asciiTheme="minorHAnsi" w:hAnsiTheme="minorHAnsi" w:cstheme="minorHAnsi"/>
        </w:rPr>
        <w:t>CLÁUSULA DÉCIMA TERCEIRA – ALTERAÇÕES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Eventuais alterações contratuais reger-se-ão pela disciplina do art. 65 da Lei nº 8.666, de 1993, bem como do ANEXO X da IN/SEGES/MP nº 05, de 2017.</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As supressões resultantes de acordo celebrado entre as partes contratantes poderão exceder o limite de 25% (vinte e cinco por cento) do valor inicial atualizado do contrato.</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QUARTA – DOS CASOS OMISSOS</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pStyle w:val="64"/>
        <w:numPr>
          <w:ilvl w:val="0"/>
          <w:numId w:val="6"/>
        </w:numPr>
        <w:contextualSpacing/>
        <w:rPr>
          <w:rFonts w:asciiTheme="minorHAnsi" w:hAnsiTheme="minorHAnsi" w:cstheme="minorHAnsi"/>
        </w:rPr>
      </w:pPr>
      <w:r>
        <w:rPr>
          <w:rFonts w:asciiTheme="minorHAnsi" w:hAnsiTheme="minorHAnsi" w:cstheme="minorHAnsi"/>
        </w:rPr>
        <w:t>CLÁUSULA DÉCIMA QUINTA – PUBLICAÇÃO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Incumbirá à CONTRATANTE providenciar a publicação deste instrumento, por extrato, no Diário Oficial da União, no prazo previsto na Lei nº 8.666, de 1993.</w:t>
      </w:r>
    </w:p>
    <w:p>
      <w:pPr>
        <w:keepNext/>
        <w:keepLines/>
        <w:suppressAutoHyphens w:val="0"/>
        <w:spacing w:before="120" w:after="120" w:line="276" w:lineRule="auto"/>
        <w:contextualSpacing/>
        <w:jc w:val="both"/>
        <w:rPr>
          <w:rFonts w:asciiTheme="minorHAnsi" w:hAnsiTheme="minorHAnsi" w:cstheme="minorHAnsi"/>
        </w:rPr>
      </w:pPr>
    </w:p>
    <w:p>
      <w:pPr>
        <w:pStyle w:val="64"/>
        <w:numPr>
          <w:ilvl w:val="0"/>
          <w:numId w:val="6"/>
        </w:numPr>
        <w:contextualSpacing/>
        <w:rPr>
          <w:rFonts w:asciiTheme="minorHAnsi" w:hAnsiTheme="minorHAnsi" w:cstheme="minorHAnsi"/>
        </w:rPr>
      </w:pPr>
      <w:r>
        <w:rPr>
          <w:rFonts w:asciiTheme="minorHAnsi" w:hAnsiTheme="minorHAnsi" w:cstheme="minorHAnsi"/>
        </w:rPr>
        <w:t>CLÁUSULA DÉCIMA SEXTA – FORO</w:t>
      </w:r>
    </w:p>
    <w:p>
      <w:pPr>
        <w:keepNext/>
        <w:keepLines/>
        <w:numPr>
          <w:ilvl w:val="1"/>
          <w:numId w:val="6"/>
        </w:numPr>
        <w:suppressAutoHyphens w:val="0"/>
        <w:spacing w:before="120" w:after="120" w:line="276" w:lineRule="auto"/>
        <w:ind w:left="425"/>
        <w:contextualSpacing/>
        <w:jc w:val="both"/>
        <w:rPr>
          <w:rFonts w:asciiTheme="minorHAnsi" w:hAnsiTheme="minorHAnsi" w:cstheme="minorHAnsi"/>
        </w:rPr>
      </w:pPr>
      <w:r>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pPr>
        <w:keepNext/>
        <w:keepLines/>
        <w:spacing w:after="120" w:line="360" w:lineRule="auto"/>
        <w:ind w:right="-15" w:firstLine="540"/>
        <w:contextualSpacing/>
        <w:jc w:val="both"/>
        <w:rPr>
          <w:rFonts w:asciiTheme="minorHAnsi" w:hAnsiTheme="minorHAnsi" w:cstheme="minorHAnsi"/>
        </w:rPr>
      </w:pPr>
    </w:p>
    <w:p>
      <w:pPr>
        <w:keepNext/>
        <w:keepLines/>
        <w:spacing w:after="120" w:line="360" w:lineRule="auto"/>
        <w:ind w:right="-15" w:firstLine="540"/>
        <w:contextualSpacing/>
        <w:jc w:val="both"/>
        <w:rPr>
          <w:rFonts w:asciiTheme="minorHAnsi" w:hAnsiTheme="minorHAnsi" w:cstheme="minorHAnsi"/>
        </w:rPr>
      </w:pPr>
      <w:r>
        <w:rPr>
          <w:rFonts w:asciiTheme="minorHAnsi" w:hAnsiTheme="minorHAnsi" w:cstheme="minorHAnsi"/>
        </w:rPr>
        <w:t xml:space="preserve">Para firmeza e validade do pactuado, o presente Termo de Contrato foi lavrado em uma via eletrônica que, depois de lido e achado em ordem, vai assinado pelos contraentes e por duas testemunhas. </w:t>
      </w:r>
    </w:p>
    <w:p>
      <w:pPr>
        <w:pStyle w:val="18"/>
        <w:keepNext/>
        <w:keepLines/>
        <w:suppressAutoHyphens w:val="0"/>
        <w:spacing w:before="100" w:after="100"/>
        <w:contextualSpacing/>
        <w:rPr>
          <w:rFonts w:asciiTheme="minorHAnsi" w:hAnsiTheme="minorHAnsi" w:eastAsiaTheme="majorEastAsia" w:cstheme="minorHAnsi"/>
          <w:bCs/>
          <w:sz w:val="20"/>
          <w:u w:val="none"/>
          <w:lang w:eastAsia="pt-BR"/>
        </w:rPr>
      </w:pPr>
    </w:p>
    <w:p>
      <w:pPr>
        <w:keepNext/>
        <w:keepLines/>
        <w:contextualSpacing/>
        <w:rPr>
          <w:rFonts w:asciiTheme="minorHAnsi" w:hAnsiTheme="minorHAnsi" w:cstheme="minorHAnsi"/>
        </w:rPr>
      </w:pPr>
    </w:p>
    <w:p>
      <w:pPr>
        <w:pStyle w:val="64"/>
        <w:numPr>
          <w:ilvl w:val="0"/>
          <w:numId w:val="0"/>
        </w:numPr>
        <w:ind w:left="360" w:hanging="360"/>
        <w:contextualSpacing/>
        <w:jc w:val="right"/>
        <w:rPr>
          <w:rFonts w:asciiTheme="minorHAnsi" w:hAnsiTheme="minorHAnsi" w:cstheme="minorHAnsi"/>
        </w:rPr>
      </w:pPr>
      <w:r>
        <w:rPr>
          <w:rFonts w:asciiTheme="minorHAnsi" w:hAnsiTheme="minorHAnsi" w:cstheme="minorHAnsi"/>
        </w:rPr>
        <w:t>Niterói (RJ), ___ de __________ de 2022.</w:t>
      </w:r>
    </w:p>
    <w:p>
      <w:pPr>
        <w:keepNext/>
        <w:keepLines/>
        <w:contextualSpacing/>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p>
    <w:p>
      <w:pPr>
        <w:tabs>
          <w:tab w:val="left" w:pos="1656"/>
        </w:tabs>
        <w:rPr>
          <w:rFonts w:asciiTheme="minorHAnsi" w:hAnsiTheme="minorHAnsi" w:cstheme="minorHAnsi"/>
        </w:rPr>
      </w:pPr>
      <w:r>
        <w:rPr>
          <w:rFonts w:asciiTheme="minorHAnsi" w:hAnsiTheme="minorHAnsi" w:cstheme="minorHAnsi"/>
        </w:rPr>
        <w:tab/>
      </w:r>
    </w:p>
    <w:sectPr>
      <w:headerReference r:id="rId5" w:type="first"/>
      <w:headerReference r:id="rId3" w:type="default"/>
      <w:footerReference r:id="rId6" w:type="default"/>
      <w:headerReference r:id="rId4" w:type="even"/>
      <w:footerReference r:id="rId7" w:type="even"/>
      <w:footnotePr>
        <w:pos w:val="beneathText"/>
      </w:footnotePr>
      <w:pgSz w:w="11905" w:h="16837"/>
      <w:pgMar w:top="1276" w:right="992" w:bottom="851" w:left="127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Nimbus Sans L">
    <w:altName w:val="Arial"/>
    <w:panose1 w:val="00000000000000000000"/>
    <w:charset w:val="00"/>
    <w:family w:val="swiss"/>
    <w:pitch w:val="default"/>
    <w:sig w:usb0="00000000" w:usb1="00000000" w:usb2="00000000" w:usb3="00000000" w:csb0="00000000" w:csb1="00000000"/>
  </w:font>
  <w:font w:name="HG Mincho Light J">
    <w:altName w:val="Times New Roman"/>
    <w:panose1 w:val="00000000000000000000"/>
    <w:charset w:val="00"/>
    <w:family w:val="auto"/>
    <w:pitch w:val="default"/>
    <w:sig w:usb0="00000000" w:usb1="00000000" w:usb2="00000000" w:usb3="00000000" w:csb0="00000000"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544"/>
        <w:tab w:val="left" w:pos="3981"/>
        <w:tab w:val="right" w:pos="9277"/>
      </w:tabs>
      <w:ind w:right="360"/>
      <w:rPr>
        <w:rFonts w:ascii="Verdana" w:hAnsi="Verdana"/>
        <w:sz w:val="16"/>
        <w:szCs w:val="16"/>
      </w:rPr>
    </w:pPr>
    <w:r>
      <w:rPr>
        <w:rFonts w:ascii="Verdana" w:hAnsi="Verdana"/>
        <w:i/>
        <w:sz w:val="16"/>
        <w:szCs w:val="16"/>
      </w:rPr>
      <w:t>Anexo V - Minuta Contrato Modelo AGU</w:t>
    </w:r>
    <w:r>
      <w:rPr>
        <w:rFonts w:ascii="Verdana" w:hAnsi="Verdana"/>
        <w:i/>
        <w:sz w:val="16"/>
        <w:szCs w:val="16"/>
      </w:rPr>
      <w:tab/>
    </w:r>
    <w:r>
      <w:rPr>
        <w:rFonts w:ascii="Verdana" w:hAnsi="Verdana"/>
        <w:i/>
        <w:sz w:val="16"/>
        <w:szCs w:val="16"/>
      </w:rPr>
      <w:tab/>
    </w:r>
    <w:r>
      <w:rPr>
        <w:rFonts w:ascii="Verdana" w:hAnsi="Verdana"/>
        <w:sz w:val="16"/>
        <w:szCs w:val="16"/>
      </w:rPr>
      <w:tab/>
    </w:r>
    <w:r>
      <w:rPr>
        <w:rFonts w:ascii="Verdana" w:hAnsi="Verdana"/>
        <w:sz w:val="16"/>
        <w:szCs w:val="16"/>
      </w:rPr>
      <w:tab/>
    </w:r>
    <w:r>
      <w:rPr>
        <w:rFonts w:ascii="Verdana" w:hAnsi="Verdana"/>
        <w:sz w:val="16"/>
        <w:szCs w:val="16"/>
      </w:rPr>
      <w:t xml:space="preserve">– Pág. </w:t>
    </w:r>
    <w:r>
      <w:rPr>
        <w:rStyle w:val="17"/>
        <w:rFonts w:ascii="Verdana" w:hAnsi="Verdana"/>
        <w:sz w:val="16"/>
        <w:szCs w:val="16"/>
      </w:rPr>
      <w:fldChar w:fldCharType="begin"/>
    </w:r>
    <w:r>
      <w:rPr>
        <w:rStyle w:val="17"/>
        <w:rFonts w:ascii="Verdana" w:hAnsi="Verdana"/>
        <w:sz w:val="16"/>
        <w:szCs w:val="16"/>
      </w:rPr>
      <w:instrText xml:space="preserve"> PAGE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r>
      <w:rPr>
        <w:rStyle w:val="17"/>
        <w:rFonts w:ascii="Verdana" w:hAnsi="Verdana"/>
        <w:sz w:val="16"/>
        <w:szCs w:val="16"/>
      </w:rPr>
      <w:t>/</w:t>
    </w:r>
    <w:r>
      <w:rPr>
        <w:rStyle w:val="17"/>
        <w:rFonts w:ascii="Verdana" w:hAnsi="Verdana"/>
        <w:sz w:val="16"/>
        <w:szCs w:val="16"/>
      </w:rPr>
      <w:fldChar w:fldCharType="begin"/>
    </w:r>
    <w:r>
      <w:rPr>
        <w:rStyle w:val="17"/>
        <w:rFonts w:ascii="Verdana" w:hAnsi="Verdana"/>
        <w:sz w:val="16"/>
        <w:szCs w:val="16"/>
      </w:rPr>
      <w:instrText xml:space="preserve"> NUMPAGES </w:instrText>
    </w:r>
    <w:r>
      <w:rPr>
        <w:rStyle w:val="17"/>
        <w:rFonts w:ascii="Verdana" w:hAnsi="Verdana"/>
        <w:sz w:val="16"/>
        <w:szCs w:val="16"/>
      </w:rPr>
      <w:fldChar w:fldCharType="separate"/>
    </w:r>
    <w:r>
      <w:rPr>
        <w:rStyle w:val="17"/>
        <w:rFonts w:ascii="Verdana" w:hAnsi="Verdana"/>
        <w:sz w:val="16"/>
        <w:szCs w:val="16"/>
      </w:rPr>
      <w:t>5</w:t>
    </w:r>
    <w:r>
      <w:rPr>
        <w:rStyle w:val="17"/>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pict>
        <v:shape id="PowerPlusWaterMarkObject968216439" o:spid="_x0000_s1027" o:spt="136" type="#_x0000_t136" style="position:absolute;left:0pt;height:150.95pt;width:528.4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r>
      <w:rPr>
        <w:rFonts w:ascii="Verdana" w:hAnsi="Verdana"/>
        <w:sz w:val="16"/>
        <w:szCs w:val="16"/>
      </w:rPr>
      <w:t>Processo n.º 23069.151880/2022-14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PowerPlusWaterMarkObject968216438" o:spid="_x0000_s1026" o:spt="136" type="#_x0000_t136" style="position:absolute;left:0pt;height:150.95pt;width:528.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pict>
        <v:shape id="PowerPlusWaterMarkObject968216437" o:spid="_x0000_s1025" o:spt="136" type="#_x0000_t136" style="position:absolute;left:0pt;height:150.95pt;width:52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MINUTA" style="font-family:Times New Roman;font-size:1pt;v-text-align:center;"/>
        </v:shape>
      </w:pict>
    </w:r>
    <w:r>
      <w:rPr>
        <w:lang w:eastAsia="pt-BR"/>
      </w:rPr>
      <mc:AlternateContent>
        <mc:Choice Requires="wps">
          <w:drawing>
            <wp:anchor distT="0" distB="0" distL="114300" distR="114300" simplePos="0" relativeHeight="251660288" behindDoc="0" locked="0" layoutInCell="1" allowOverlap="1">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wps:spPr>
                    <wps:txbx>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anchor>
          </w:drawing>
        </mc:Choice>
        <mc:Fallback>
          <w:pict>
            <v:shape id="WordArt 2" o:spid="_x0000_s1026" o:spt="202" type="#_x0000_t202" style="position:absolute;left:0pt;margin-left:440.5pt;margin-top:-13.8pt;height:57.6pt;width:57.75pt;z-index:251660288;mso-width-relative:page;mso-height-relative:page;" filled="f" stroked="f" coordsize="21600,21600" o:gfxdata="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HFTZ2QAAAAoBAAAPAAAAAAAAAAEAIAAAACIAAABkcnMvZG93bnJldi54bWxQSwECFAAUAAAACACH&#10;TuJAaE3kVCMCAAA/BAAADgAAAAAAAAABACAAAAAoAQAAZHJzL2Uyb0RvYy54bWxQSwUGAAAAAAYA&#10;BgBZAQAAvQUAAAAA&#10;" adj="-11796480">
              <v:fill on="f" focussize="0,0"/>
              <v:stroke on="f"/>
              <v:imagedata o:title=""/>
              <o:lock v:ext="edit" text="t" aspectratio="f"/>
              <v:textbox style="mso-fit-shape-to-text:t;">
                <w:txbxContent>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pPr>
                      <w:pStyle w:val="23"/>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lang w:eastAsia="pt-BR"/>
      </w:rPr>
      <mc:AlternateContent>
        <mc:Choice Requires="wps">
          <w:drawing>
            <wp:anchor distT="0" distB="0" distL="114300" distR="114300" simplePos="0" relativeHeight="251659264" behindDoc="0" locked="0" layoutInCell="1" allowOverlap="1">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ln>
                    </wps:spPr>
                    <wps:bodyPr rot="0" vert="horz" wrap="square" lIns="91440" tIns="45720" rIns="91440" bIns="45720" anchor="t" anchorCtr="0" upright="1">
                      <a:noAutofit/>
                    </wps:bodyPr>
                  </wps:wsp>
                </a:graphicData>
              </a:graphic>
            </wp:anchor>
          </w:drawing>
        </mc:Choice>
        <mc:Fallback>
          <w:pict>
            <v:shape id="Oval 1" o:spid="_x0000_s1026" o:spt="3" type="#_x0000_t3" style="position:absolute;left:0pt;margin-left:433pt;margin-top:-21pt;height:72pt;width:72pt;z-index:251659264;mso-width-relative:page;mso-height-relative:page;" fillcolor="#FFFFFF" filled="t" stroked="t" coordsize="21600,21600" o:gfxdata="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fBzXAAAADAEA&#10;AA8AAAAAAAAAAQAgAAAAIgAAAGRycy9kb3ducmV2LnhtbFBLAQIUABQAAAAIAIdO4kBO3V5dGwIA&#10;AGMEAAAOAAAAAAAAAAEAIAAAACYBAABkcnMvZTJvRG9jLnhtbFBLBQYAAAAABgAGAFkBAACzBQAA&#10;AAA=&#10;">
              <v:fill on="t" focussize="0,0"/>
              <v:stroke weight="1.75pt" color="#000000" joinstyle="round"/>
              <v:imagedata o:title=""/>
              <o:lock v:ext="edit" aspectratio="f"/>
            </v:shape>
          </w:pict>
        </mc:Fallback>
      </mc:AlternateContent>
    </w:r>
    <w:r>
      <w:rPr>
        <w:lang w:eastAsia="pt-BR"/>
      </w:rPr>
      <w:drawing>
        <wp:inline distT="0" distB="0" distL="0" distR="0">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9910" cy="567690"/>
                  </a:xfrm>
                  <a:prstGeom prst="rect">
                    <a:avLst/>
                  </a:prstGeom>
                  <a:noFill/>
                  <a:ln>
                    <a:noFill/>
                  </a:ln>
                </pic:spPr>
              </pic:pic>
            </a:graphicData>
          </a:graphic>
        </wp:inline>
      </w:drawing>
    </w:r>
  </w:p>
  <w:p>
    <w:pPr>
      <w:pStyle w:val="26"/>
      <w:jc w:val="center"/>
    </w:pPr>
    <w:r>
      <w:t>MINISTÉRIO DA JUSTIÇA</w:t>
    </w:r>
  </w:p>
  <w:p>
    <w:pPr>
      <w:pStyle w:val="26"/>
      <w:jc w:val="center"/>
    </w:pPr>
    <w:r>
      <w:t>DEPARTAMENTO DE POLÍCIA FEDERAL</w:t>
    </w:r>
  </w:p>
  <w:p>
    <w:pPr>
      <w:pStyle w:val="26"/>
      <w:jc w:val="center"/>
    </w:pPr>
    <w:r>
      <w:t>SUPERINTENDÊNCIA DE POLÍCIA FEDERAL EM RONDÔNIA</w:t>
    </w:r>
  </w:p>
  <w:p>
    <w:pPr>
      <w:pStyle w:val="26"/>
      <w:jc w:val="center"/>
    </w:pPr>
    <w:r>
      <w:t>SETOR DE LICITAÇÕES</w:t>
    </w:r>
  </w:p>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47CAA"/>
    <w:multiLevelType w:val="multilevel"/>
    <w:tmpl w:val="05647CAA"/>
    <w:lvl w:ilvl="0" w:tentative="0">
      <w:start w:val="1"/>
      <w:numFmt w:val="decimal"/>
      <w:lvlText w:val="%1"/>
      <w:lvlJc w:val="left"/>
      <w:pPr>
        <w:tabs>
          <w:tab w:val="left" w:pos="360"/>
        </w:tabs>
        <w:ind w:left="360" w:hanging="360"/>
      </w:pPr>
      <w:rPr>
        <w:rFonts w:hint="default" w:ascii="Verdana" w:hAnsi="Verdana"/>
        <w:b/>
        <w:i w:val="0"/>
        <w:sz w:val="20"/>
        <w:szCs w:val="20"/>
      </w:rPr>
    </w:lvl>
    <w:lvl w:ilvl="1" w:tentative="0">
      <w:start w:val="1"/>
      <w:numFmt w:val="decimal"/>
      <w:lvlText w:val="%1.%2"/>
      <w:lvlJc w:val="left"/>
      <w:pPr>
        <w:tabs>
          <w:tab w:val="left" w:pos="1065"/>
        </w:tabs>
        <w:ind w:left="1065" w:hanging="360"/>
      </w:pPr>
      <w:rPr>
        <w:rFonts w:hint="default"/>
        <w:b w:val="0"/>
        <w:sz w:val="20"/>
        <w:szCs w:val="20"/>
      </w:rPr>
    </w:lvl>
    <w:lvl w:ilvl="2" w:tentative="0">
      <w:start w:val="1"/>
      <w:numFmt w:val="decimal"/>
      <w:lvlText w:val="%1.%2.%3"/>
      <w:lvlJc w:val="left"/>
      <w:pPr>
        <w:tabs>
          <w:tab w:val="left" w:pos="2130"/>
        </w:tabs>
        <w:ind w:left="2130" w:hanging="720"/>
      </w:pPr>
      <w:rPr>
        <w:rFonts w:hint="default"/>
        <w:b w:val="0"/>
        <w:color w:val="auto"/>
        <w:sz w:val="20"/>
        <w:szCs w:val="20"/>
      </w:rPr>
    </w:lvl>
    <w:lvl w:ilvl="3" w:tentative="0">
      <w:start w:val="1"/>
      <w:numFmt w:val="decimal"/>
      <w:lvlText w:val="%1.%2.%3.%4"/>
      <w:lvlJc w:val="left"/>
      <w:pPr>
        <w:tabs>
          <w:tab w:val="left" w:pos="2835"/>
        </w:tabs>
        <w:ind w:left="2835" w:hanging="720"/>
      </w:pPr>
      <w:rPr>
        <w:rFonts w:hint="default"/>
        <w:b w:val="0"/>
      </w:rPr>
    </w:lvl>
    <w:lvl w:ilvl="4" w:tentative="0">
      <w:start w:val="1"/>
      <w:numFmt w:val="decimal"/>
      <w:lvlText w:val="%1.%2.%3.%4.%5"/>
      <w:lvlJc w:val="left"/>
      <w:pPr>
        <w:tabs>
          <w:tab w:val="left" w:pos="3540"/>
        </w:tabs>
        <w:ind w:left="3540" w:hanging="720"/>
      </w:pPr>
      <w:rPr>
        <w:rFonts w:hint="default"/>
        <w:b/>
      </w:rPr>
    </w:lvl>
    <w:lvl w:ilvl="5" w:tentative="0">
      <w:start w:val="1"/>
      <w:numFmt w:val="decimal"/>
      <w:lvlText w:val="%1.%2.%3.%4.%5.%6"/>
      <w:lvlJc w:val="left"/>
      <w:pPr>
        <w:tabs>
          <w:tab w:val="left" w:pos="4605"/>
        </w:tabs>
        <w:ind w:left="4605" w:hanging="1080"/>
      </w:pPr>
      <w:rPr>
        <w:rFonts w:hint="default"/>
        <w:b/>
      </w:rPr>
    </w:lvl>
    <w:lvl w:ilvl="6" w:tentative="0">
      <w:start w:val="1"/>
      <w:numFmt w:val="decimal"/>
      <w:lvlText w:val="%1.%2.%3.%4.%5.%6.%7"/>
      <w:lvlJc w:val="left"/>
      <w:pPr>
        <w:tabs>
          <w:tab w:val="left" w:pos="5310"/>
        </w:tabs>
        <w:ind w:left="5310" w:hanging="1080"/>
      </w:pPr>
      <w:rPr>
        <w:rFonts w:hint="default"/>
        <w:b/>
      </w:rPr>
    </w:lvl>
    <w:lvl w:ilvl="7" w:tentative="0">
      <w:start w:val="1"/>
      <w:numFmt w:val="decimal"/>
      <w:lvlText w:val="%1.%2.%3.%4.%5.%6.%7.%8"/>
      <w:lvlJc w:val="left"/>
      <w:pPr>
        <w:tabs>
          <w:tab w:val="left" w:pos="6375"/>
        </w:tabs>
        <w:ind w:left="6375" w:hanging="1440"/>
      </w:pPr>
      <w:rPr>
        <w:rFonts w:hint="default"/>
        <w:b/>
      </w:rPr>
    </w:lvl>
    <w:lvl w:ilvl="8" w:tentative="0">
      <w:start w:val="1"/>
      <w:numFmt w:val="decimal"/>
      <w:lvlText w:val="%1.%2.%3.%4.%5.%6.%7.%8.%9"/>
      <w:lvlJc w:val="left"/>
      <w:pPr>
        <w:tabs>
          <w:tab w:val="left" w:pos="7080"/>
        </w:tabs>
        <w:ind w:left="7080" w:hanging="1440"/>
      </w:pPr>
      <w:rPr>
        <w:rFonts w:hint="default"/>
        <w:b/>
      </w:rPr>
    </w:lvl>
  </w:abstractNum>
  <w:abstractNum w:abstractNumId="1">
    <w:nsid w:val="14665325"/>
    <w:multiLevelType w:val="multilevel"/>
    <w:tmpl w:val="14665325"/>
    <w:lvl w:ilvl="0" w:tentative="0">
      <w:start w:val="2"/>
      <w:numFmt w:val="decimal"/>
      <w:lvlText w:val="%1."/>
      <w:lvlJc w:val="left"/>
      <w:pPr>
        <w:ind w:left="360" w:hanging="360"/>
      </w:pPr>
      <w:rPr>
        <w:rFonts w:hint="default"/>
        <w:i w:val="0"/>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i w:val="0"/>
        <w:color w:val="auto"/>
      </w:rPr>
    </w:lvl>
    <w:lvl w:ilvl="3" w:tentative="0">
      <w:start w:val="1"/>
      <w:numFmt w:val="decimal"/>
      <w:lvlText w:val="%1.%2.%3.%4."/>
      <w:lvlJc w:val="left"/>
      <w:pPr>
        <w:ind w:left="720" w:hanging="720"/>
      </w:pPr>
      <w:rPr>
        <w:rFonts w:hint="default"/>
        <w:i w:val="0"/>
        <w:color w:val="auto"/>
      </w:rPr>
    </w:lvl>
    <w:lvl w:ilvl="4" w:tentative="0">
      <w:start w:val="1"/>
      <w:numFmt w:val="decimal"/>
      <w:lvlText w:val="%1.%2.%3.%4.%5."/>
      <w:lvlJc w:val="left"/>
      <w:pPr>
        <w:ind w:left="1080" w:hanging="1080"/>
      </w:pPr>
      <w:rPr>
        <w:rFonts w:hint="default"/>
        <w:i w:val="0"/>
        <w:color w:val="auto"/>
      </w:rPr>
    </w:lvl>
    <w:lvl w:ilvl="5" w:tentative="0">
      <w:start w:val="1"/>
      <w:numFmt w:val="decimal"/>
      <w:lvlText w:val="%1.%2.%3.%4.%5.%6."/>
      <w:lvlJc w:val="left"/>
      <w:pPr>
        <w:ind w:left="1080" w:hanging="1080"/>
      </w:pPr>
      <w:rPr>
        <w:rFonts w:hint="default"/>
        <w:i w:val="0"/>
        <w:color w:val="auto"/>
      </w:rPr>
    </w:lvl>
    <w:lvl w:ilvl="6" w:tentative="0">
      <w:start w:val="1"/>
      <w:numFmt w:val="decimal"/>
      <w:lvlText w:val="%1.%2.%3.%4.%5.%6.%7."/>
      <w:lvlJc w:val="left"/>
      <w:pPr>
        <w:ind w:left="1080" w:hanging="1080"/>
      </w:pPr>
      <w:rPr>
        <w:rFonts w:hint="default"/>
        <w:i w:val="0"/>
        <w:color w:val="auto"/>
      </w:rPr>
    </w:lvl>
    <w:lvl w:ilvl="7" w:tentative="0">
      <w:start w:val="1"/>
      <w:numFmt w:val="decimal"/>
      <w:lvlText w:val="%1.%2.%3.%4.%5.%6.%7.%8."/>
      <w:lvlJc w:val="left"/>
      <w:pPr>
        <w:ind w:left="1440" w:hanging="1440"/>
      </w:pPr>
      <w:rPr>
        <w:rFonts w:hint="default"/>
        <w:i w:val="0"/>
        <w:color w:val="auto"/>
      </w:rPr>
    </w:lvl>
    <w:lvl w:ilvl="8" w:tentative="0">
      <w:start w:val="1"/>
      <w:numFmt w:val="decimal"/>
      <w:lvlText w:val="%1.%2.%3.%4.%5.%6.%7.%8.%9."/>
      <w:lvlJc w:val="left"/>
      <w:pPr>
        <w:ind w:left="1440" w:hanging="1440"/>
      </w:pPr>
      <w:rPr>
        <w:rFonts w:hint="default"/>
        <w:i w:val="0"/>
        <w:color w:val="auto"/>
      </w:rPr>
    </w:lvl>
  </w:abstractNum>
  <w:abstractNum w:abstractNumId="2">
    <w:nsid w:val="47C21B88"/>
    <w:multiLevelType w:val="multilevel"/>
    <w:tmpl w:val="47C21B88"/>
    <w:lvl w:ilvl="0" w:tentative="0">
      <w:start w:val="1"/>
      <w:numFmt w:val="decimal"/>
      <w:lvlText w:val="%1."/>
      <w:lvlJc w:val="left"/>
      <w:pPr>
        <w:ind w:left="360" w:hanging="360"/>
      </w:pPr>
      <w:rPr>
        <w:rFonts w:hint="default" w:ascii="Calibri" w:hAnsi="Calibri" w:cs="Calibri"/>
        <w:color w:val="000000"/>
      </w:rPr>
    </w:lvl>
    <w:lvl w:ilvl="1" w:tentative="0">
      <w:start w:val="1"/>
      <w:numFmt w:val="decimal"/>
      <w:lvlText w:val="%1.%2."/>
      <w:lvlJc w:val="left"/>
      <w:pPr>
        <w:ind w:left="360" w:hanging="360"/>
      </w:pPr>
      <w:rPr>
        <w:rFonts w:hint="default" w:ascii="Calibri" w:hAnsi="Calibri" w:cs="Calibri"/>
        <w:color w:val="000000"/>
      </w:rPr>
    </w:lvl>
    <w:lvl w:ilvl="2" w:tentative="0">
      <w:start w:val="1"/>
      <w:numFmt w:val="decimal"/>
      <w:lvlText w:val="%1.%2.%3."/>
      <w:lvlJc w:val="left"/>
      <w:pPr>
        <w:ind w:left="720" w:hanging="720"/>
      </w:pPr>
      <w:rPr>
        <w:rFonts w:hint="default" w:ascii="Calibri" w:hAnsi="Calibri" w:cs="Calibri"/>
        <w:color w:val="000000"/>
      </w:rPr>
    </w:lvl>
    <w:lvl w:ilvl="3" w:tentative="0">
      <w:start w:val="1"/>
      <w:numFmt w:val="decimal"/>
      <w:lvlText w:val="%1.%2.%3.%4."/>
      <w:lvlJc w:val="left"/>
      <w:pPr>
        <w:ind w:left="720" w:hanging="720"/>
      </w:pPr>
      <w:rPr>
        <w:rFonts w:hint="default" w:ascii="Calibri" w:hAnsi="Calibri" w:cs="Calibri"/>
        <w:color w:val="000000"/>
      </w:rPr>
    </w:lvl>
    <w:lvl w:ilvl="4" w:tentative="0">
      <w:start w:val="1"/>
      <w:numFmt w:val="decimal"/>
      <w:lvlText w:val="%1.%2.%3.%4.%5."/>
      <w:lvlJc w:val="left"/>
      <w:pPr>
        <w:ind w:left="1080" w:hanging="1080"/>
      </w:pPr>
      <w:rPr>
        <w:rFonts w:hint="default" w:ascii="Calibri" w:hAnsi="Calibri" w:cs="Calibri"/>
        <w:color w:val="000000"/>
      </w:rPr>
    </w:lvl>
    <w:lvl w:ilvl="5" w:tentative="0">
      <w:start w:val="1"/>
      <w:numFmt w:val="decimal"/>
      <w:lvlText w:val="%1.%2.%3.%4.%5.%6."/>
      <w:lvlJc w:val="left"/>
      <w:pPr>
        <w:ind w:left="1080" w:hanging="1080"/>
      </w:pPr>
      <w:rPr>
        <w:rFonts w:hint="default" w:ascii="Calibri" w:hAnsi="Calibri" w:cs="Calibri"/>
        <w:color w:val="000000"/>
      </w:rPr>
    </w:lvl>
    <w:lvl w:ilvl="6" w:tentative="0">
      <w:start w:val="1"/>
      <w:numFmt w:val="decimal"/>
      <w:lvlText w:val="%1.%2.%3.%4.%5.%6.%7."/>
      <w:lvlJc w:val="left"/>
      <w:pPr>
        <w:ind w:left="1080" w:hanging="1080"/>
      </w:pPr>
      <w:rPr>
        <w:rFonts w:hint="default" w:ascii="Calibri" w:hAnsi="Calibri" w:cs="Calibri"/>
        <w:color w:val="000000"/>
      </w:rPr>
    </w:lvl>
    <w:lvl w:ilvl="7" w:tentative="0">
      <w:start w:val="1"/>
      <w:numFmt w:val="decimal"/>
      <w:lvlText w:val="%1.%2.%3.%4.%5.%6.%7.%8."/>
      <w:lvlJc w:val="left"/>
      <w:pPr>
        <w:ind w:left="1440" w:hanging="1440"/>
      </w:pPr>
      <w:rPr>
        <w:rFonts w:hint="default" w:ascii="Calibri" w:hAnsi="Calibri" w:cs="Calibri"/>
        <w:color w:val="000000"/>
      </w:rPr>
    </w:lvl>
    <w:lvl w:ilvl="8" w:tentative="0">
      <w:start w:val="1"/>
      <w:numFmt w:val="decimal"/>
      <w:lvlText w:val="%1.%2.%3.%4.%5.%6.%7.%8.%9."/>
      <w:lvlJc w:val="left"/>
      <w:pPr>
        <w:ind w:left="1440" w:hanging="1440"/>
      </w:pPr>
      <w:rPr>
        <w:rFonts w:hint="default" w:ascii="Calibri" w:hAnsi="Calibri" w:cs="Calibri"/>
        <w:color w:val="000000"/>
      </w:rPr>
    </w:lvl>
  </w:abstractNum>
  <w:abstractNum w:abstractNumId="3">
    <w:nsid w:val="61DD361E"/>
    <w:multiLevelType w:val="multilevel"/>
    <w:tmpl w:val="61DD361E"/>
    <w:lvl w:ilvl="0" w:tentative="0">
      <w:start w:val="1"/>
      <w:numFmt w:val="decimal"/>
      <w:pStyle w:val="64"/>
      <w:lvlText w:val="%1."/>
      <w:lvlJc w:val="left"/>
      <w:pPr>
        <w:ind w:left="360" w:hanging="360"/>
      </w:pPr>
      <w:rPr>
        <w:b/>
        <w:i w:val="0"/>
      </w:rPr>
    </w:lvl>
    <w:lvl w:ilvl="1" w:tentative="0">
      <w:start w:val="1"/>
      <w:numFmt w:val="decimal"/>
      <w:suff w:val="space"/>
      <w:lvlText w:val="%1.%2."/>
      <w:lvlJc w:val="left"/>
      <w:pPr>
        <w:ind w:left="0" w:firstLine="0"/>
      </w:pPr>
      <w:rPr>
        <w:b w:val="0"/>
        <w:i w:val="0"/>
        <w:strike w:val="0"/>
        <w:dstrike w:val="0"/>
        <w:color w:val="auto"/>
        <w:u w:val="none"/>
      </w:rPr>
    </w:lvl>
    <w:lvl w:ilvl="2" w:tentative="0">
      <w:start w:val="1"/>
      <w:numFmt w:val="decimal"/>
      <w:suff w:val="space"/>
      <w:lvlText w:val="%1.%2.%3."/>
      <w:lvlJc w:val="left"/>
      <w:pPr>
        <w:ind w:left="1135" w:firstLine="0"/>
      </w:pPr>
      <w:rPr>
        <w:b w:val="0"/>
        <w:i w:val="0"/>
      </w:rPr>
    </w:lvl>
    <w:lvl w:ilvl="3" w:tentative="0">
      <w:start w:val="1"/>
      <w:numFmt w:val="decimal"/>
      <w:suff w:val="space"/>
      <w:lvlText w:val="%1.%2.%3.%4."/>
      <w:lvlJc w:val="left"/>
      <w:pPr>
        <w:ind w:left="851" w:firstLine="0"/>
      </w:pPr>
      <w:rPr>
        <w:b/>
        <w:i w:val="0"/>
      </w:rPr>
    </w:lvl>
    <w:lvl w:ilvl="4" w:tentative="0">
      <w:start w:val="1"/>
      <w:numFmt w:val="decimal"/>
      <w:suff w:val="space"/>
      <w:lvlText w:val="%1.%2.%3.%4.%5."/>
      <w:lvlJc w:val="left"/>
      <w:pPr>
        <w:ind w:left="1134" w:firstLine="0"/>
      </w:pPr>
      <w:rPr>
        <w:b/>
        <w:i w:val="0"/>
      </w:r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4">
    <w:nsid w:val="64EC0711"/>
    <w:multiLevelType w:val="multilevel"/>
    <w:tmpl w:val="64EC0711"/>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7A735262"/>
    <w:multiLevelType w:val="multilevel"/>
    <w:tmpl w:val="7A735262"/>
    <w:lvl w:ilvl="0" w:tentative="0">
      <w:start w:val="1"/>
      <w:numFmt w:val="decimal"/>
      <w:pStyle w:val="55"/>
      <w:suff w:val="nothing"/>
      <w:lvlText w:val="%1."/>
      <w:lvlJc w:val="left"/>
      <w:pPr>
        <w:ind w:left="0" w:firstLine="0"/>
      </w:pPr>
      <w:rPr>
        <w:b/>
        <w:i w:val="0"/>
      </w:rPr>
    </w:lvl>
    <w:lvl w:ilvl="1" w:tentative="0">
      <w:start w:val="1"/>
      <w:numFmt w:val="decimal"/>
      <w:suff w:val="nothing"/>
      <w:lvlText w:val="%1.%2."/>
      <w:lvlJc w:val="left"/>
      <w:pPr>
        <w:ind w:left="0" w:firstLine="0"/>
      </w:pPr>
      <w:rPr>
        <w:rFonts w:hint="default" w:ascii="Times New Roman" w:hAnsi="Times New Roman"/>
        <w:b/>
        <w:i w:val="0"/>
        <w:sz w:val="24"/>
      </w:rPr>
    </w:lvl>
    <w:lvl w:ilvl="2" w:tentative="0">
      <w:start w:val="1"/>
      <w:numFmt w:val="decimal"/>
      <w:lvlText w:val="%1.%2.%3."/>
      <w:lvlJc w:val="left"/>
      <w:pPr>
        <w:tabs>
          <w:tab w:val="left" w:pos="1854"/>
        </w:tabs>
        <w:ind w:left="1134" w:firstLine="0"/>
      </w:pPr>
      <w:rPr>
        <w:b/>
        <w:i w:val="0"/>
      </w:rPr>
    </w:lvl>
    <w:lvl w:ilvl="3" w:tentative="0">
      <w:start w:val="1"/>
      <w:numFmt w:val="decimal"/>
      <w:lvlText w:val="%1.%2.%3.%4."/>
      <w:lvlJc w:val="left"/>
      <w:pPr>
        <w:tabs>
          <w:tab w:val="left" w:pos="2138"/>
        </w:tabs>
        <w:ind w:left="1418" w:firstLine="0"/>
      </w:pPr>
      <w:rPr>
        <w:b/>
        <w:i w:val="0"/>
      </w:rPr>
    </w:lvl>
    <w:lvl w:ilvl="4" w:tentative="0">
      <w:start w:val="1"/>
      <w:numFmt w:val="decimal"/>
      <w:lvlText w:val="%1.%2.%3.%4.%5."/>
      <w:lvlJc w:val="left"/>
      <w:pPr>
        <w:tabs>
          <w:tab w:val="left" w:pos="3240"/>
        </w:tabs>
        <w:ind w:left="2232" w:hanging="792"/>
      </w:pPr>
    </w:lvl>
    <w:lvl w:ilvl="5" w:tentative="0">
      <w:start w:val="1"/>
      <w:numFmt w:val="decimal"/>
      <w:lvlText w:val="%1.%2.%3.%4.%5.%6."/>
      <w:lvlJc w:val="left"/>
      <w:pPr>
        <w:tabs>
          <w:tab w:val="left" w:pos="3960"/>
        </w:tabs>
        <w:ind w:left="2736" w:hanging="936"/>
      </w:pPr>
    </w:lvl>
    <w:lvl w:ilvl="6" w:tentative="0">
      <w:start w:val="1"/>
      <w:numFmt w:val="decimal"/>
      <w:lvlText w:val="%1.%2.%3.%4.%5.%6.%7."/>
      <w:lvlJc w:val="left"/>
      <w:pPr>
        <w:tabs>
          <w:tab w:val="left" w:pos="4680"/>
        </w:tabs>
        <w:ind w:left="3240" w:hanging="1080"/>
      </w:pPr>
    </w:lvl>
    <w:lvl w:ilvl="7" w:tentative="0">
      <w:start w:val="1"/>
      <w:numFmt w:val="decimal"/>
      <w:lvlText w:val="%1.%2.%3.%4.%5.%6.%7.%8."/>
      <w:lvlJc w:val="left"/>
      <w:pPr>
        <w:tabs>
          <w:tab w:val="left" w:pos="5400"/>
        </w:tabs>
        <w:ind w:left="3744" w:hanging="1224"/>
      </w:pPr>
    </w:lvl>
    <w:lvl w:ilvl="8" w:tentative="0">
      <w:start w:val="1"/>
      <w:numFmt w:val="decimal"/>
      <w:lvlText w:val="%1.%2.%3.%4.%5.%6.%7.%8.%9."/>
      <w:lvlJc w:val="left"/>
      <w:pPr>
        <w:tabs>
          <w:tab w:val="left" w:pos="6120"/>
        </w:tabs>
        <w:ind w:left="4320" w:hanging="144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963FF"/>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07CC8"/>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2917"/>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 w:val="40595ED8"/>
    <w:rsid w:val="61B604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semiHidden="0" w:name="annotation text"/>
    <w:lsdException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3"/>
    <w:next w:val="3"/>
    <w:link w:val="61"/>
    <w:qFormat/>
    <w:uiPriority w:val="99"/>
    <w:pPr>
      <w:keepNext/>
      <w:tabs>
        <w:tab w:val="left" w:pos="709"/>
      </w:tabs>
      <w:jc w:val="center"/>
      <w:outlineLvl w:val="0"/>
    </w:pPr>
  </w:style>
  <w:style w:type="paragraph" w:styleId="4">
    <w:name w:val="heading 2"/>
    <w:basedOn w:val="1"/>
    <w:next w:val="1"/>
    <w:qFormat/>
    <w:uiPriority w:val="0"/>
    <w:pPr>
      <w:keepNext/>
      <w:spacing w:before="240" w:after="60"/>
      <w:outlineLvl w:val="1"/>
    </w:pPr>
    <w:rPr>
      <w:rFonts w:ascii="Arial" w:hAnsi="Arial" w:cs="Arial"/>
      <w:b/>
      <w:bCs/>
      <w:i/>
      <w:iCs/>
      <w:sz w:val="28"/>
      <w:szCs w:val="28"/>
    </w:rPr>
  </w:style>
  <w:style w:type="paragraph" w:styleId="5">
    <w:name w:val="heading 3"/>
    <w:basedOn w:val="1"/>
    <w:next w:val="1"/>
    <w:qFormat/>
    <w:uiPriority w:val="0"/>
    <w:pPr>
      <w:keepNext/>
      <w:suppressAutoHyphens w:val="0"/>
      <w:spacing w:before="240" w:after="60"/>
      <w:outlineLvl w:val="2"/>
    </w:pPr>
    <w:rPr>
      <w:rFonts w:ascii="Arial" w:hAnsi="Arial" w:cs="Arial"/>
      <w:b/>
      <w:bCs/>
      <w:sz w:val="26"/>
      <w:szCs w:val="26"/>
      <w:lang w:eastAsia="pt-BR"/>
    </w:rPr>
  </w:style>
  <w:style w:type="paragraph" w:styleId="6">
    <w:name w:val="heading 4"/>
    <w:basedOn w:val="3"/>
    <w:next w:val="3"/>
    <w:qFormat/>
    <w:uiPriority w:val="0"/>
    <w:pPr>
      <w:keepNext/>
      <w:jc w:val="center"/>
      <w:outlineLvl w:val="3"/>
    </w:pPr>
    <w:rPr>
      <w:b/>
    </w:rPr>
  </w:style>
  <w:style w:type="paragraph" w:styleId="7">
    <w:name w:val="heading 5"/>
    <w:basedOn w:val="3"/>
    <w:next w:val="3"/>
    <w:qFormat/>
    <w:uiPriority w:val="0"/>
    <w:pPr>
      <w:keepNext/>
      <w:jc w:val="center"/>
      <w:outlineLvl w:val="4"/>
    </w:pPr>
  </w:style>
  <w:style w:type="paragraph" w:styleId="8">
    <w:name w:val="heading 6"/>
    <w:basedOn w:val="3"/>
    <w:next w:val="3"/>
    <w:qFormat/>
    <w:uiPriority w:val="0"/>
    <w:pPr>
      <w:keepNext/>
      <w:ind w:firstLine="993"/>
      <w:jc w:val="both"/>
      <w:outlineLvl w:val="5"/>
    </w:pPr>
    <w:rPr>
      <w:b/>
    </w:rPr>
  </w:style>
  <w:style w:type="paragraph" w:styleId="9">
    <w:name w:val="heading 7"/>
    <w:basedOn w:val="3"/>
    <w:next w:val="3"/>
    <w:qFormat/>
    <w:uiPriority w:val="0"/>
    <w:pPr>
      <w:keepNext/>
      <w:ind w:left="426" w:firstLine="283"/>
      <w:jc w:val="both"/>
      <w:outlineLvl w:val="6"/>
    </w:pPr>
    <w:rPr>
      <w:b/>
      <w:color w:val="FF0000"/>
    </w:rPr>
  </w:style>
  <w:style w:type="paragraph" w:styleId="10">
    <w:name w:val="heading 8"/>
    <w:basedOn w:val="3"/>
    <w:next w:val="3"/>
    <w:qFormat/>
    <w:uiPriority w:val="0"/>
    <w:pPr>
      <w:keepNext/>
      <w:jc w:val="both"/>
      <w:outlineLvl w:val="7"/>
    </w:pPr>
    <w:rPr>
      <w:b/>
    </w:rPr>
  </w:style>
  <w:style w:type="paragraph" w:styleId="11">
    <w:name w:val="heading 9"/>
    <w:basedOn w:val="1"/>
    <w:next w:val="1"/>
    <w:qFormat/>
    <w:uiPriority w:val="0"/>
    <w:pPr>
      <w:spacing w:before="240" w:after="60"/>
      <w:outlineLvl w:val="8"/>
    </w:pPr>
    <w:rPr>
      <w:rFonts w:ascii="Arial" w:hAnsi="Arial" w:cs="Arial"/>
      <w:sz w:val="22"/>
      <w:szCs w:val="22"/>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WW-Padrão"/>
    <w:uiPriority w:val="0"/>
    <w:pPr>
      <w:suppressAutoHyphens/>
    </w:pPr>
    <w:rPr>
      <w:rFonts w:ascii="Times New Roman" w:hAnsi="Times New Roman" w:eastAsia="Times New Roman" w:cs="Times New Roman"/>
      <w:sz w:val="24"/>
      <w:lang w:val="pt-BR" w:eastAsia="ar-SA" w:bidi="ar-SA"/>
    </w:rPr>
  </w:style>
  <w:style w:type="character" w:styleId="14">
    <w:name w:val="Strong"/>
    <w:basedOn w:val="12"/>
    <w:qFormat/>
    <w:uiPriority w:val="22"/>
    <w:rPr>
      <w:b/>
      <w:bCs/>
    </w:rPr>
  </w:style>
  <w:style w:type="character" w:styleId="15">
    <w:name w:val="annotation reference"/>
    <w:basedOn w:val="12"/>
    <w:semiHidden/>
    <w:unhideWhenUsed/>
    <w:qFormat/>
    <w:uiPriority w:val="0"/>
    <w:rPr>
      <w:sz w:val="16"/>
      <w:szCs w:val="16"/>
    </w:rPr>
  </w:style>
  <w:style w:type="character" w:styleId="16">
    <w:name w:val="Hyperlink"/>
    <w:uiPriority w:val="0"/>
    <w:rPr>
      <w:color w:val="0000FF"/>
      <w:u w:val="single"/>
    </w:rPr>
  </w:style>
  <w:style w:type="character" w:styleId="17">
    <w:name w:val="page number"/>
    <w:basedOn w:val="12"/>
    <w:qFormat/>
    <w:uiPriority w:val="0"/>
  </w:style>
  <w:style w:type="paragraph" w:styleId="18">
    <w:name w:val="Body Text"/>
    <w:basedOn w:val="1"/>
    <w:uiPriority w:val="0"/>
    <w:pPr>
      <w:jc w:val="both"/>
    </w:pPr>
    <w:rPr>
      <w:rFonts w:ascii="Arial" w:hAnsi="Arial"/>
      <w:b/>
      <w:sz w:val="24"/>
      <w:u w:val="single"/>
    </w:rPr>
  </w:style>
  <w:style w:type="paragraph" w:styleId="19">
    <w:name w:val="Block Text"/>
    <w:basedOn w:val="1"/>
    <w:qFormat/>
    <w:uiPriority w:val="0"/>
    <w:pPr>
      <w:suppressAutoHyphens w:val="0"/>
      <w:ind w:left="3544" w:right="2"/>
      <w:jc w:val="both"/>
    </w:pPr>
    <w:rPr>
      <w:sz w:val="24"/>
      <w:lang w:eastAsia="pt-BR"/>
    </w:rPr>
  </w:style>
  <w:style w:type="paragraph" w:styleId="20">
    <w:name w:val="annotation text"/>
    <w:basedOn w:val="1"/>
    <w:link w:val="68"/>
    <w:unhideWhenUsed/>
    <w:qFormat/>
    <w:uiPriority w:val="0"/>
    <w:rPr>
      <w:rFonts w:ascii="Ecofont_Spranq_eco_Sans" w:hAnsi="Ecofont_Spranq_eco_Sans" w:cs="Tahoma"/>
      <w:lang w:eastAsia="pt-BR"/>
    </w:rPr>
  </w:style>
  <w:style w:type="paragraph" w:styleId="21">
    <w:name w:val="Body Text Indent 2"/>
    <w:basedOn w:val="1"/>
    <w:link w:val="62"/>
    <w:qFormat/>
    <w:uiPriority w:val="0"/>
    <w:pPr>
      <w:spacing w:after="120" w:line="480" w:lineRule="auto"/>
      <w:ind w:left="283"/>
    </w:pPr>
  </w:style>
  <w:style w:type="paragraph" w:styleId="22">
    <w:name w:val="Title"/>
    <w:basedOn w:val="1"/>
    <w:next w:val="18"/>
    <w:qFormat/>
    <w:uiPriority w:val="0"/>
    <w:pPr>
      <w:keepNext/>
      <w:spacing w:before="240" w:after="120"/>
    </w:pPr>
    <w:rPr>
      <w:rFonts w:ascii="Nimbus Sans L" w:hAnsi="Nimbus Sans L" w:eastAsia="HG Mincho Light J" w:cs="Nimbus Sans L"/>
      <w:sz w:val="28"/>
      <w:szCs w:val="28"/>
    </w:rPr>
  </w:style>
  <w:style w:type="paragraph" w:styleId="23">
    <w:name w:val="Normal (Web)"/>
    <w:basedOn w:val="1"/>
    <w:uiPriority w:val="99"/>
    <w:pPr>
      <w:suppressAutoHyphens w:val="0"/>
      <w:spacing w:before="100" w:beforeAutospacing="1" w:after="100" w:afterAutospacing="1"/>
    </w:pPr>
    <w:rPr>
      <w:sz w:val="24"/>
      <w:szCs w:val="24"/>
      <w:lang w:eastAsia="pt-BR"/>
    </w:rPr>
  </w:style>
  <w:style w:type="paragraph" w:styleId="24">
    <w:name w:val="Plain Text"/>
    <w:basedOn w:val="1"/>
    <w:uiPriority w:val="0"/>
    <w:pPr>
      <w:suppressAutoHyphens w:val="0"/>
    </w:pPr>
    <w:rPr>
      <w:rFonts w:ascii="Courier New" w:hAnsi="Courier New" w:cs="Courier New"/>
      <w:lang w:eastAsia="pt-BR"/>
    </w:rPr>
  </w:style>
  <w:style w:type="paragraph" w:styleId="25">
    <w:name w:val="Body Text 2"/>
    <w:basedOn w:val="1"/>
    <w:qFormat/>
    <w:uiPriority w:val="0"/>
    <w:pPr>
      <w:suppressAutoHyphens w:val="0"/>
      <w:spacing w:after="120" w:line="480" w:lineRule="auto"/>
    </w:pPr>
    <w:rPr>
      <w:sz w:val="24"/>
      <w:szCs w:val="24"/>
      <w:lang w:eastAsia="pt-BR"/>
    </w:rPr>
  </w:style>
  <w:style w:type="paragraph" w:styleId="26">
    <w:name w:val="header"/>
    <w:basedOn w:val="1"/>
    <w:link w:val="63"/>
    <w:uiPriority w:val="99"/>
    <w:pPr>
      <w:tabs>
        <w:tab w:val="center" w:pos="4419"/>
        <w:tab w:val="right" w:pos="8838"/>
      </w:tabs>
    </w:pPr>
  </w:style>
  <w:style w:type="paragraph" w:styleId="27">
    <w:name w:val="footer"/>
    <w:basedOn w:val="1"/>
    <w:qFormat/>
    <w:uiPriority w:val="0"/>
    <w:pPr>
      <w:tabs>
        <w:tab w:val="center" w:pos="4419"/>
        <w:tab w:val="right" w:pos="8838"/>
      </w:tabs>
    </w:pPr>
  </w:style>
  <w:style w:type="paragraph" w:styleId="28">
    <w:name w:val="caption"/>
    <w:basedOn w:val="1"/>
    <w:next w:val="1"/>
    <w:qFormat/>
    <w:uiPriority w:val="0"/>
    <w:pPr>
      <w:suppressAutoHyphens w:val="0"/>
      <w:spacing w:before="100" w:beforeAutospacing="1" w:after="100" w:afterAutospacing="1"/>
    </w:pPr>
    <w:rPr>
      <w:sz w:val="24"/>
      <w:szCs w:val="24"/>
      <w:lang w:eastAsia="pt-BR"/>
    </w:rPr>
  </w:style>
  <w:style w:type="paragraph" w:styleId="29">
    <w:name w:val="Body Text Indent 3"/>
    <w:basedOn w:val="1"/>
    <w:qFormat/>
    <w:uiPriority w:val="0"/>
    <w:pPr>
      <w:suppressAutoHyphens w:val="0"/>
      <w:spacing w:after="120"/>
      <w:ind w:left="283"/>
    </w:pPr>
    <w:rPr>
      <w:sz w:val="16"/>
      <w:szCs w:val="16"/>
      <w:lang w:eastAsia="pt-BR"/>
    </w:rPr>
  </w:style>
  <w:style w:type="paragraph" w:styleId="30">
    <w:name w:val="Balloon Text"/>
    <w:basedOn w:val="1"/>
    <w:semiHidden/>
    <w:qFormat/>
    <w:uiPriority w:val="0"/>
    <w:rPr>
      <w:rFonts w:ascii="Tahoma" w:hAnsi="Tahoma" w:cs="Tahoma"/>
      <w:sz w:val="16"/>
      <w:szCs w:val="16"/>
    </w:rPr>
  </w:style>
  <w:style w:type="paragraph" w:styleId="31">
    <w:name w:val="footnote text"/>
    <w:basedOn w:val="1"/>
    <w:semiHidden/>
    <w:qFormat/>
    <w:uiPriority w:val="0"/>
    <w:pPr>
      <w:suppressAutoHyphens w:val="0"/>
    </w:pPr>
    <w:rPr>
      <w:lang w:eastAsia="pt-BR"/>
    </w:rPr>
  </w:style>
  <w:style w:type="paragraph" w:styleId="32">
    <w:name w:val="Body Text Indent"/>
    <w:basedOn w:val="1"/>
    <w:qFormat/>
    <w:uiPriority w:val="0"/>
    <w:pPr>
      <w:jc w:val="both"/>
    </w:pPr>
    <w:rPr>
      <w:b/>
      <w:sz w:val="24"/>
    </w:rPr>
  </w:style>
  <w:style w:type="table" w:styleId="33">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Legenda1"/>
    <w:basedOn w:val="1"/>
    <w:next w:val="1"/>
    <w:qFormat/>
    <w:uiPriority w:val="0"/>
    <w:pPr>
      <w:jc w:val="center"/>
    </w:pPr>
    <w:rPr>
      <w:b/>
    </w:rPr>
  </w:style>
  <w:style w:type="paragraph" w:customStyle="1" w:styleId="35">
    <w:name w:val="WW-Legenda"/>
    <w:basedOn w:val="3"/>
    <w:next w:val="3"/>
    <w:qFormat/>
    <w:uiPriority w:val="0"/>
    <w:pPr>
      <w:jc w:val="center"/>
    </w:pPr>
    <w:rPr>
      <w:b/>
      <w:sz w:val="20"/>
    </w:rPr>
  </w:style>
  <w:style w:type="paragraph" w:customStyle="1" w:styleId="36">
    <w:name w:val="WW-Saudação"/>
    <w:basedOn w:val="3"/>
    <w:qFormat/>
    <w:uiPriority w:val="0"/>
    <w:pPr>
      <w:jc w:val="both"/>
    </w:pPr>
  </w:style>
  <w:style w:type="paragraph" w:customStyle="1" w:styleId="37">
    <w:name w:val="OmniPage #7"/>
    <w:basedOn w:val="3"/>
    <w:qFormat/>
    <w:uiPriority w:val="0"/>
  </w:style>
  <w:style w:type="paragraph" w:customStyle="1" w:styleId="38">
    <w:name w:val="Recuo de corpo de texto 31"/>
    <w:basedOn w:val="1"/>
    <w:qFormat/>
    <w:uiPriority w:val="0"/>
    <w:pPr>
      <w:ind w:firstLine="284"/>
      <w:jc w:val="both"/>
    </w:pPr>
    <w:rPr>
      <w:sz w:val="24"/>
    </w:rPr>
  </w:style>
  <w:style w:type="paragraph" w:customStyle="1" w:styleId="39">
    <w:name w:val="Saudação1"/>
    <w:basedOn w:val="1"/>
    <w:qFormat/>
    <w:uiPriority w:val="0"/>
    <w:pPr>
      <w:jc w:val="both"/>
    </w:pPr>
    <w:rPr>
      <w:rFonts w:ascii="Arial" w:hAnsi="Arial"/>
      <w:sz w:val="24"/>
    </w:rPr>
  </w:style>
  <w:style w:type="paragraph" w:customStyle="1" w:styleId="40">
    <w:name w:val="Recuo de corpo de texto 21"/>
    <w:basedOn w:val="1"/>
    <w:qFormat/>
    <w:uiPriority w:val="0"/>
    <w:pPr>
      <w:widowControl w:val="0"/>
      <w:ind w:left="2552"/>
      <w:jc w:val="both"/>
    </w:pPr>
    <w:rPr>
      <w:rFonts w:ascii="Arial" w:hAnsi="Arial"/>
      <w:sz w:val="24"/>
    </w:rPr>
  </w:style>
  <w:style w:type="paragraph" w:customStyle="1" w:styleId="41">
    <w:name w:val="Corpo de texto 31"/>
    <w:basedOn w:val="1"/>
    <w:qFormat/>
    <w:uiPriority w:val="0"/>
    <w:pPr>
      <w:tabs>
        <w:tab w:val="left" w:pos="0"/>
      </w:tabs>
      <w:jc w:val="both"/>
    </w:pPr>
    <w:rPr>
      <w:sz w:val="24"/>
    </w:rPr>
  </w:style>
  <w:style w:type="paragraph" w:customStyle="1" w:styleId="42">
    <w:name w:val="Corpo do texto"/>
    <w:basedOn w:val="3"/>
    <w:qFormat/>
    <w:uiPriority w:val="0"/>
    <w:pPr>
      <w:jc w:val="both"/>
    </w:pPr>
    <w:rPr>
      <w:b/>
      <w:u w:val="single"/>
    </w:rPr>
  </w:style>
  <w:style w:type="paragraph" w:customStyle="1" w:styleId="43">
    <w:name w:val="Conteúdo da Tabela"/>
    <w:basedOn w:val="42"/>
    <w:qFormat/>
    <w:uiPriority w:val="0"/>
    <w:pPr>
      <w:jc w:val="left"/>
    </w:pPr>
    <w:rPr>
      <w:b w:val="0"/>
      <w:u w:val="none"/>
    </w:rPr>
  </w:style>
  <w:style w:type="paragraph" w:customStyle="1" w:styleId="44">
    <w:name w:val="WW-Padrão1"/>
    <w:qFormat/>
    <w:uiPriority w:val="0"/>
    <w:pPr>
      <w:suppressAutoHyphens/>
    </w:pPr>
    <w:rPr>
      <w:rFonts w:ascii="Times New Roman" w:hAnsi="Times New Roman" w:eastAsia="Times New Roman" w:cs="Times New Roman"/>
      <w:sz w:val="24"/>
      <w:lang w:val="pt-BR" w:eastAsia="ar-SA" w:bidi="ar-SA"/>
    </w:rPr>
  </w:style>
  <w:style w:type="paragraph" w:customStyle="1" w:styleId="45">
    <w:name w:val="WW-Corpo de texto 2"/>
    <w:basedOn w:val="3"/>
    <w:qFormat/>
    <w:uiPriority w:val="0"/>
    <w:pPr>
      <w:jc w:val="both"/>
    </w:pPr>
  </w:style>
  <w:style w:type="paragraph" w:customStyle="1" w:styleId="46">
    <w:name w:val="Recuo do corpo de texto"/>
    <w:basedOn w:val="3"/>
    <w:qFormat/>
    <w:uiPriority w:val="0"/>
    <w:pPr>
      <w:jc w:val="both"/>
    </w:pPr>
    <w:rPr>
      <w:b/>
    </w:rPr>
  </w:style>
  <w:style w:type="paragraph" w:customStyle="1" w:styleId="47">
    <w:name w:val="Corpo de texto 21"/>
    <w:basedOn w:val="1"/>
    <w:qFormat/>
    <w:uiPriority w:val="0"/>
    <w:pPr>
      <w:spacing w:after="120" w:line="480" w:lineRule="auto"/>
    </w:pPr>
  </w:style>
  <w:style w:type="paragraph" w:customStyle="1" w:styleId="48">
    <w:name w:val="WW-Com marcadores 2"/>
    <w:basedOn w:val="1"/>
    <w:qFormat/>
    <w:uiPriority w:val="0"/>
    <w:pPr>
      <w:jc w:val="both"/>
    </w:pPr>
    <w:rPr>
      <w:sz w:val="24"/>
    </w:rPr>
  </w:style>
  <w:style w:type="paragraph" w:customStyle="1" w:styleId="49">
    <w:name w:val="WW-Corpo de texto 3"/>
    <w:basedOn w:val="1"/>
    <w:qFormat/>
    <w:uiPriority w:val="0"/>
    <w:pPr>
      <w:jc w:val="both"/>
    </w:pPr>
    <w:rPr>
      <w:b/>
      <w:i/>
      <w:color w:val="FF0000"/>
      <w:sz w:val="24"/>
    </w:rPr>
  </w:style>
  <w:style w:type="paragraph" w:customStyle="1" w:styleId="50">
    <w:name w:val="Padrão"/>
    <w:qFormat/>
    <w:uiPriority w:val="0"/>
    <w:rPr>
      <w:rFonts w:ascii="Times New Roman" w:hAnsi="Times New Roman" w:eastAsia="Times New Roman" w:cs="Times New Roman"/>
      <w:snapToGrid w:val="0"/>
      <w:sz w:val="24"/>
      <w:lang w:val="pt-BR" w:eastAsia="pt-BR" w:bidi="ar-SA"/>
    </w:rPr>
  </w:style>
  <w:style w:type="paragraph" w:customStyle="1" w:styleId="51">
    <w:name w:val="western"/>
    <w:basedOn w:val="1"/>
    <w:qFormat/>
    <w:uiPriority w:val="0"/>
    <w:pPr>
      <w:suppressAutoHyphens w:val="0"/>
      <w:spacing w:before="100" w:beforeAutospacing="1" w:after="119"/>
    </w:pPr>
    <w:rPr>
      <w:sz w:val="24"/>
      <w:szCs w:val="24"/>
      <w:lang w:eastAsia="pt-BR"/>
    </w:rPr>
  </w:style>
  <w:style w:type="paragraph" w:customStyle="1" w:styleId="52">
    <w:name w:val="Título 28"/>
    <w:basedOn w:val="1"/>
    <w:qFormat/>
    <w:uiPriority w:val="0"/>
    <w:pPr>
      <w:suppressAutoHyphens w:val="0"/>
      <w:spacing w:before="100" w:beforeAutospacing="1" w:after="100" w:afterAutospacing="1"/>
      <w:outlineLvl w:val="2"/>
    </w:pPr>
    <w:rPr>
      <w:b/>
      <w:bCs/>
      <w:color w:val="3162A6"/>
      <w:sz w:val="34"/>
      <w:szCs w:val="34"/>
      <w:lang w:eastAsia="pt-BR"/>
    </w:rPr>
  </w:style>
  <w:style w:type="character" w:customStyle="1" w:styleId="53">
    <w:name w:val="spelle"/>
    <w:basedOn w:val="12"/>
    <w:qFormat/>
    <w:uiPriority w:val="0"/>
  </w:style>
  <w:style w:type="paragraph" w:customStyle="1" w:styleId="54">
    <w:name w:val="Body Text 21"/>
    <w:basedOn w:val="1"/>
    <w:qFormat/>
    <w:uiPriority w:val="0"/>
    <w:pPr>
      <w:jc w:val="both"/>
    </w:pPr>
    <w:rPr>
      <w:sz w:val="24"/>
    </w:rPr>
  </w:style>
  <w:style w:type="paragraph" w:customStyle="1" w:styleId="55">
    <w:name w:val="Contrato"/>
    <w:basedOn w:val="1"/>
    <w:qFormat/>
    <w:uiPriority w:val="0"/>
    <w:pPr>
      <w:numPr>
        <w:ilvl w:val="0"/>
        <w:numId w:val="1"/>
      </w:numPr>
      <w:suppressAutoHyphens w:val="0"/>
      <w:spacing w:after="240"/>
      <w:jc w:val="both"/>
    </w:pPr>
    <w:rPr>
      <w:sz w:val="24"/>
      <w:lang w:eastAsia="pt-BR"/>
    </w:rPr>
  </w:style>
  <w:style w:type="paragraph" w:customStyle="1" w:styleId="56">
    <w:name w:val="n1"/>
    <w:basedOn w:val="1"/>
    <w:qFormat/>
    <w:uiPriority w:val="0"/>
    <w:pPr>
      <w:tabs>
        <w:tab w:val="left" w:pos="1134"/>
      </w:tabs>
      <w:suppressAutoHyphens w:val="0"/>
      <w:spacing w:before="240"/>
      <w:jc w:val="both"/>
    </w:pPr>
    <w:rPr>
      <w:rFonts w:ascii="Arial" w:hAnsi="Arial"/>
      <w:snapToGrid w:val="0"/>
      <w:lang w:eastAsia="pt-BR"/>
    </w:rPr>
  </w:style>
  <w:style w:type="paragraph" w:customStyle="1" w:styleId="57">
    <w:name w:val="xl49"/>
    <w:basedOn w:val="1"/>
    <w:qFormat/>
    <w:uiPriority w:val="0"/>
    <w:pPr>
      <w:suppressAutoHyphens w:val="0"/>
      <w:spacing w:before="100" w:after="100"/>
      <w:jc w:val="center"/>
    </w:pPr>
    <w:rPr>
      <w:rFonts w:ascii="Arial" w:hAnsi="Arial"/>
      <w:b/>
      <w:sz w:val="24"/>
      <w:lang w:eastAsia="pt-BR"/>
    </w:rPr>
  </w:style>
  <w:style w:type="paragraph" w:customStyle="1" w:styleId="58">
    <w:name w:val="Base de título"/>
    <w:basedOn w:val="18"/>
    <w:next w:val="18"/>
    <w:qFormat/>
    <w:uiPriority w:val="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59">
    <w:name w:val="Default"/>
    <w:qFormat/>
    <w:uiPriority w:val="0"/>
    <w:pPr>
      <w:autoSpaceDE w:val="0"/>
      <w:autoSpaceDN w:val="0"/>
      <w:adjustRightInd w:val="0"/>
    </w:pPr>
    <w:rPr>
      <w:rFonts w:ascii="Times New Roman" w:hAnsi="Times New Roman" w:eastAsia="Times New Roman" w:cs="Times New Roman"/>
      <w:color w:val="000000"/>
      <w:sz w:val="24"/>
      <w:szCs w:val="24"/>
      <w:lang w:val="pt-BR" w:eastAsia="pt-BR" w:bidi="ar-SA"/>
    </w:rPr>
  </w:style>
  <w:style w:type="paragraph" w:styleId="60">
    <w:name w:val="List Paragraph"/>
    <w:basedOn w:val="1"/>
    <w:qFormat/>
    <w:uiPriority w:val="99"/>
    <w:pPr>
      <w:suppressAutoHyphens w:val="0"/>
      <w:ind w:left="720"/>
      <w:contextualSpacing/>
    </w:pPr>
    <w:rPr>
      <w:lang w:eastAsia="pt-BR"/>
    </w:rPr>
  </w:style>
  <w:style w:type="character" w:customStyle="1" w:styleId="61">
    <w:name w:val="Título 1 Char"/>
    <w:link w:val="2"/>
    <w:qFormat/>
    <w:locked/>
    <w:uiPriority w:val="99"/>
    <w:rPr>
      <w:sz w:val="24"/>
      <w:lang w:eastAsia="ar-SA"/>
    </w:rPr>
  </w:style>
  <w:style w:type="character" w:customStyle="1" w:styleId="62">
    <w:name w:val="Recuo de corpo de texto 2 Char"/>
    <w:basedOn w:val="12"/>
    <w:link w:val="21"/>
    <w:qFormat/>
    <w:uiPriority w:val="0"/>
    <w:rPr>
      <w:lang w:eastAsia="ar-SA"/>
    </w:rPr>
  </w:style>
  <w:style w:type="character" w:customStyle="1" w:styleId="63">
    <w:name w:val="Cabeçalho Char"/>
    <w:basedOn w:val="12"/>
    <w:link w:val="26"/>
    <w:qFormat/>
    <w:uiPriority w:val="99"/>
    <w:rPr>
      <w:lang w:eastAsia="ar-SA"/>
    </w:rPr>
  </w:style>
  <w:style w:type="paragraph" w:customStyle="1" w:styleId="64">
    <w:name w:val="Nivel_01_Titulo"/>
    <w:basedOn w:val="2"/>
    <w:next w:val="1"/>
    <w:link w:val="67"/>
    <w:qFormat/>
    <w:uiPriority w:val="0"/>
    <w:pPr>
      <w:keepLines/>
      <w:numPr>
        <w:ilvl w:val="0"/>
        <w:numId w:val="2"/>
      </w:numPr>
      <w:tabs>
        <w:tab w:val="left" w:pos="567"/>
        <w:tab w:val="clear" w:pos="709"/>
      </w:tabs>
      <w:suppressAutoHyphens w:val="0"/>
      <w:spacing w:before="240"/>
      <w:jc w:val="both"/>
    </w:pPr>
    <w:rPr>
      <w:rFonts w:ascii="Arial" w:hAnsi="Arial" w:eastAsiaTheme="majorEastAsia"/>
      <w:b/>
      <w:bCs/>
      <w:sz w:val="20"/>
      <w:lang w:eastAsia="pt-BR"/>
    </w:rPr>
  </w:style>
  <w:style w:type="character" w:customStyle="1" w:styleId="65">
    <w:name w:val="Grade Colorida - Ênfase 1 Char"/>
    <w:link w:val="66"/>
    <w:qFormat/>
    <w:locked/>
    <w:uiPriority w:val="29"/>
    <w:rPr>
      <w:rFonts w:ascii="Arial" w:hAnsi="Arial" w:eastAsia="Calibri" w:cs="Arial"/>
      <w:i/>
      <w:iCs/>
      <w:color w:val="000000"/>
      <w:szCs w:val="24"/>
      <w:shd w:val="clear" w:color="auto" w:fill="FFFFCC"/>
      <w:lang w:val="zh-CN" w:eastAsia="en-US"/>
    </w:rPr>
  </w:style>
  <w:style w:type="paragraph" w:customStyle="1" w:styleId="66">
    <w:name w:val="Grade Colorida - Ênfase 11"/>
    <w:basedOn w:val="1"/>
    <w:next w:val="1"/>
    <w:link w:val="65"/>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Arial" w:hAnsi="Arial" w:eastAsia="Calibri" w:cs="Arial"/>
      <w:i/>
      <w:iCs/>
      <w:color w:val="000000"/>
      <w:szCs w:val="24"/>
      <w:lang w:val="zh-CN" w:eastAsia="en-US"/>
    </w:rPr>
  </w:style>
  <w:style w:type="character" w:customStyle="1" w:styleId="67">
    <w:name w:val="Nivel_01_Titulo Char"/>
    <w:basedOn w:val="12"/>
    <w:link w:val="64"/>
    <w:qFormat/>
    <w:locked/>
    <w:uiPriority w:val="0"/>
    <w:rPr>
      <w:rFonts w:ascii="Arial" w:hAnsi="Arial" w:eastAsiaTheme="majorEastAsia"/>
      <w:b/>
      <w:bCs/>
    </w:rPr>
  </w:style>
  <w:style w:type="character" w:customStyle="1" w:styleId="68">
    <w:name w:val="Texto de comentário Char"/>
    <w:basedOn w:val="12"/>
    <w:link w:val="20"/>
    <w:qFormat/>
    <w:uiPriority w:val="0"/>
    <w:rPr>
      <w:rFonts w:ascii="Ecofont_Spranq_eco_Sans" w:hAnsi="Ecofont_Spranq_eco_Sans" w:cs="Tahoma"/>
    </w:rPr>
  </w:style>
  <w:style w:type="character" w:customStyle="1" w:styleId="69">
    <w:name w:val="Texto de comentário Char1"/>
    <w:basedOn w:val="12"/>
    <w:semiHidden/>
    <w:qFormat/>
    <w:uiPriority w:val="0"/>
    <w:rPr>
      <w:lang w:eastAsia="ar-SA"/>
    </w:rPr>
  </w:style>
  <w:style w:type="character" w:customStyle="1" w:styleId="70">
    <w:name w:val="Nivel1 Char"/>
    <w:basedOn w:val="12"/>
    <w:link w:val="71"/>
    <w:qFormat/>
    <w:locked/>
    <w:uiPriority w:val="0"/>
    <w:rPr>
      <w:rFonts w:ascii="Arial" w:hAnsi="Arial" w:eastAsiaTheme="majorEastAsia" w:cstheme="majorBidi"/>
      <w:b/>
      <w:color w:val="376092" w:themeColor="accent1" w:themeShade="BF"/>
      <w:sz w:val="32"/>
      <w:szCs w:val="32"/>
    </w:rPr>
  </w:style>
  <w:style w:type="paragraph" w:customStyle="1" w:styleId="71">
    <w:name w:val="Nivel1"/>
    <w:basedOn w:val="2"/>
    <w:next w:val="1"/>
    <w:link w:val="70"/>
    <w:qFormat/>
    <w:uiPriority w:val="0"/>
    <w:pPr>
      <w:keepLines/>
      <w:tabs>
        <w:tab w:val="clear" w:pos="709"/>
      </w:tabs>
      <w:suppressAutoHyphens w:val="0"/>
      <w:spacing w:before="480" w:after="120" w:line="276" w:lineRule="auto"/>
      <w:jc w:val="both"/>
    </w:pPr>
    <w:rPr>
      <w:rFonts w:ascii="Arial" w:hAnsi="Arial" w:eastAsiaTheme="majorEastAsia" w:cstheme="majorBidi"/>
      <w:b/>
      <w:color w:val="376092" w:themeColor="accent1" w:themeShade="BF"/>
      <w:sz w:val="32"/>
      <w:szCs w:val="32"/>
      <w:lang w:eastAsia="pt-B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D29BB-A532-4274-9B3F-63E966E53C1B}">
  <ds:schemaRefs/>
</ds:datastoreItem>
</file>

<file path=docProps/app.xml><?xml version="1.0" encoding="utf-8"?>
<Properties xmlns="http://schemas.openxmlformats.org/officeDocument/2006/extended-properties" xmlns:vt="http://schemas.openxmlformats.org/officeDocument/2006/docPropsVTypes">
  <Template>Normal</Template>
  <Company>1becnst</Company>
  <Pages>1</Pages>
  <Words>1883</Words>
  <Characters>10172</Characters>
  <Lines>84</Lines>
  <Paragraphs>24</Paragraphs>
  <TotalTime>13</TotalTime>
  <ScaleCrop>false</ScaleCrop>
  <LinksUpToDate>false</LinksUpToDate>
  <CharactersWithSpaces>12031</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2022-02-10T04:08:00Z</dcterms:created>
  <dc:creator>Sec Lic</dc:creator>
  <cp:lastModifiedBy>Juliana Borsoi</cp:lastModifiedBy>
  <cp:lastPrinted>2022-02-10T04:08:00Z</cp:lastPrinted>
  <dcterms:modified xsi:type="dcterms:W3CDTF">2022-04-01T18:59:11Z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663738659B44481EB57450F2E171EEB3</vt:lpwstr>
  </property>
</Properties>
</file>