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7682190C"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1D4DB2DE"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91250D">
              <w:rPr>
                <w:rFonts w:ascii="Verdana" w:eastAsia="Verdana" w:hAnsi="Verdana" w:cs="Verdana"/>
                <w:b/>
                <w:sz w:val="20"/>
                <w:szCs w:val="20"/>
              </w:rPr>
              <w:t>14</w:t>
            </w:r>
            <w:r>
              <w:rPr>
                <w:rFonts w:ascii="Verdana" w:eastAsia="Verdana" w:hAnsi="Verdana" w:cs="Verdana"/>
                <w:b/>
                <w:sz w:val="20"/>
                <w:szCs w:val="20"/>
              </w:rPr>
              <w:t>/202</w:t>
            </w:r>
            <w:r w:rsidR="002B7737">
              <w:rPr>
                <w:rFonts w:ascii="Verdana" w:eastAsia="Verdana" w:hAnsi="Verdana" w:cs="Verdana"/>
                <w:b/>
                <w:sz w:val="20"/>
                <w:szCs w:val="20"/>
              </w:rPr>
              <w:t>3</w:t>
            </w:r>
            <w:r>
              <w:rPr>
                <w:rFonts w:ascii="Verdana" w:eastAsia="Verdana" w:hAnsi="Verdana" w:cs="Verdana"/>
                <w:b/>
                <w:sz w:val="20"/>
                <w:szCs w:val="20"/>
              </w:rPr>
              <w:t>/AD</w:t>
            </w:r>
          </w:p>
          <w:p w14:paraId="0924DAB8" w14:textId="4AD2A15E"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442D4BA" w14:textId="0D3C4F51" w:rsidR="00155863" w:rsidRDefault="00155863">
            <w:pPr>
              <w:spacing w:before="100" w:after="100"/>
              <w:jc w:val="center"/>
              <w:rPr>
                <w:rFonts w:ascii="Verdana" w:eastAsia="Verdana" w:hAnsi="Verdana" w:cs="Verdana"/>
                <w:b/>
              </w:rPr>
            </w:pPr>
            <w:r>
              <w:rPr>
                <w:rFonts w:ascii="Verdana" w:eastAsia="Verdana" w:hAnsi="Verdana" w:cs="Verdana"/>
                <w:b/>
              </w:rPr>
              <w:t>SISTEMA DE REGISTRO DE PREÇOS</w:t>
            </w:r>
          </w:p>
          <w:p w14:paraId="65E7704D" w14:textId="25B8F7B0"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964239" w:rsidRPr="00964239">
              <w:rPr>
                <w:rFonts w:ascii="Verdana" w:eastAsia="Verdana" w:hAnsi="Verdana" w:cs="Verdana"/>
                <w:b/>
              </w:rPr>
              <w:t>23069.191848/2022-63</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w:t>
            </w:r>
            <w:proofErr w:type="gramStart"/>
            <w:r>
              <w:rPr>
                <w:sz w:val="18"/>
                <w:szCs w:val="18"/>
              </w:rPr>
              <w:t xml:space="preserve">  </w:t>
            </w:r>
            <w:proofErr w:type="gramEnd"/>
            <w:r>
              <w:rPr>
                <w:sz w:val="18"/>
                <w:szCs w:val="18"/>
              </w:rPr>
              <w:t>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7937537C" w:rsidR="00007609" w:rsidRDefault="00D712EA">
            <w:pPr>
              <w:jc w:val="both"/>
              <w:rPr>
                <w:color w:val="000000"/>
                <w:sz w:val="18"/>
                <w:szCs w:val="18"/>
              </w:rPr>
            </w:pPr>
            <w:r>
              <w:rPr>
                <w:color w:val="000000"/>
                <w:sz w:val="18"/>
                <w:szCs w:val="18"/>
              </w:rPr>
              <w:t xml:space="preserve">O objeto </w:t>
            </w:r>
            <w:proofErr w:type="gramStart"/>
            <w:r>
              <w:rPr>
                <w:color w:val="000000"/>
                <w:sz w:val="18"/>
                <w:szCs w:val="18"/>
              </w:rPr>
              <w:t>da presente</w:t>
            </w:r>
            <w:proofErr w:type="gramEnd"/>
            <w:r>
              <w:rPr>
                <w:color w:val="000000"/>
                <w:sz w:val="18"/>
                <w:szCs w:val="18"/>
              </w:rPr>
              <w:t xml:space="preserve"> licitação é </w:t>
            </w:r>
            <w:r w:rsidRPr="00820332">
              <w:rPr>
                <w:color w:val="000000"/>
                <w:sz w:val="18"/>
                <w:szCs w:val="18"/>
              </w:rPr>
              <w:t xml:space="preserve">a </w:t>
            </w:r>
            <w:r w:rsidR="00920453">
              <w:rPr>
                <w:color w:val="000000"/>
                <w:sz w:val="18"/>
                <w:szCs w:val="18"/>
              </w:rPr>
              <w:t>eventual</w:t>
            </w:r>
            <w:r w:rsidR="00820332" w:rsidRPr="00820332">
              <w:rPr>
                <w:color w:val="000000"/>
                <w:sz w:val="18"/>
                <w:szCs w:val="18"/>
              </w:rPr>
              <w:t xml:space="preserve"> </w:t>
            </w:r>
            <w:r w:rsidR="00437C70" w:rsidRPr="00437C70">
              <w:rPr>
                <w:color w:val="000000"/>
                <w:sz w:val="18"/>
                <w:szCs w:val="18"/>
              </w:rPr>
              <w:t xml:space="preserve">a contratação de empresa especializada em </w:t>
            </w:r>
            <w:r w:rsidR="00437C70" w:rsidRPr="00437C70">
              <w:rPr>
                <w:b/>
                <w:bCs/>
                <w:color w:val="000000"/>
                <w:sz w:val="18"/>
                <w:szCs w:val="18"/>
              </w:rPr>
              <w:t>LOCAÇÃO DE CAÇAMBAS</w:t>
            </w:r>
            <w:r w:rsidR="00437C70" w:rsidRPr="00437C70">
              <w:rPr>
                <w:color w:val="000000"/>
                <w:sz w:val="18"/>
                <w:szCs w:val="18"/>
              </w:rPr>
              <w:t xml:space="preserve"> para retirada de resíduos (resíduos de obra, restos de divisórias de madeira, galhos e folhas de árvores, etc.)</w:t>
            </w:r>
            <w:r w:rsidR="0091213B" w:rsidRPr="0091213B">
              <w:rPr>
                <w:color w:val="000000"/>
                <w:sz w:val="18"/>
                <w:szCs w:val="18"/>
              </w:rPr>
              <w:t>,</w:t>
            </w:r>
            <w:r>
              <w:rPr>
                <w:color w:val="000000"/>
                <w:sz w:val="18"/>
                <w:szCs w:val="18"/>
              </w:rPr>
              <w:t xml:space="preserve">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5E043D7F" w:rsidR="00007609" w:rsidRDefault="00D712EA" w:rsidP="00E055DD">
            <w:pPr>
              <w:jc w:val="both"/>
              <w:rPr>
                <w:color w:val="000000"/>
                <w:sz w:val="18"/>
                <w:szCs w:val="18"/>
              </w:rPr>
            </w:pPr>
            <w:r>
              <w:rPr>
                <w:sz w:val="18"/>
                <w:szCs w:val="18"/>
              </w:rPr>
              <w:t xml:space="preserve">Sessão Pública a ser realizada no endereço eletrônico informado no edital, às </w:t>
            </w:r>
            <w:proofErr w:type="gramStart"/>
            <w:r w:rsidR="0016408F">
              <w:rPr>
                <w:sz w:val="18"/>
                <w:szCs w:val="18"/>
              </w:rPr>
              <w:t>10:00</w:t>
            </w:r>
            <w:proofErr w:type="gramEnd"/>
            <w:r>
              <w:rPr>
                <w:b/>
                <w:sz w:val="18"/>
                <w:szCs w:val="18"/>
              </w:rPr>
              <w:t>h</w:t>
            </w:r>
            <w:r>
              <w:rPr>
                <w:sz w:val="18"/>
                <w:szCs w:val="18"/>
              </w:rPr>
              <w:t xml:space="preserve"> do dia </w:t>
            </w:r>
            <w:r w:rsidR="0016408F">
              <w:rPr>
                <w:b/>
                <w:sz w:val="18"/>
                <w:szCs w:val="18"/>
              </w:rPr>
              <w:t>0</w:t>
            </w:r>
            <w:r w:rsidR="00E055DD">
              <w:rPr>
                <w:b/>
                <w:sz w:val="18"/>
                <w:szCs w:val="18"/>
              </w:rPr>
              <w:t>3</w:t>
            </w:r>
            <w:r w:rsidR="0016408F">
              <w:rPr>
                <w:b/>
                <w:sz w:val="18"/>
                <w:szCs w:val="18"/>
              </w:rPr>
              <w:t xml:space="preserve"> de março de 2023</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 xml:space="preserve">Rua Miguel de Frias n.º 09, Bairro Icaraí, Niterói - </w:t>
            </w:r>
            <w:proofErr w:type="gramStart"/>
            <w:r>
              <w:rPr>
                <w:color w:val="000000"/>
                <w:sz w:val="18"/>
                <w:szCs w:val="18"/>
              </w:rPr>
              <w:t>RJ</w:t>
            </w:r>
            <w:proofErr w:type="gramEnd"/>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76E8F126" w:rsidR="00007609" w:rsidRDefault="00D712EA">
            <w:pPr>
              <w:jc w:val="both"/>
              <w:rPr>
                <w:color w:val="000000"/>
                <w:sz w:val="18"/>
                <w:szCs w:val="18"/>
              </w:rPr>
            </w:pPr>
            <w:r>
              <w:rPr>
                <w:color w:val="000000"/>
                <w:sz w:val="18"/>
                <w:szCs w:val="18"/>
              </w:rPr>
              <w:t xml:space="preserve">Menor preço por </w:t>
            </w:r>
            <w:r w:rsidR="004D7D65">
              <w:rPr>
                <w:color w:val="000000"/>
                <w:sz w:val="18"/>
                <w:szCs w:val="18"/>
              </w:rPr>
              <w:t>item</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C04679">
            <w:pPr>
              <w:jc w:val="both"/>
              <w:rPr>
                <w:b/>
                <w:color w:val="0000FF"/>
                <w:sz w:val="18"/>
                <w:szCs w:val="18"/>
                <w:u w:val="single"/>
              </w:rPr>
            </w:pPr>
            <w:hyperlink r:id="rId11">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6290BA01" w:rsidR="00007609" w:rsidRDefault="0016408F">
            <w:pPr>
              <w:spacing w:before="100" w:after="100"/>
              <w:jc w:val="both"/>
              <w:rPr>
                <w:rFonts w:cs="Arial"/>
                <w:b/>
                <w:i/>
                <w:color w:val="000000"/>
                <w:sz w:val="18"/>
                <w:szCs w:val="18"/>
              </w:rPr>
            </w:pPr>
            <w:r>
              <w:rPr>
                <w:rFonts w:cs="Arial"/>
                <w:b/>
                <w:i/>
                <w:color w:val="000000"/>
                <w:sz w:val="18"/>
                <w:szCs w:val="18"/>
              </w:rPr>
              <w:t>Fábio Medeiros de Souza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7807E1B5"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61B62C79"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91250D">
        <w:rPr>
          <w:rFonts w:ascii="Verdana" w:eastAsia="Verdana" w:hAnsi="Verdana" w:cs="Verdana"/>
          <w:b/>
        </w:rPr>
        <w:t>14</w:t>
      </w:r>
      <w:r>
        <w:rPr>
          <w:rFonts w:ascii="Verdana" w:eastAsia="Verdana" w:hAnsi="Verdana" w:cs="Verdana"/>
          <w:b/>
        </w:rPr>
        <w:t>/202</w:t>
      </w:r>
      <w:r w:rsidR="002B7737">
        <w:rPr>
          <w:rFonts w:ascii="Verdana" w:eastAsia="Verdana" w:hAnsi="Verdana" w:cs="Verdana"/>
          <w:b/>
        </w:rPr>
        <w:t>3</w:t>
      </w:r>
      <w:r>
        <w:rPr>
          <w:rFonts w:ascii="Verdana" w:eastAsia="Verdana" w:hAnsi="Verdana" w:cs="Verdana"/>
          <w:b/>
        </w:rPr>
        <w:t>/AD</w:t>
      </w:r>
    </w:p>
    <w:p w14:paraId="59EFADAA" w14:textId="74C05A79"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AB55B9F" w14:textId="2D866FF2" w:rsidR="006B2305" w:rsidRDefault="006B2305">
      <w:pPr>
        <w:spacing w:before="100" w:after="100"/>
        <w:jc w:val="center"/>
        <w:rPr>
          <w:rFonts w:ascii="Verdana" w:eastAsia="Verdana" w:hAnsi="Verdana" w:cs="Verdana"/>
          <w:b/>
        </w:rPr>
      </w:pPr>
      <w:r>
        <w:rPr>
          <w:rFonts w:ascii="Verdana" w:eastAsia="Verdana" w:hAnsi="Verdana" w:cs="Verdana"/>
          <w:b/>
        </w:rPr>
        <w:t xml:space="preserve">SISTEMA </w:t>
      </w:r>
      <w:r w:rsidR="00C25B2A">
        <w:rPr>
          <w:rFonts w:ascii="Verdana" w:eastAsia="Verdana" w:hAnsi="Verdana" w:cs="Verdana"/>
          <w:b/>
        </w:rPr>
        <w:t xml:space="preserve">DE </w:t>
      </w:r>
      <w:r>
        <w:rPr>
          <w:rFonts w:ascii="Verdana" w:eastAsia="Verdana" w:hAnsi="Verdana" w:cs="Verdana"/>
          <w:b/>
        </w:rPr>
        <w:t>REGISTRO DE PREÇOS</w:t>
      </w:r>
    </w:p>
    <w:p w14:paraId="5AE638A9" w14:textId="1E25452B"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964239" w:rsidRPr="00964239">
        <w:rPr>
          <w:rFonts w:ascii="Verdana" w:eastAsia="Verdana" w:hAnsi="Verdana" w:cs="Verdana"/>
          <w:b/>
        </w:rPr>
        <w:t>23069.191848/2022-63</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1877C017"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 xml:space="preserve">da sua Pró-Reitoria de Administração, inscrita no CNPJ/MF sob nº 28.523.215/0039-89, situada na Rua Miguel de Frias, </w:t>
      </w:r>
      <w:proofErr w:type="gramStart"/>
      <w:r>
        <w:t>9</w:t>
      </w:r>
      <w:proofErr w:type="gramEnd"/>
      <w:r>
        <w:t>, 1º andar, Icaraí, Niterói/RJ, CEP 24.220-008</w:t>
      </w:r>
      <w:r>
        <w:rPr>
          <w:color w:val="000000"/>
        </w:rPr>
        <w:t xml:space="preserve">, realizará licitação, </w:t>
      </w:r>
      <w:r w:rsidR="00565AEE">
        <w:rPr>
          <w:color w:val="000000"/>
        </w:rPr>
        <w:t>para</w:t>
      </w:r>
      <w:r w:rsidR="007C1079">
        <w:rPr>
          <w:color w:val="000000"/>
        </w:rPr>
        <w:t xml:space="preserve"> REGISTRO DE PREÇOS</w:t>
      </w:r>
      <w:r>
        <w:rPr>
          <w:color w:val="000000"/>
        </w:rPr>
        <w:t xml:space="preserve">, na modalidade PREGÃO, na forma ELETRÔNICA, </w:t>
      </w:r>
      <w:r>
        <w:rPr>
          <w:b/>
          <w:color w:val="000000"/>
        </w:rPr>
        <w:t xml:space="preserve">com critério de julgamento menor </w:t>
      </w:r>
      <w:r>
        <w:rPr>
          <w:b/>
        </w:rPr>
        <w:t>preço</w:t>
      </w:r>
      <w:r w:rsidR="00EE286B">
        <w:rPr>
          <w:b/>
        </w:rPr>
        <w:t xml:space="preserve"> por</w:t>
      </w:r>
      <w:r>
        <w:rPr>
          <w:b/>
        </w:rPr>
        <w:t xml:space="preserve"> </w:t>
      </w:r>
      <w:r w:rsidR="0091250D">
        <w:rPr>
          <w:b/>
        </w:rPr>
        <w:t>item</w:t>
      </w:r>
      <w:r>
        <w:rPr>
          <w:i/>
        </w:rPr>
        <w:t>,</w:t>
      </w:r>
      <w:r>
        <w:t xml:space="preserve"> </w:t>
      </w:r>
      <w:r w:rsidR="00EE286B">
        <w:rPr>
          <w:rFonts w:cs="Arial"/>
          <w:color w:val="000000"/>
          <w:szCs w:val="20"/>
        </w:rPr>
        <w:t xml:space="preserve">sob a forma de execução indireta, no regime de empreitada </w:t>
      </w:r>
      <w:r w:rsidR="00EE286B" w:rsidRPr="00EE286B">
        <w:rPr>
          <w:rFonts w:cs="Arial"/>
          <w:color w:val="000000"/>
          <w:szCs w:val="20"/>
        </w:rPr>
        <w:t xml:space="preserve">por </w:t>
      </w:r>
      <w:r w:rsidR="00EE286B" w:rsidRPr="00EE286B">
        <w:rPr>
          <w:color w:val="000000"/>
        </w:rPr>
        <w:t xml:space="preserve">preço unitário, </w:t>
      </w:r>
      <w:r w:rsidRPr="00EE286B">
        <w:t>nos</w:t>
      </w:r>
      <w:r>
        <w:t xml:space="preserve">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2B219599" w:rsidR="00007609" w:rsidRDefault="00D712EA" w:rsidP="00E055DD">
            <w:pPr>
              <w:spacing w:line="276" w:lineRule="auto"/>
              <w:jc w:val="both"/>
              <w:rPr>
                <w:rFonts w:ascii="Calibri" w:eastAsia="Calibri" w:hAnsi="Calibri"/>
              </w:rPr>
            </w:pPr>
            <w:r>
              <w:rPr>
                <w:rFonts w:ascii="Calibri" w:eastAsia="Calibri" w:hAnsi="Calibri"/>
                <w:color w:val="000000"/>
              </w:rPr>
              <w:t xml:space="preserve">Data da sessão: </w:t>
            </w:r>
            <w:r w:rsidR="0016408F">
              <w:rPr>
                <w:rFonts w:ascii="Calibri" w:eastAsia="Calibri" w:hAnsi="Calibri"/>
                <w:color w:val="000000"/>
              </w:rPr>
              <w:t>0</w:t>
            </w:r>
            <w:r w:rsidR="00E055DD">
              <w:rPr>
                <w:rFonts w:ascii="Calibri" w:eastAsia="Calibri" w:hAnsi="Calibri"/>
                <w:color w:val="000000"/>
              </w:rPr>
              <w:t>3</w:t>
            </w:r>
            <w:bookmarkStart w:id="0" w:name="_GoBack"/>
            <w:bookmarkEnd w:id="0"/>
            <w:r w:rsidR="0016408F">
              <w:rPr>
                <w:rFonts w:ascii="Calibri" w:eastAsia="Calibri" w:hAnsi="Calibri"/>
                <w:color w:val="000000"/>
              </w:rPr>
              <w:t xml:space="preserve"> de março de 2023</w:t>
            </w:r>
          </w:p>
        </w:tc>
      </w:tr>
      <w:tr w:rsidR="00007609" w14:paraId="290B6E19" w14:textId="77777777">
        <w:tc>
          <w:tcPr>
            <w:tcW w:w="9211" w:type="dxa"/>
          </w:tcPr>
          <w:p w14:paraId="58F0CD93" w14:textId="423D515D"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16408F">
              <w:rPr>
                <w:rFonts w:ascii="Calibri" w:eastAsia="Calibri" w:hAnsi="Calibri"/>
                <w:color w:val="000000"/>
              </w:rPr>
              <w:t>10:00h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3">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1CB67496"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w:t>
      </w:r>
      <w:proofErr w:type="gramStart"/>
      <w:r>
        <w:rPr>
          <w:rFonts w:cs="Arial"/>
          <w:color w:val="000000"/>
          <w:szCs w:val="20"/>
        </w:rPr>
        <w:t>da presente</w:t>
      </w:r>
      <w:proofErr w:type="gramEnd"/>
      <w:r>
        <w:rPr>
          <w:rFonts w:cs="Arial"/>
          <w:color w:val="000000"/>
          <w:szCs w:val="20"/>
        </w:rPr>
        <w:t xml:space="preserve"> licitação é </w:t>
      </w:r>
      <w:r w:rsidR="00964239" w:rsidRPr="00964239">
        <w:rPr>
          <w:rFonts w:cs="Arial"/>
          <w:color w:val="000000"/>
          <w:szCs w:val="20"/>
        </w:rPr>
        <w:t>a</w:t>
      </w:r>
      <w:r w:rsidR="00437C70">
        <w:rPr>
          <w:rFonts w:cs="Arial"/>
          <w:color w:val="000000"/>
          <w:szCs w:val="20"/>
        </w:rPr>
        <w:t xml:space="preserve"> eventual contratação </w:t>
      </w:r>
      <w:r w:rsidR="00964239" w:rsidRPr="00964239">
        <w:rPr>
          <w:rFonts w:cs="Arial"/>
          <w:color w:val="000000"/>
          <w:szCs w:val="20"/>
        </w:rPr>
        <w:t xml:space="preserve">de empresa especializada em </w:t>
      </w:r>
      <w:r w:rsidR="00964239" w:rsidRPr="00964239">
        <w:rPr>
          <w:rFonts w:cs="Arial"/>
          <w:b/>
          <w:bCs/>
          <w:color w:val="000000"/>
          <w:szCs w:val="20"/>
        </w:rPr>
        <w:t>LOCAÇÃO DE CAÇAMBAS</w:t>
      </w:r>
      <w:r w:rsidR="00964239" w:rsidRPr="00964239">
        <w:rPr>
          <w:rFonts w:cs="Arial"/>
          <w:color w:val="000000"/>
          <w:szCs w:val="20"/>
        </w:rPr>
        <w:t xml:space="preserve"> para retirada de resíduos (resíduos de obra, restos de divisórias de madeira, galhos e folhas de árvores, etc.)</w:t>
      </w:r>
      <w:r>
        <w:rPr>
          <w:rFonts w:cs="Arial"/>
          <w:color w:val="000000"/>
          <w:szCs w:val="20"/>
        </w:rPr>
        <w:t>, conforme condições, quantidades e exigências estabelecidas neste Edital e seus anexos.</w:t>
      </w:r>
    </w:p>
    <w:p w14:paraId="39234A9C" w14:textId="19655441"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sidR="009F03DC">
        <w:rPr>
          <w:rFonts w:cs="Arial"/>
          <w:color w:val="000000"/>
          <w:szCs w:val="20"/>
        </w:rPr>
        <w:t>s</w:t>
      </w:r>
      <w:r w:rsidR="009F03DC" w:rsidRPr="009F03DC">
        <w:rPr>
          <w:rFonts w:cs="Arial"/>
          <w:color w:val="000000"/>
          <w:szCs w:val="20"/>
        </w:rPr>
        <w:t xml:space="preserve">e dará em </w:t>
      </w:r>
      <w:proofErr w:type="gramStart"/>
      <w:r w:rsidR="009F03DC" w:rsidRPr="009F03DC">
        <w:rPr>
          <w:rFonts w:cs="Arial"/>
          <w:color w:val="000000"/>
          <w:szCs w:val="20"/>
        </w:rPr>
        <w:t>2</w:t>
      </w:r>
      <w:proofErr w:type="gramEnd"/>
      <w:r w:rsidR="009F03DC" w:rsidRPr="009F03DC">
        <w:rPr>
          <w:rFonts w:cs="Arial"/>
          <w:color w:val="000000"/>
          <w:szCs w:val="20"/>
        </w:rPr>
        <w:t xml:space="preserve"> (dois) itens,</w:t>
      </w:r>
      <w:r w:rsidR="00FF2CDF">
        <w:rPr>
          <w:rFonts w:cs="Arial"/>
          <w:color w:val="000000"/>
          <w:szCs w:val="20"/>
        </w:rPr>
        <w:t xml:space="preserve"> </w:t>
      </w:r>
      <w:r w:rsidR="00FF2CDF">
        <w:rPr>
          <w:szCs w:val="20"/>
        </w:rPr>
        <w:t>podendo as licitantes participantes oferecer proposta apenas para um dos itens ou para os dois itens, se assim desejarem.</w:t>
      </w:r>
    </w:p>
    <w:p w14:paraId="19F2213C" w14:textId="010FF8E0" w:rsidR="00007609" w:rsidRDefault="00D712EA">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sidR="00B16028">
        <w:rPr>
          <w:rFonts w:eastAsia="SimSun" w:cs="Arial"/>
          <w:szCs w:val="20"/>
        </w:rPr>
        <w:t xml:space="preserve">menor preço </w:t>
      </w:r>
      <w:r w:rsidR="0091250D">
        <w:rPr>
          <w:rFonts w:eastAsia="SimSun" w:cs="Arial"/>
          <w:szCs w:val="20"/>
        </w:rPr>
        <w:t>total do item</w:t>
      </w:r>
      <w:r>
        <w:rPr>
          <w:rFonts w:eastAsia="SimSun" w:cs="Arial"/>
          <w:szCs w:val="20"/>
        </w:rPr>
        <w:t>, observadas as exigências contidas neste Edital e seus Anexos quanto às especificações do objeto.</w:t>
      </w:r>
    </w:p>
    <w:p w14:paraId="78F1B71C" w14:textId="5A8C6A68"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83EF7">
        <w:rPr>
          <w:rFonts w:cs="Arial"/>
          <w:b/>
          <w:color w:val="000000"/>
          <w:szCs w:val="20"/>
        </w:rPr>
        <w:t xml:space="preserve"> REGISTRO DE PREÇOS</w:t>
      </w:r>
    </w:p>
    <w:p w14:paraId="5586871A" w14:textId="188D0AFB" w:rsidR="002131E6" w:rsidRPr="00283EF7" w:rsidRDefault="00283EF7" w:rsidP="002131E6">
      <w:pPr>
        <w:pStyle w:val="PADRO"/>
        <w:keepNext w:val="0"/>
        <w:widowControl/>
        <w:numPr>
          <w:ilvl w:val="1"/>
          <w:numId w:val="9"/>
        </w:numPr>
        <w:shd w:val="clear" w:color="auto" w:fill="auto"/>
        <w:spacing w:before="120" w:after="120"/>
        <w:ind w:left="425"/>
        <w:rPr>
          <w:rFonts w:ascii="Arial" w:eastAsia="SimSun" w:hAnsi="Arial" w:cs="Arial"/>
          <w:szCs w:val="20"/>
          <w:lang w:eastAsia="pt-BR" w:bidi="ar-SA"/>
        </w:rPr>
      </w:pPr>
      <w:r w:rsidRPr="00283EF7">
        <w:rPr>
          <w:rFonts w:ascii="Arial" w:eastAsia="SimSun" w:hAnsi="Arial" w:cs="Arial"/>
          <w:szCs w:val="20"/>
          <w:lang w:eastAsia="pt-BR" w:bidi="ar-SA"/>
        </w:rPr>
        <w:t xml:space="preserve">As regras referentes aos órgãos </w:t>
      </w:r>
      <w:proofErr w:type="gramStart"/>
      <w:r w:rsidRPr="00283EF7">
        <w:rPr>
          <w:rFonts w:ascii="Arial" w:eastAsia="SimSun" w:hAnsi="Arial" w:cs="Arial"/>
          <w:szCs w:val="20"/>
          <w:lang w:eastAsia="pt-BR" w:bidi="ar-SA"/>
        </w:rPr>
        <w:t>gerenciador e participantes</w:t>
      </w:r>
      <w:proofErr w:type="gramEnd"/>
      <w:r w:rsidRPr="00283EF7">
        <w:rPr>
          <w:rFonts w:ascii="Arial" w:eastAsia="SimSun" w:hAnsi="Arial" w:cs="Arial"/>
          <w:szCs w:val="20"/>
          <w:lang w:eastAsia="pt-BR" w:bidi="ar-SA"/>
        </w:rPr>
        <w:t xml:space="preserve">, bem como a eventuais adesões são as que constam da minuta de Ata de Registro de Preços </w:t>
      </w: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xml:space="preserve">, por meio de certificado digital conferido pela Infraestrutura de Chaves </w:t>
      </w:r>
      <w:proofErr w:type="gramStart"/>
      <w:r>
        <w:rPr>
          <w:color w:val="000000"/>
        </w:rPr>
        <w:t>Públicas Brasileira</w:t>
      </w:r>
      <w:proofErr w:type="gramEnd"/>
      <w:r>
        <w:rPr>
          <w:color w:val="000000"/>
        </w:rPr>
        <w:t xml:space="preserve">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 xml:space="preserve">O licitante responsabiliza-se exclusiva e formalmente pelas transações efetuadas em seu nome, assume como firmes e verdadeiras suas propostas e seus lances, inclusive os atos </w:t>
      </w:r>
      <w:proofErr w:type="gramStart"/>
      <w:r>
        <w:rPr>
          <w:color w:val="000000"/>
        </w:rPr>
        <w:t>praticados diretamente ou por seu representante, excluída</w:t>
      </w:r>
      <w:proofErr w:type="gramEnd"/>
      <w:r>
        <w:rPr>
          <w:color w:val="000000"/>
        </w:rPr>
        <w:t xml:space="preserve">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 xml:space="preserve">É de responsabilidade </w:t>
      </w:r>
      <w:proofErr w:type="gramStart"/>
      <w:r>
        <w:rPr>
          <w:color w:val="000000"/>
        </w:rPr>
        <w:t>do cadastrado conferir</w:t>
      </w:r>
      <w:proofErr w:type="gramEnd"/>
      <w:r>
        <w:rPr>
          <w:color w:val="00000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proibidos</w:t>
      </w:r>
      <w:proofErr w:type="gramEnd"/>
      <w:r>
        <w:rPr>
          <w:rFonts w:cs="Arial"/>
          <w:color w:val="000000"/>
          <w:szCs w:val="20"/>
        </w:rPr>
        <w:t xml:space="preserve">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estrangeiros</w:t>
      </w:r>
      <w:proofErr w:type="gramEnd"/>
      <w:r>
        <w:rPr>
          <w:rFonts w:cs="Arial"/>
          <w:color w:val="000000"/>
          <w:szCs w:val="20"/>
        </w:rPr>
        <w:t xml:space="preserve">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proofErr w:type="gramStart"/>
      <w:r>
        <w:rPr>
          <w:rFonts w:cs="Arial"/>
          <w:color w:val="000000"/>
          <w:szCs w:val="20"/>
        </w:rPr>
        <w:t>que</w:t>
      </w:r>
      <w:proofErr w:type="gramEnd"/>
      <w:r>
        <w:rPr>
          <w:rFonts w:cs="Arial"/>
          <w:color w:val="000000"/>
          <w:szCs w:val="20"/>
        </w:rPr>
        <w:t xml:space="preserv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proofErr w:type="gramStart"/>
      <w:r>
        <w:rPr>
          <w:rFonts w:cs="Arial"/>
          <w:color w:val="000000"/>
          <w:szCs w:val="20"/>
        </w:rPr>
        <w:t>entidades</w:t>
      </w:r>
      <w:proofErr w:type="gramEnd"/>
      <w:r>
        <w:rPr>
          <w:rFonts w:cs="Arial"/>
          <w:color w:val="000000"/>
          <w:szCs w:val="20"/>
        </w:rPr>
        <w:t xml:space="preserve">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proofErr w:type="gramStart"/>
      <w:r>
        <w:rPr>
          <w:rFonts w:cs="Arial"/>
          <w:color w:val="000000"/>
          <w:szCs w:val="20"/>
        </w:rPr>
        <w:lastRenderedPageBreak/>
        <w:t>organizações</w:t>
      </w:r>
      <w:proofErr w:type="gramEnd"/>
      <w:r>
        <w:rPr>
          <w:rFonts w:cs="Arial"/>
          <w:color w:val="000000"/>
          <w:szCs w:val="20"/>
        </w:rPr>
        <w:t xml:space="preserve">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proofErr w:type="gramStart"/>
      <w:r>
        <w:rPr>
          <w:i/>
        </w:rPr>
        <w:t>instituições</w:t>
      </w:r>
      <w:proofErr w:type="gramEnd"/>
      <w:r>
        <w:rPr>
          <w:i/>
        </w:rPr>
        <w:t xml:space="preserve">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2" w:name="_heading=h.30j0zll" w:colFirst="0" w:colLast="0"/>
      <w:bookmarkEnd w:id="2"/>
      <w:proofErr w:type="gramStart"/>
      <w:r>
        <w:rPr>
          <w:i/>
        </w:rPr>
        <w:t>sociedades</w:t>
      </w:r>
      <w:proofErr w:type="gramEnd"/>
      <w:r>
        <w:rPr>
          <w:i/>
        </w:rPr>
        <w:t xml:space="preserve">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detentor</w:t>
      </w:r>
      <w:proofErr w:type="gramEnd"/>
      <w:r>
        <w:rPr>
          <w:rFonts w:cs="Arial"/>
          <w:color w:val="000000"/>
          <w:szCs w:val="20"/>
          <w:highlight w:val="white"/>
        </w:rPr>
        <w:t xml:space="preserve">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w:t>
      </w:r>
      <w:proofErr w:type="gramEnd"/>
      <w:r>
        <w:rPr>
          <w:rFonts w:cs="Arial"/>
          <w:color w:val="000000"/>
          <w:szCs w:val="20"/>
          <w:highlight w:val="white"/>
        </w:rPr>
        <w:t xml:space="preserv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os serviços são prestados por empresas que comprovem cumprimento de reserva de cargos prevista em lei para pessoa com deficiência ou para reabilitado da </w:t>
      </w:r>
      <w:r>
        <w:rPr>
          <w:rFonts w:cs="Arial"/>
          <w:color w:val="000000"/>
          <w:szCs w:val="20"/>
        </w:rPr>
        <w:lastRenderedPageBreak/>
        <w:t>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w:t>
      </w:r>
      <w:proofErr w:type="gramStart"/>
      <w:r>
        <w:rPr>
          <w:color w:val="000000"/>
        </w:rPr>
        <w:t>documentação</w:t>
      </w:r>
      <w:proofErr w:type="gramEnd"/>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 xml:space="preserve">a proposta e os documentos de habilitação anteriormente inseridos no </w:t>
      </w:r>
      <w:proofErr w:type="gramStart"/>
      <w:r>
        <w:rPr>
          <w:color w:val="000000"/>
        </w:rPr>
        <w:t>sistema</w:t>
      </w:r>
      <w:proofErr w:type="gramEnd"/>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550C12F0" w:rsidR="00007609" w:rsidRDefault="000F54A8">
      <w:pPr>
        <w:numPr>
          <w:ilvl w:val="2"/>
          <w:numId w:val="9"/>
        </w:numPr>
        <w:spacing w:before="120" w:after="120" w:line="276" w:lineRule="auto"/>
        <w:ind w:left="1712"/>
        <w:jc w:val="both"/>
        <w:rPr>
          <w:rFonts w:cs="Arial"/>
          <w:color w:val="000000"/>
          <w:szCs w:val="20"/>
        </w:rPr>
      </w:pPr>
      <w:r>
        <w:rPr>
          <w:iCs/>
        </w:rPr>
        <w:t xml:space="preserve"> V</w:t>
      </w:r>
      <w:r w:rsidR="00CA36E5">
        <w:rPr>
          <w:iCs/>
        </w:rPr>
        <w:t xml:space="preserve">alor unitário </w:t>
      </w:r>
      <w:r w:rsidR="000C3D8E">
        <w:rPr>
          <w:iCs/>
        </w:rPr>
        <w:t xml:space="preserve">e total </w:t>
      </w:r>
      <w:r w:rsidR="00CA36E5">
        <w:rPr>
          <w:iCs/>
        </w:rPr>
        <w:t>do ite</w:t>
      </w:r>
      <w:r w:rsidR="000C3D8E">
        <w:rPr>
          <w:iCs/>
        </w:rPr>
        <w:t>m</w:t>
      </w:r>
      <w:r w:rsidR="00D712EA">
        <w:rPr>
          <w:iCs/>
        </w:rPr>
        <w:t>;</w:t>
      </w:r>
      <w:r w:rsidR="00D712EA">
        <w:rPr>
          <w:i/>
        </w:rPr>
        <w:t xml:space="preserve"> </w:t>
      </w:r>
    </w:p>
    <w:p w14:paraId="6E7677B4" w14:textId="77777777" w:rsidR="00007609" w:rsidRDefault="00D712EA">
      <w:pPr>
        <w:numPr>
          <w:ilvl w:val="2"/>
          <w:numId w:val="9"/>
        </w:numPr>
        <w:spacing w:before="120" w:after="120" w:line="276" w:lineRule="auto"/>
        <w:ind w:left="1922"/>
        <w:jc w:val="both"/>
      </w:pPr>
      <w:r>
        <w:t xml:space="preserve">Descrição do objeto, contendo as informações similares à especificação do Termo de </w:t>
      </w:r>
      <w:proofErr w:type="gramStart"/>
      <w:r>
        <w:t>Referência</w:t>
      </w:r>
      <w:proofErr w:type="gramEnd"/>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proofErr w:type="gramStart"/>
      <w:r>
        <w:t>cotação</w:t>
      </w:r>
      <w:proofErr w:type="gramEnd"/>
      <w:r>
        <w:t xml:space="preserve">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proofErr w:type="gramStart"/>
      <w:r>
        <w:t>cotação</w:t>
      </w:r>
      <w:proofErr w:type="gramEnd"/>
      <w:r>
        <w:t xml:space="preserve">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t>adequadas à perfeita execução contratual, promovendo, quando requerido, sua substituição</w:t>
      </w:r>
      <w:proofErr w:type="gramEnd"/>
      <w:r>
        <w:t>.</w:t>
      </w:r>
    </w:p>
    <w:p w14:paraId="321424AD" w14:textId="77777777" w:rsidR="00007609" w:rsidRDefault="00D712EA">
      <w:pPr>
        <w:numPr>
          <w:ilvl w:val="1"/>
          <w:numId w:val="9"/>
        </w:numPr>
        <w:spacing w:before="120" w:after="120" w:line="276" w:lineRule="auto"/>
        <w:ind w:left="496" w:firstLine="0"/>
        <w:jc w:val="both"/>
      </w:pPr>
      <w:r>
        <w:t xml:space="preserve">Os preços ofertados, tanto na proposta inicial, quanto na etapa de lances, serão de exclusiva responsabilidade do licitante, não lhe assistindo o direito de pleitear qualquer alteração, </w:t>
      </w:r>
      <w:proofErr w:type="gramStart"/>
      <w:r>
        <w:t>sob alegação</w:t>
      </w:r>
      <w:proofErr w:type="gramEnd"/>
      <w:r>
        <w:t xml:space="preserve">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w:t>
      </w:r>
      <w:proofErr w:type="gramStart"/>
      <w:r>
        <w:rPr>
          <w:color w:val="000000"/>
        </w:rPr>
        <w:t>contrato</w:t>
      </w:r>
      <w:proofErr w:type="gramEnd"/>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 xml:space="preserve">DA ABERTURA DA SESSÃO, CLASSIFICAÇÃO DAS PROPOSTAS E FORMULAÇÃO DE </w:t>
      </w:r>
      <w:proofErr w:type="gramStart"/>
      <w:r>
        <w:rPr>
          <w:rFonts w:cs="Arial"/>
          <w:b/>
          <w:color w:val="000000"/>
          <w:szCs w:val="20"/>
        </w:rPr>
        <w:t>LANCES</w:t>
      </w:r>
      <w:proofErr w:type="gramEnd"/>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 xml:space="preserve">A abertura </w:t>
      </w:r>
      <w:proofErr w:type="gramStart"/>
      <w:r>
        <w:rPr>
          <w:rFonts w:cs="Arial"/>
          <w:color w:val="000000"/>
          <w:szCs w:val="20"/>
        </w:rPr>
        <w:t>da presente</w:t>
      </w:r>
      <w:proofErr w:type="gramEnd"/>
      <w:r>
        <w:rPr>
          <w:rFonts w:cs="Arial"/>
          <w:color w:val="000000"/>
          <w:szCs w:val="20"/>
        </w:rPr>
        <w:t xml:space="preserv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0E0C3112" w:rsidR="00007609" w:rsidRDefault="00D712EA">
      <w:pPr>
        <w:numPr>
          <w:ilvl w:val="2"/>
          <w:numId w:val="9"/>
        </w:numPr>
        <w:tabs>
          <w:tab w:val="left" w:pos="1440"/>
        </w:tabs>
        <w:spacing w:before="120" w:after="120" w:line="276" w:lineRule="auto"/>
        <w:ind w:left="1922"/>
        <w:jc w:val="both"/>
        <w:rPr>
          <w:b/>
          <w:bCs/>
          <w:i/>
          <w:color w:val="FF0000"/>
        </w:rPr>
      </w:pPr>
      <w:r>
        <w:rPr>
          <w:b/>
          <w:bCs/>
          <w:iCs/>
        </w:rPr>
        <w:t xml:space="preserve">O lance deverá ser ofertado pelo valor </w:t>
      </w:r>
      <w:r w:rsidR="007C1079">
        <w:rPr>
          <w:b/>
          <w:bCs/>
          <w:iCs/>
        </w:rPr>
        <w:t>UNITÁRIO</w:t>
      </w:r>
      <w:r>
        <w:rPr>
          <w:b/>
          <w:bCs/>
          <w:iCs/>
        </w:rPr>
        <w:t xml:space="preserve">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11D90528"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Pr="00237BD0" w:rsidRDefault="00D712EA">
      <w:pPr>
        <w:numPr>
          <w:ilvl w:val="1"/>
          <w:numId w:val="9"/>
        </w:numPr>
        <w:spacing w:before="120" w:after="120" w:line="276" w:lineRule="auto"/>
        <w:ind w:left="426"/>
        <w:jc w:val="both"/>
      </w:pPr>
      <w:r w:rsidRPr="00237BD0">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 xml:space="preserve">Poderá o pregoeiro, auxiliado pela equipe de apoio, justificadamente, admitir o reinício da etapa fechada, caso nenhum licitante classificado na etapa de lance fechado atender às exigências de </w:t>
      </w:r>
      <w:proofErr w:type="gramStart"/>
      <w:r>
        <w:t>habilitação</w:t>
      </w:r>
      <w:proofErr w:type="gramEnd"/>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w:t>
      </w:r>
      <w:proofErr w:type="gramStart"/>
      <w:r>
        <w:rPr>
          <w:color w:val="000000"/>
        </w:rPr>
        <w:t>após</w:t>
      </w:r>
      <w:proofErr w:type="gramEnd"/>
      <w:r>
        <w:rPr>
          <w:color w:val="000000"/>
        </w:rPr>
        <w:t xml:space="preserve">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w:t>
      </w:r>
      <w:proofErr w:type="gramStart"/>
      <w:r>
        <w:t>as</w:t>
      </w:r>
      <w:proofErr w:type="gramEnd"/>
      <w:r>
        <w:t xml:space="preserve">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w:t>
      </w:r>
      <w:proofErr w:type="gramStart"/>
      <w:r>
        <w:rPr>
          <w:color w:val="000000"/>
        </w:rPr>
        <w:t xml:space="preserve"> ou melhor</w:t>
      </w:r>
      <w:proofErr w:type="gramEnd"/>
      <w:r>
        <w:rPr>
          <w:color w:val="000000"/>
        </w:rPr>
        <w:t xml:space="preserve">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 xml:space="preserve">A melhor classificada nos termos do item anterior terá o direito de encaminhar uma última oferta para desempate, obrigatoriamente em valor inferior ao da primeira colocada, no prazo de </w:t>
      </w:r>
      <w:proofErr w:type="gramStart"/>
      <w:r>
        <w:rPr>
          <w:color w:val="000000"/>
        </w:rPr>
        <w:t>5</w:t>
      </w:r>
      <w:proofErr w:type="gramEnd"/>
      <w:r>
        <w:rPr>
          <w:color w:val="000000"/>
        </w:rPr>
        <w:t xml:space="preserve">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w:t>
      </w:r>
      <w:proofErr w:type="gramStart"/>
      <w:r>
        <w:rPr>
          <w:rFonts w:cs="Arial"/>
          <w:color w:val="000000"/>
          <w:szCs w:val="20"/>
        </w:rPr>
        <w:t>Pregoeiro por solicitação escrita e justificada do licitante, formulada antes de findo o prazo, e formalmente aceita pelo Pregoeiro</w:t>
      </w:r>
      <w:proofErr w:type="gramEnd"/>
      <w:r>
        <w:rPr>
          <w:rFonts w:cs="Arial"/>
          <w:color w:val="000000"/>
          <w:szCs w:val="20"/>
        </w:rPr>
        <w:t xml:space="preserve">. </w:t>
      </w:r>
      <w:r w:rsidRPr="00ED561D">
        <w:rPr>
          <w:rFonts w:cs="Arial"/>
          <w:color w:val="000000"/>
          <w:szCs w:val="20"/>
        </w:rPr>
        <w:t xml:space="preserve">É facultado ao pregoeiro prorrogar o prazo estabelecido, a partir de solicitação fundamentada feita no chat ou também por meio do e-mail </w:t>
      </w:r>
      <w:hyperlink r:id="rId15"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contenha</w:t>
      </w:r>
      <w:proofErr w:type="gramEnd"/>
      <w:r>
        <w:rPr>
          <w:color w:val="000000"/>
        </w:rPr>
        <w:t xml:space="preserve">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proofErr w:type="gramStart"/>
      <w:r>
        <w:t>for</w:t>
      </w:r>
      <w:proofErr w:type="gramEnd"/>
      <w: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proofErr w:type="gramStart"/>
      <w:r>
        <w:lastRenderedPageBreak/>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 xml:space="preserve">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w:t>
      </w:r>
      <w:proofErr w:type="gramStart"/>
      <w:r>
        <w:rPr>
          <w:color w:val="000000"/>
        </w:rPr>
        <w:t>ata</w:t>
      </w:r>
      <w:proofErr w:type="gramEnd"/>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duas horas ou conforme exposto pelo Pregoeiro no “chat”, </w:t>
      </w:r>
      <w:proofErr w:type="gramStart"/>
      <w:r>
        <w:rPr>
          <w:rFonts w:cs="Arial"/>
          <w:color w:val="000000"/>
          <w:szCs w:val="20"/>
        </w:rPr>
        <w:t>sob pena</w:t>
      </w:r>
      <w:proofErr w:type="gramEnd"/>
      <w:r>
        <w:rPr>
          <w:rFonts w:cs="Arial"/>
          <w:color w:val="000000"/>
          <w:szCs w:val="20"/>
        </w:rPr>
        <w:t xml:space="preserve">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 xml:space="preserve">É facultado ao pregoeiro prorrogar o prazo estabelecido, a partir de solicitação fundamentada feita no chat pelo licitante, antes de findo o </w:t>
      </w:r>
      <w:proofErr w:type="gramStart"/>
      <w:r>
        <w:rPr>
          <w:rFonts w:cs="Arial"/>
          <w:color w:val="000000"/>
          <w:szCs w:val="20"/>
        </w:rPr>
        <w:t>prazo</w:t>
      </w:r>
      <w:proofErr w:type="gramEnd"/>
    </w:p>
    <w:p w14:paraId="604D2B11" w14:textId="77777777" w:rsidR="00007609" w:rsidRDefault="00D712EA">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Encerrada a análise quanto à aceitação da proposta, o pregoeiro verificará a habilitação do licitante, observado o disposto neste </w:t>
      </w:r>
      <w:proofErr w:type="gramStart"/>
      <w:r>
        <w:rPr>
          <w:rFonts w:cs="Arial"/>
          <w:color w:val="000000"/>
          <w:szCs w:val="20"/>
        </w:rPr>
        <w:t>Edital</w:t>
      </w:r>
      <w:proofErr w:type="gramEnd"/>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Pr>
          <w:rFonts w:cs="Arial"/>
          <w:color w:val="000000"/>
          <w:szCs w:val="20"/>
        </w:rPr>
        <w:t xml:space="preserve">  </w:t>
      </w:r>
    </w:p>
    <w:p w14:paraId="7AE8FAE4" w14:textId="77777777" w:rsidR="00007609" w:rsidRDefault="00D712EA">
      <w:pPr>
        <w:spacing w:before="120" w:line="276" w:lineRule="auto"/>
        <w:ind w:left="1134"/>
        <w:jc w:val="both"/>
        <w:rPr>
          <w:rFonts w:cs="Arial"/>
          <w:color w:val="000000"/>
          <w:szCs w:val="20"/>
        </w:rPr>
      </w:pPr>
      <w:proofErr w:type="gramEnd"/>
      <w:r>
        <w:rPr>
          <w:rFonts w:cs="Arial"/>
          <w:color w:val="000000"/>
          <w:szCs w:val="20"/>
        </w:rPr>
        <w:t>a) SICAF;</w:t>
      </w:r>
      <w:proofErr w:type="gramStart"/>
      <w:r>
        <w:rPr>
          <w:rFonts w:cs="Arial"/>
          <w:color w:val="000000"/>
          <w:szCs w:val="20"/>
        </w:rPr>
        <w:t xml:space="preserve">  </w:t>
      </w:r>
    </w:p>
    <w:p w14:paraId="56EDF011" w14:textId="77777777" w:rsidR="00007609" w:rsidRDefault="00D712EA">
      <w:pPr>
        <w:spacing w:line="276" w:lineRule="auto"/>
        <w:ind w:left="1134"/>
        <w:jc w:val="both"/>
        <w:rPr>
          <w:b/>
          <w:color w:val="0000FF"/>
          <w:szCs w:val="20"/>
        </w:rPr>
      </w:pPr>
      <w:proofErr w:type="gramEnd"/>
      <w:r>
        <w:rPr>
          <w:rFonts w:cs="Arial"/>
          <w:color w:val="000000"/>
          <w:szCs w:val="20"/>
        </w:rPr>
        <w:t xml:space="preserve">b) Cadastro Nacional de Empresas Inidôneas e Suspensas - CEIS, mantido pela Controladoria-Geral da União </w:t>
      </w:r>
      <w:r>
        <w:rPr>
          <w:b/>
          <w:color w:val="0000FF"/>
          <w:szCs w:val="20"/>
        </w:rPr>
        <w:t>(</w:t>
      </w:r>
      <w:hyperlink r:id="rId16">
        <w:r>
          <w:rPr>
            <w:b/>
            <w:color w:val="0000FF"/>
            <w:szCs w:val="20"/>
            <w:u w:val="single"/>
          </w:rPr>
          <w:t>www.portaldatransparencia.gov.br/ceis</w:t>
        </w:r>
      </w:hyperlink>
      <w:r>
        <w:rPr>
          <w:b/>
          <w:color w:val="0000FF"/>
          <w:szCs w:val="20"/>
        </w:rPr>
        <w:t>);</w:t>
      </w:r>
      <w:proofErr w:type="gramStart"/>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proofErr w:type="gramEnd"/>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 xml:space="preserve">Para a consulta de </w:t>
      </w:r>
      <w:proofErr w:type="gramStart"/>
      <w:r>
        <w:rPr>
          <w:rFonts w:cs="Arial"/>
          <w:color w:val="000000"/>
          <w:szCs w:val="20"/>
        </w:rPr>
        <w:t>licitantes pessoa</w:t>
      </w:r>
      <w:proofErr w:type="gramEnd"/>
      <w:r>
        <w:rPr>
          <w:rFonts w:cs="Arial"/>
          <w:color w:val="000000"/>
          <w:szCs w:val="20"/>
        </w:rPr>
        <w:t xml:space="preserve">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 xml:space="preserve">É dever </w:t>
      </w:r>
      <w:proofErr w:type="gramStart"/>
      <w:r>
        <w:rPr>
          <w:color w:val="000000"/>
        </w:rPr>
        <w:t>do licitante atualizar</w:t>
      </w:r>
      <w:proofErr w:type="gramEnd"/>
      <w:r>
        <w:rPr>
          <w:color w:val="000000"/>
        </w:rPr>
        <w:t xml:space="preserve">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a(s) </w:t>
      </w:r>
      <w:proofErr w:type="gramStart"/>
      <w:r>
        <w:rPr>
          <w:color w:val="000000"/>
        </w:rPr>
        <w:t>certidão(</w:t>
      </w:r>
      <w:proofErr w:type="spellStart"/>
      <w:proofErr w:type="gramEnd"/>
      <w:r>
        <w:rPr>
          <w:color w:val="000000"/>
        </w:rPr>
        <w:t>ões</w:t>
      </w:r>
      <w:proofErr w:type="spellEnd"/>
      <w:r>
        <w:rPr>
          <w:color w:val="000000"/>
        </w:rPr>
        <w:t>)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 xml:space="preserve">no prazo de duas horas ou conforme exposto pelo Pregoeiro no “chat”, </w:t>
      </w:r>
      <w:proofErr w:type="gramStart"/>
      <w:r>
        <w:rPr>
          <w:rFonts w:cs="Arial"/>
          <w:color w:val="000000"/>
          <w:szCs w:val="20"/>
        </w:rPr>
        <w:t>sob pena</w:t>
      </w:r>
      <w:proofErr w:type="gramEnd"/>
      <w:r>
        <w:rPr>
          <w:rFonts w:cs="Arial"/>
          <w:color w:val="000000"/>
          <w:szCs w:val="20"/>
        </w:rPr>
        <w:t xml:space="preserve"> de inabilitação.</w:t>
      </w:r>
    </w:p>
    <w:p w14:paraId="1C78A35D" w14:textId="77777777" w:rsidR="00007609" w:rsidRDefault="00D712EA">
      <w:pPr>
        <w:numPr>
          <w:ilvl w:val="1"/>
          <w:numId w:val="12"/>
        </w:numPr>
        <w:spacing w:before="120" w:after="120" w:line="276" w:lineRule="auto"/>
        <w:jc w:val="both"/>
      </w:pPr>
      <w:r>
        <w:t xml:space="preserve">Somente haverá a necessidade de comprovação do preenchimento de requisitos mediante apresentação dos documentos originais </w:t>
      </w:r>
      <w:proofErr w:type="gramStart"/>
      <w:r>
        <w:t>não-digitais</w:t>
      </w:r>
      <w:proofErr w:type="gramEnd"/>
      <w:r>
        <w:t xml:space="preserve">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 xml:space="preserve">Ressalvado o disposto no item 5.3, os licitantes deverão encaminhar, nos termos deste Edital, a documentação relacionada nos itens a seguir, para fins de </w:t>
      </w:r>
      <w:proofErr w:type="gramStart"/>
      <w:r>
        <w:rPr>
          <w:color w:val="000000"/>
        </w:rPr>
        <w:t>habilitação</w:t>
      </w:r>
      <w:proofErr w:type="gramEnd"/>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proofErr w:type="gramStart"/>
      <w:r>
        <w:lastRenderedPageBreak/>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proofErr w:type="gramStart"/>
      <w:r>
        <w:rPr>
          <w:color w:val="000000"/>
        </w:rPr>
        <w:t>certidão</w:t>
      </w:r>
      <w:proofErr w:type="gramEnd"/>
      <w:r>
        <w:rPr>
          <w:color w:val="000000"/>
        </w:rPr>
        <w:t xml:space="preserve">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proofErr w:type="gramStart"/>
      <w:r>
        <w:rPr>
          <w:color w:val="000000"/>
        </w:rPr>
        <w:t>no</w:t>
      </w:r>
      <w:proofErr w:type="gramEnd"/>
      <w:r>
        <w:rPr>
          <w:color w:val="000000"/>
        </w:rPr>
        <w:t xml:space="preserve">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proofErr w:type="gramStart"/>
      <w:r>
        <w:t>é</w:t>
      </w:r>
      <w:proofErr w:type="gramEnd"/>
      <w:r>
        <w:t xml:space="preserve">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 xml:space="preserve">Ativo Circulante + Realizável </w:t>
            </w:r>
            <w:proofErr w:type="gramStart"/>
            <w:r>
              <w:rPr>
                <w:rFonts w:ascii="Calibri" w:eastAsia="Calibri" w:hAnsi="Calibri"/>
                <w:color w:val="000000"/>
              </w:rPr>
              <w:t>a Longo Prazo</w:t>
            </w:r>
            <w:proofErr w:type="gramEnd"/>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lastRenderedPageBreak/>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w:t>
      </w:r>
      <w:proofErr w:type="gramStart"/>
      <w:r>
        <w:rPr>
          <w:rFonts w:cs="Arial"/>
          <w:color w:val="000000"/>
          <w:szCs w:val="20"/>
        </w:rPr>
        <w:t>1</w:t>
      </w:r>
      <w:proofErr w:type="gramEnd"/>
      <w:r>
        <w:rPr>
          <w:rFonts w:cs="Arial"/>
          <w:color w:val="000000"/>
          <w:szCs w:val="20"/>
        </w:rPr>
        <w:t xml:space="preserve">(um)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5CF5701B" w:rsidR="00007609" w:rsidRPr="00943D7E" w:rsidRDefault="00D712EA">
      <w:pPr>
        <w:numPr>
          <w:ilvl w:val="2"/>
          <w:numId w:val="12"/>
        </w:numPr>
        <w:spacing w:before="120" w:after="120" w:line="276" w:lineRule="auto"/>
        <w:jc w:val="both"/>
        <w:rPr>
          <w:rFonts w:cs="Arial"/>
          <w:b/>
          <w:bCs/>
          <w:color w:val="000000"/>
          <w:szCs w:val="20"/>
        </w:rPr>
      </w:pPr>
      <w:bookmarkStart w:id="5" w:name="_heading=h.3dy6vkm" w:colFirst="0" w:colLast="0"/>
      <w:bookmarkEnd w:id="5"/>
      <w:r w:rsidRPr="00943D7E">
        <w:rPr>
          <w:rFonts w:cs="Arial"/>
          <w:b/>
          <w:bCs/>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4EDAAAC7" w14:textId="4F87477C" w:rsidR="00F33023" w:rsidRPr="00F33023" w:rsidRDefault="006F39F2" w:rsidP="00F33023">
      <w:pPr>
        <w:numPr>
          <w:ilvl w:val="3"/>
          <w:numId w:val="12"/>
        </w:numPr>
        <w:spacing w:before="120" w:after="120" w:line="276" w:lineRule="auto"/>
        <w:ind w:hanging="720"/>
        <w:jc w:val="both"/>
        <w:rPr>
          <w:color w:val="000000"/>
          <w:u w:val="single"/>
        </w:rPr>
      </w:pPr>
      <w:r w:rsidRPr="006F39F2">
        <w:rPr>
          <w:color w:val="000000"/>
          <w:u w:val="single"/>
        </w:rPr>
        <w:t xml:space="preserve">Para os itens </w:t>
      </w:r>
      <w:proofErr w:type="gramStart"/>
      <w:r w:rsidRPr="006F39F2">
        <w:rPr>
          <w:color w:val="000000"/>
          <w:u w:val="single"/>
        </w:rPr>
        <w:t>1</w:t>
      </w:r>
      <w:proofErr w:type="gramEnd"/>
      <w:r w:rsidRPr="006F39F2">
        <w:rPr>
          <w:color w:val="000000"/>
          <w:u w:val="single"/>
        </w:rPr>
        <w:t xml:space="preserve"> e 2, o atestado de que trata o item anterior deverá comprovar a capacidade de fornecimento/execução de, no mínimo, 10% (dez por cento) do número de caçambas a serem contratadas, independente da capacidade, ou seja, pelo menos 60 (sessenta) caçambas.</w:t>
      </w:r>
      <w:r>
        <w:rPr>
          <w:rFonts w:ascii="Calibri" w:hAnsi="Calibri" w:cs="Calibri"/>
          <w:color w:val="000000"/>
        </w:rPr>
        <w:t xml:space="preserve"> </w:t>
      </w:r>
    </w:p>
    <w:p w14:paraId="1405F5BA" w14:textId="3916A09A" w:rsidR="00007609" w:rsidRDefault="00D712EA">
      <w:pPr>
        <w:numPr>
          <w:ilvl w:val="3"/>
          <w:numId w:val="12"/>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341C05B1" w14:textId="32BC3C3F" w:rsidR="00943D7E" w:rsidRPr="00943D7E" w:rsidRDefault="00943D7E">
      <w:pPr>
        <w:numPr>
          <w:ilvl w:val="3"/>
          <w:numId w:val="12"/>
        </w:numPr>
        <w:spacing w:before="120" w:after="120" w:line="276" w:lineRule="auto"/>
        <w:ind w:hanging="720"/>
        <w:jc w:val="both"/>
        <w:rPr>
          <w:color w:val="000000"/>
        </w:rPr>
      </w:pPr>
      <w:r w:rsidRPr="00943D7E">
        <w:rPr>
          <w:color w:val="000000"/>
        </w:rPr>
        <w:t>Somente serão aceitos atestados expedidos após a conclusão do contrato ou se decorrido, pelo menos, um ano do início de sua execução, exceto se firmado para ser executado em prazo inferior, conforme item 10.8 do Anexo VII-A da IN SEGES/MP n. 5, de 2017.</w:t>
      </w:r>
    </w:p>
    <w:p w14:paraId="19AB7573" w14:textId="50C82C99"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2A63D1CF" w14:textId="775A8172" w:rsidR="00943D7E" w:rsidRDefault="00943D7E" w:rsidP="00943D7E">
      <w:pPr>
        <w:numPr>
          <w:ilvl w:val="2"/>
          <w:numId w:val="12"/>
        </w:numPr>
        <w:spacing w:before="120" w:after="120" w:line="276" w:lineRule="auto"/>
        <w:jc w:val="both"/>
        <w:rPr>
          <w:b/>
          <w:bCs/>
        </w:rPr>
      </w:pPr>
      <w:r w:rsidRPr="00943D7E">
        <w:rPr>
          <w:b/>
          <w:bCs/>
        </w:rPr>
        <w:t>Apresentar credenciamento junto ao Instituto Estadual do Ambiente – INE</w:t>
      </w:r>
    </w:p>
    <w:p w14:paraId="6624E2F4" w14:textId="4CB7DE5D" w:rsidR="00943D7E" w:rsidRDefault="00943D7E" w:rsidP="00943D7E">
      <w:pPr>
        <w:numPr>
          <w:ilvl w:val="3"/>
          <w:numId w:val="12"/>
        </w:numPr>
        <w:spacing w:before="120" w:after="120" w:line="276" w:lineRule="auto"/>
        <w:ind w:hanging="720"/>
        <w:jc w:val="both"/>
        <w:rPr>
          <w:color w:val="000000"/>
        </w:rPr>
      </w:pPr>
      <w:r>
        <w:rPr>
          <w:rFonts w:ascii="Calibri" w:hAnsi="Calibri" w:cs="Calibri"/>
          <w:color w:val="000000"/>
        </w:rPr>
        <w:t> </w:t>
      </w:r>
      <w:r w:rsidRPr="00943D7E">
        <w:rPr>
          <w:color w:val="000000"/>
        </w:rPr>
        <w:t>Caso o licitante não possua credenciamento no Instituto Estadual do Ambiente (INEA), deverá apresentar declaração de que caso se sagre vencedor do certame, irá providenciar e comprovar a existência de tal credenciamento até a data da convocação para assinatura do Termo de Contrato.</w:t>
      </w:r>
    </w:p>
    <w:p w14:paraId="44DA77B7" w14:textId="55BAAD7A" w:rsidR="00943D7E" w:rsidRDefault="00943D7E" w:rsidP="00943D7E">
      <w:pPr>
        <w:numPr>
          <w:ilvl w:val="2"/>
          <w:numId w:val="12"/>
        </w:numPr>
        <w:spacing w:before="120" w:after="120" w:line="276" w:lineRule="auto"/>
        <w:jc w:val="both"/>
        <w:rPr>
          <w:b/>
          <w:bCs/>
        </w:rPr>
      </w:pPr>
      <w:r w:rsidRPr="00943D7E">
        <w:rPr>
          <w:b/>
          <w:bCs/>
        </w:rPr>
        <w:t>Apresentar prova de cadastro da empresa junto à CLIN para execução dos serviços de coleta e transporte dos resíduos especificados no objeto, com base no disposto na Legislação Municipal.</w:t>
      </w:r>
    </w:p>
    <w:p w14:paraId="759E0E57" w14:textId="33D0D0D0" w:rsidR="00943D7E" w:rsidRPr="00764517" w:rsidRDefault="00764517" w:rsidP="00764517">
      <w:pPr>
        <w:numPr>
          <w:ilvl w:val="3"/>
          <w:numId w:val="12"/>
        </w:numPr>
        <w:spacing w:before="120" w:after="120" w:line="276" w:lineRule="auto"/>
        <w:ind w:hanging="720"/>
        <w:jc w:val="both"/>
        <w:rPr>
          <w:color w:val="000000"/>
        </w:rPr>
      </w:pPr>
      <w:r w:rsidRPr="00764517">
        <w:rPr>
          <w:color w:val="000000"/>
        </w:rPr>
        <w:t>Caso o licitante não possua cadastro junto à CLIN para execução dos serviços de coleta e transporte dos resíduos especificados no objeto, deverá apresentar declaração de que caso se sagre vencedor do certame, irá providenciar e comprovar a existência de tal cadastro até a data da convocação para assinatura do Termo de Contrato.</w:t>
      </w:r>
    </w:p>
    <w:p w14:paraId="7F340A95" w14:textId="383A9C92" w:rsidR="00FB13EA" w:rsidRPr="00FB13EA" w:rsidRDefault="00FB13EA" w:rsidP="00FB13EA">
      <w:pPr>
        <w:numPr>
          <w:ilvl w:val="2"/>
          <w:numId w:val="12"/>
        </w:numPr>
        <w:spacing w:before="120" w:after="120" w:line="276" w:lineRule="auto"/>
        <w:jc w:val="both"/>
        <w:rPr>
          <w:color w:val="000000"/>
        </w:rPr>
      </w:pPr>
      <w:bookmarkStart w:id="7" w:name="_heading=h.2s8eyo1" w:colFirst="0" w:colLast="0"/>
      <w:bookmarkEnd w:id="7"/>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w:t>
      </w:r>
      <w:proofErr w:type="gramStart"/>
      <w:r>
        <w:rPr>
          <w:iCs/>
        </w:rPr>
        <w:t>Referência</w:t>
      </w:r>
      <w:proofErr w:type="gramEnd"/>
    </w:p>
    <w:p w14:paraId="421C207C" w14:textId="2B3B687E" w:rsidR="00FB13EA" w:rsidRPr="007B07C1" w:rsidRDefault="00FB13EA" w:rsidP="00FB13EA">
      <w:pPr>
        <w:numPr>
          <w:ilvl w:val="3"/>
          <w:numId w:val="12"/>
        </w:numPr>
        <w:spacing w:before="120" w:after="120" w:line="276" w:lineRule="auto"/>
        <w:ind w:hanging="720"/>
        <w:jc w:val="both"/>
        <w:rPr>
          <w:iCs/>
        </w:rPr>
      </w:pPr>
      <w:r w:rsidRPr="007B07C1">
        <w:rPr>
          <w:iCs/>
        </w:rPr>
        <w:lastRenderedPageBreak/>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 xml:space="preserve">constará </w:t>
      </w:r>
      <w:proofErr w:type="gramStart"/>
      <w:r w:rsidRPr="007B07C1">
        <w:rPr>
          <w:b/>
          <w:bCs/>
          <w:iCs/>
        </w:rPr>
        <w:t>na propostas</w:t>
      </w:r>
      <w:proofErr w:type="gramEnd"/>
      <w:r w:rsidRPr="007B07C1">
        <w:rPr>
          <w:iCs/>
        </w:rPr>
        <w:t xml:space="preserve">, conforme </w:t>
      </w:r>
      <w:r w:rsidRPr="00D61C7E">
        <w:rPr>
          <w:iCs/>
        </w:rPr>
        <w:t xml:space="preserve">modelo </w:t>
      </w:r>
      <w:r w:rsidRPr="00764517">
        <w:rPr>
          <w:iCs/>
        </w:rPr>
        <w:t>do Anexo III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Pr>
          <w:rFonts w:cs="Arial"/>
          <w:color w:val="000000"/>
          <w:szCs w:val="20"/>
        </w:rPr>
        <w:t>5</w:t>
      </w:r>
      <w:proofErr w:type="gramEnd"/>
      <w:r>
        <w:rPr>
          <w:rFonts w:cs="Arial"/>
          <w:color w:val="00000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 xml:space="preserve">A </w:t>
      </w:r>
      <w:proofErr w:type="gramStart"/>
      <w:r>
        <w:rPr>
          <w:color w:val="000000"/>
        </w:rPr>
        <w:t>não-regularização</w:t>
      </w:r>
      <w:proofErr w:type="gramEnd"/>
      <w:r>
        <w:rPr>
          <w:color w:val="00000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 xml:space="preserve">o nos cadastros de contribuintes estadual e </w:t>
      </w:r>
      <w:proofErr w:type="gramStart"/>
      <w:r w:rsidR="00B4146C" w:rsidRPr="00DE7014">
        <w:rPr>
          <w:rFonts w:cs="Arial"/>
          <w:bCs/>
          <w:color w:val="000000"/>
          <w:szCs w:val="20"/>
        </w:rPr>
        <w:t>municipal ,</w:t>
      </w:r>
      <w:proofErr w:type="gramEnd"/>
      <w:r w:rsidR="00B4146C" w:rsidRPr="00DE7014">
        <w:rPr>
          <w:rFonts w:cs="Arial"/>
          <w:bCs/>
          <w:color w:val="000000"/>
          <w:szCs w:val="20"/>
        </w:rPr>
        <w:t xml:space="preserve">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w:t>
      </w:r>
      <w:proofErr w:type="gramStart"/>
      <w:r>
        <w:rPr>
          <w:color w:val="000000"/>
        </w:rPr>
        <w:t xml:space="preserve">  </w:t>
      </w:r>
      <w:proofErr w:type="gramEnd"/>
      <w:r>
        <w:rPr>
          <w:color w:val="000000"/>
        </w:rPr>
        <w:t>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 xml:space="preserve">A proposta final do licitante declarado vencedor deverá ser encaminhada no prazo de </w:t>
      </w:r>
      <w:proofErr w:type="gramStart"/>
      <w:r>
        <w:rPr>
          <w:rFonts w:cs="Arial"/>
          <w:iCs/>
          <w:szCs w:val="20"/>
        </w:rPr>
        <w:t>2</w:t>
      </w:r>
      <w:proofErr w:type="gramEnd"/>
      <w:r>
        <w:rPr>
          <w:rFonts w:cs="Arial"/>
          <w:iCs/>
          <w:szCs w:val="20"/>
        </w:rPr>
        <w:t xml:space="preserve">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proofErr w:type="gramStart"/>
      <w:r>
        <w:rPr>
          <w:rFonts w:cs="Arial"/>
          <w:iCs/>
          <w:szCs w:val="20"/>
        </w:rPr>
        <w:t>ser</w:t>
      </w:r>
      <w:proofErr w:type="gramEnd"/>
      <w:r>
        <w:rPr>
          <w:rFonts w:cs="Arial"/>
          <w:iCs/>
          <w:szCs w:val="20"/>
        </w:rPr>
        <w:t xml:space="preserve">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proofErr w:type="gramStart"/>
      <w:r>
        <w:rPr>
          <w:iCs/>
        </w:rPr>
        <w:t>apresentar</w:t>
      </w:r>
      <w:proofErr w:type="gramEnd"/>
      <w:r>
        <w:rPr>
          <w:iCs/>
        </w:rPr>
        <w:t xml:space="preserve">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proofErr w:type="gramStart"/>
      <w:r>
        <w:rPr>
          <w:iCs/>
        </w:rPr>
        <w:t>conter</w:t>
      </w:r>
      <w:proofErr w:type="gramEnd"/>
      <w:r>
        <w:rPr>
          <w:iCs/>
        </w:rPr>
        <w:t xml:space="preserve">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 xml:space="preserve">A oferta deverá ser firme e precisa, limitada, rigorosamente, ao objeto deste Edital, sem conter alternativas de preço ou de qualquer outra condição que induza o julgamento a mais de um resultado, </w:t>
      </w:r>
      <w:proofErr w:type="gramStart"/>
      <w:r>
        <w:t>sob pena</w:t>
      </w:r>
      <w:proofErr w:type="gramEnd"/>
      <w:r>
        <w:t xml:space="preserve">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 xml:space="preserve">Não será exigida a prestação de garantia </w:t>
      </w:r>
      <w:proofErr w:type="gramStart"/>
      <w:r>
        <w:t>na presente</w:t>
      </w:r>
      <w:proofErr w:type="gramEnd"/>
      <w:r>
        <w:t xml:space="preserve"> contratação, conforme Termo de Referência - Anexo I</w:t>
      </w:r>
    </w:p>
    <w:p w14:paraId="0658695F" w14:textId="38E33C7C" w:rsidR="00007609" w:rsidRDefault="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14:paraId="5017AE00" w14:textId="77777777" w:rsidR="00640850" w:rsidRDefault="00640850" w:rsidP="00640850">
      <w:pPr>
        <w:numPr>
          <w:ilvl w:val="1"/>
          <w:numId w:val="3"/>
        </w:numPr>
        <w:spacing w:before="120" w:after="120" w:line="276" w:lineRule="auto"/>
        <w:jc w:val="both"/>
      </w:pPr>
      <w:r>
        <w:t xml:space="preserve">Homologado o resultado da licitação, terá o adjudicatário o prazo de </w:t>
      </w:r>
      <w:proofErr w:type="gramStart"/>
      <w:r>
        <w:t>2</w:t>
      </w:r>
      <w:proofErr w:type="gramEnd"/>
      <w:r>
        <w:t xml:space="preserve"> (dois) dias, contados a partir da data de sua convocação, para assinar a Ata de Registro de Preços, cujo prazo de validade encontra-se nela fixado, sob pena de decair do direito à contratação, sem prejuízo das sanções previstas neste Edital. </w:t>
      </w:r>
    </w:p>
    <w:p w14:paraId="377B0520" w14:textId="77777777" w:rsidR="00640850" w:rsidRDefault="00640850" w:rsidP="00640850">
      <w:pPr>
        <w:numPr>
          <w:ilvl w:val="1"/>
          <w:numId w:val="3"/>
        </w:numPr>
        <w:spacing w:before="120" w:after="120" w:line="276" w:lineRule="auto"/>
        <w:jc w:val="both"/>
      </w:pPr>
      <w:r>
        <w:t xml:space="preserve">A Administração encaminhará para assinatura, mediante meio eletrônico, para que seja assinada e devolvida no prazo de </w:t>
      </w:r>
      <w:proofErr w:type="gramStart"/>
      <w:r>
        <w:t>2</w:t>
      </w:r>
      <w:proofErr w:type="gramEnd"/>
      <w:r>
        <w:t xml:space="preserve"> (dois) dias, a contar da data de seu recebimento.</w:t>
      </w:r>
    </w:p>
    <w:p w14:paraId="05806F46" w14:textId="77777777" w:rsidR="00640850" w:rsidRDefault="00640850" w:rsidP="00640850">
      <w:pPr>
        <w:numPr>
          <w:ilvl w:val="1"/>
          <w:numId w:val="3"/>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2B399152" w14:textId="77777777" w:rsidR="00640850" w:rsidRDefault="00640850" w:rsidP="00640850">
      <w:pPr>
        <w:numPr>
          <w:ilvl w:val="1"/>
          <w:numId w:val="3"/>
        </w:numPr>
        <w:spacing w:before="120" w:after="120" w:line="276" w:lineRule="auto"/>
        <w:jc w:val="both"/>
      </w:pPr>
      <w:r>
        <w:t xml:space="preserve">Serão formalizadas tantas Atas de Registro de Preços quanto necessárias para o registro de todos os itens constantes no Termo de Referência, com a indicação do licitante vencedor, a descrição do(s) </w:t>
      </w:r>
      <w:proofErr w:type="gramStart"/>
      <w:r>
        <w:t>item(</w:t>
      </w:r>
      <w:proofErr w:type="spellStart"/>
      <w:proofErr w:type="gramEnd"/>
      <w:r>
        <w:t>ns</w:t>
      </w:r>
      <w:proofErr w:type="spellEnd"/>
      <w:r>
        <w:t>), as respectivas quantidades, preços registrados e demais condições.</w:t>
      </w:r>
    </w:p>
    <w:p w14:paraId="5A88B5CD" w14:textId="77777777" w:rsidR="00640850" w:rsidRPr="008C3D94" w:rsidRDefault="00640850" w:rsidP="00640850">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AD9576C" w14:textId="77777777" w:rsidR="00640850" w:rsidRDefault="00640850" w:rsidP="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 xml:space="preserve">Após a homologação da licitação, em sendo realizada a contratação, será </w:t>
      </w:r>
      <w:proofErr w:type="gramStart"/>
      <w:r>
        <w:rPr>
          <w:color w:val="000000"/>
        </w:rPr>
        <w:t>firmado</w:t>
      </w:r>
      <w:proofErr w:type="gramEnd"/>
      <w:r>
        <w:rPr>
          <w:color w:val="000000"/>
        </w:rPr>
        <w:t xml:space="preserve">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w:t>
      </w:r>
      <w:proofErr w:type="gramStart"/>
      <w:r>
        <w:rPr>
          <w:color w:val="000000"/>
        </w:rPr>
        <w:t>5</w:t>
      </w:r>
      <w:proofErr w:type="gramEnd"/>
      <w:r>
        <w:rPr>
          <w:color w:val="000000"/>
        </w:rPr>
        <w:t xml:space="preserve">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proofErr w:type="gramStart"/>
      <w:r>
        <w:rPr>
          <w:color w:val="000000"/>
        </w:rPr>
        <w:t>3</w:t>
      </w:r>
      <w:proofErr w:type="gramEnd"/>
      <w:r>
        <w:rPr>
          <w:color w:val="000000"/>
        </w:rPr>
        <w:t xml:space="preserve">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 xml:space="preserve">Na hipótese de irregularidade do registro no SICAF, o contratado deverá regularizar a sua situação perante o cadastro no prazo de até 05 (cinco) dias úteis, sob pena de aplicação das penalidades previstas no </w:t>
      </w:r>
      <w:proofErr w:type="gramStart"/>
      <w:r>
        <w:rPr>
          <w:color w:val="000000"/>
        </w:rPr>
        <w:t>edital e anexos</w:t>
      </w:r>
      <w:proofErr w:type="gramEnd"/>
      <w:r>
        <w:rPr>
          <w:color w:val="000000"/>
        </w:rPr>
        <w:t>.</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14:paraId="550CD718" w14:textId="77777777" w:rsidR="00007609" w:rsidRDefault="00D712EA">
      <w:pPr>
        <w:numPr>
          <w:ilvl w:val="2"/>
          <w:numId w:val="3"/>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14:paraId="68A4A169" w14:textId="77777777" w:rsidR="00007609" w:rsidRDefault="00D712EA">
      <w:pPr>
        <w:numPr>
          <w:ilvl w:val="2"/>
          <w:numId w:val="3"/>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14:paraId="0ED1365A"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14:paraId="0B1EE22E" w14:textId="77777777" w:rsidR="00007609" w:rsidRDefault="00D712EA">
      <w:pPr>
        <w:numPr>
          <w:ilvl w:val="2"/>
          <w:numId w:val="3"/>
        </w:numPr>
        <w:spacing w:before="120" w:after="120" w:line="276" w:lineRule="auto"/>
        <w:jc w:val="both"/>
        <w:rPr>
          <w:color w:val="000000"/>
        </w:rPr>
      </w:pPr>
      <w:proofErr w:type="gramStart"/>
      <w:r>
        <w:rPr>
          <w:color w:val="000000"/>
        </w:rPr>
        <w:t>cometer</w:t>
      </w:r>
      <w:proofErr w:type="gramEnd"/>
      <w:r>
        <w:rPr>
          <w:color w:val="000000"/>
        </w:rPr>
        <w:t xml:space="preserve"> fraude fiscal;</w:t>
      </w:r>
    </w:p>
    <w:p w14:paraId="3AD7BD20" w14:textId="77777777" w:rsidR="00007609" w:rsidRDefault="00D712EA">
      <w:pPr>
        <w:numPr>
          <w:ilvl w:val="2"/>
          <w:numId w:val="3"/>
        </w:numPr>
        <w:spacing w:before="120" w:after="120" w:line="276" w:lineRule="auto"/>
        <w:jc w:val="both"/>
        <w:rPr>
          <w:color w:val="000000"/>
        </w:rPr>
      </w:pPr>
      <w:proofErr w:type="gramStart"/>
      <w:r>
        <w:rPr>
          <w:color w:val="000000"/>
        </w:rPr>
        <w:t>comportar</w:t>
      </w:r>
      <w:proofErr w:type="gramEnd"/>
      <w:r>
        <w:rPr>
          <w:color w:val="000000"/>
        </w:rPr>
        <w:t>-se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w:t>
      </w:r>
      <w:proofErr w:type="gramStart"/>
      <w:r>
        <w:rPr>
          <w:color w:val="000000"/>
        </w:rPr>
        <w:t>Pública Federal resultantes</w:t>
      </w:r>
      <w:proofErr w:type="gramEnd"/>
      <w:r>
        <w:rPr>
          <w:color w:val="000000"/>
        </w:rPr>
        <w:t xml:space="preserve">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10E4666F" w14:textId="578CBE7A" w:rsidR="00C25B2A" w:rsidRDefault="00C25B2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 xml:space="preserve">DA FORMAÇÃO DO CADASTRO DE RESERVA </w:t>
      </w:r>
    </w:p>
    <w:p w14:paraId="427179E2"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165DAD2B"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22C90AD6"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15B180C5" w14:textId="432A90EE" w:rsidR="00C25B2A" w:rsidRDefault="00C25B2A" w:rsidP="00C25B2A">
      <w:pPr>
        <w:numPr>
          <w:ilvl w:val="1"/>
          <w:numId w:val="3"/>
        </w:numPr>
        <w:spacing w:before="120" w:after="120" w:line="276" w:lineRule="auto"/>
        <w:ind w:left="425" w:firstLine="0"/>
        <w:jc w:val="both"/>
        <w:rPr>
          <w:iCs/>
        </w:rPr>
      </w:pPr>
      <w:r w:rsidRPr="00881927">
        <w:rPr>
          <w:iCs/>
        </w:rPr>
        <w:t xml:space="preserve">Esta ordem de classificação dos licitantes registrados deverá ser respeitada nas contratações e somente será </w:t>
      </w:r>
      <w:proofErr w:type="gramStart"/>
      <w:r w:rsidRPr="00881927">
        <w:rPr>
          <w:iCs/>
        </w:rPr>
        <w:t>utilizada</w:t>
      </w:r>
      <w:proofErr w:type="gramEnd"/>
      <w:r w:rsidRPr="00881927">
        <w:rPr>
          <w:iCs/>
        </w:rPr>
        <w:t xml:space="preserve"> acaso o melhor colocado no certame não assine a ata ou tenha seu registro cancelado nas hipóteses previstas nos artigos 20 e 21 do Decreto n° 7.892/213.</w:t>
      </w:r>
    </w:p>
    <w:p w14:paraId="5306DAAB" w14:textId="77777777" w:rsidR="00C25B2A" w:rsidRPr="00881927" w:rsidRDefault="00C25B2A" w:rsidP="00C25B2A">
      <w:pPr>
        <w:spacing w:before="120" w:after="120" w:line="276" w:lineRule="auto"/>
        <w:ind w:left="425"/>
        <w:jc w:val="both"/>
        <w:rPr>
          <w:iCs/>
        </w:rPr>
      </w:pPr>
    </w:p>
    <w:p w14:paraId="32CAA6DD" w14:textId="19814FF0"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8"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xml:space="preserve">, auxiliado pelos responsáveis pela elaboração deste Edital e seus anexos, decidir sobre a impugnação no prazo de até </w:t>
      </w:r>
      <w:proofErr w:type="gramStart"/>
      <w:r>
        <w:rPr>
          <w:color w:val="000000"/>
        </w:rPr>
        <w:t>2</w:t>
      </w:r>
      <w:proofErr w:type="gramEnd"/>
      <w:r>
        <w:rPr>
          <w:color w:val="000000"/>
        </w:rPr>
        <w:t xml:space="preserve">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 xml:space="preserve">O Pregoeiro responderá aos pedidos de esclarecimentos no prazo de </w:t>
      </w:r>
      <w:proofErr w:type="gramStart"/>
      <w:r>
        <w:rPr>
          <w:color w:val="000000"/>
        </w:rPr>
        <w:t>2</w:t>
      </w:r>
      <w:proofErr w:type="gramEnd"/>
      <w:r>
        <w:rPr>
          <w:color w:val="000000"/>
        </w:rPr>
        <w:t xml:space="preserve">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 xml:space="preserve">O desatendimento de exigências formais não essenciais não importará o afastamento do licitante, desde que seja possível o aproveitamento do ato, </w:t>
      </w:r>
      <w:proofErr w:type="gramStart"/>
      <w:r>
        <w:rPr>
          <w:color w:val="000000"/>
        </w:rPr>
        <w:t>observados</w:t>
      </w:r>
      <w:proofErr w:type="gramEnd"/>
      <w:r>
        <w:rPr>
          <w:color w:val="000000"/>
        </w:rPr>
        <w:t xml:space="preserve">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0FC50FB1" w:rsidR="00007609" w:rsidRDefault="00D712EA">
      <w:pPr>
        <w:numPr>
          <w:ilvl w:val="2"/>
          <w:numId w:val="3"/>
        </w:numPr>
        <w:spacing w:before="120" w:after="120" w:line="276" w:lineRule="auto"/>
        <w:jc w:val="both"/>
        <w:rPr>
          <w:color w:val="000000"/>
        </w:rPr>
      </w:pPr>
      <w:r>
        <w:rPr>
          <w:color w:val="000000"/>
        </w:rPr>
        <w:t>ANEXO I</w:t>
      </w:r>
      <w:r w:rsidR="008F018B">
        <w:rPr>
          <w:color w:val="000000"/>
        </w:rPr>
        <w:t>I</w:t>
      </w:r>
      <w:r>
        <w:rPr>
          <w:color w:val="000000"/>
        </w:rPr>
        <w:t xml:space="preserve"> – Planilha </w:t>
      </w:r>
      <w:r w:rsidR="008F018B">
        <w:rPr>
          <w:color w:val="000000"/>
        </w:rPr>
        <w:t>Serviços e Materiais</w:t>
      </w:r>
    </w:p>
    <w:p w14:paraId="0A57AE86" w14:textId="77777777" w:rsidR="00007609" w:rsidRDefault="00D712EA">
      <w:pPr>
        <w:numPr>
          <w:ilvl w:val="2"/>
          <w:numId w:val="3"/>
        </w:numPr>
        <w:spacing w:before="120" w:after="120" w:line="276" w:lineRule="auto"/>
        <w:jc w:val="both"/>
        <w:rPr>
          <w:color w:val="000000"/>
        </w:rPr>
      </w:pPr>
      <w:r>
        <w:rPr>
          <w:color w:val="000000"/>
        </w:rPr>
        <w:t xml:space="preserve">ANEXO III – Modelo de Proposta, Dispensa de </w:t>
      </w:r>
      <w:proofErr w:type="gramStart"/>
      <w:r>
        <w:rPr>
          <w:color w:val="000000"/>
        </w:rPr>
        <w:t>Vistoria</w:t>
      </w:r>
      <w:proofErr w:type="gramEnd"/>
    </w:p>
    <w:p w14:paraId="60CF10F6" w14:textId="11960BF9" w:rsidR="00007609" w:rsidRDefault="00D712EA">
      <w:pPr>
        <w:numPr>
          <w:ilvl w:val="2"/>
          <w:numId w:val="3"/>
        </w:numPr>
        <w:spacing w:before="120" w:after="120" w:line="276" w:lineRule="auto"/>
        <w:jc w:val="both"/>
        <w:rPr>
          <w:color w:val="000000"/>
        </w:rPr>
      </w:pPr>
      <w:r>
        <w:rPr>
          <w:color w:val="000000"/>
        </w:rPr>
        <w:t>ANEXO IV – Modelo Declaração de Vistoria</w:t>
      </w:r>
    </w:p>
    <w:p w14:paraId="44560BED" w14:textId="6AF3FCC7" w:rsidR="008F018B" w:rsidRDefault="008F018B">
      <w:pPr>
        <w:numPr>
          <w:ilvl w:val="2"/>
          <w:numId w:val="3"/>
        </w:numPr>
        <w:spacing w:before="120" w:after="120" w:line="276" w:lineRule="auto"/>
        <w:jc w:val="both"/>
        <w:rPr>
          <w:color w:val="000000"/>
        </w:rPr>
      </w:pPr>
      <w:r>
        <w:rPr>
          <w:color w:val="000000"/>
        </w:rPr>
        <w:t xml:space="preserve">ANEXO V </w:t>
      </w:r>
      <w:proofErr w:type="gramStart"/>
      <w:r>
        <w:rPr>
          <w:color w:val="000000"/>
        </w:rPr>
        <w:t>–Modelo</w:t>
      </w:r>
      <w:proofErr w:type="gramEnd"/>
      <w:r>
        <w:rPr>
          <w:color w:val="000000"/>
        </w:rPr>
        <w:t xml:space="preserve"> de Termo de Responsabilidade</w:t>
      </w:r>
    </w:p>
    <w:p w14:paraId="2D35514F" w14:textId="34E36A61" w:rsidR="008F018B" w:rsidRDefault="008F018B">
      <w:pPr>
        <w:numPr>
          <w:ilvl w:val="2"/>
          <w:numId w:val="3"/>
        </w:numPr>
        <w:spacing w:before="120" w:after="120" w:line="276" w:lineRule="auto"/>
        <w:jc w:val="both"/>
        <w:rPr>
          <w:color w:val="000000"/>
        </w:rPr>
      </w:pPr>
      <w:proofErr w:type="gramStart"/>
      <w:r>
        <w:rPr>
          <w:color w:val="000000"/>
        </w:rPr>
        <w:t>ANEXO VI</w:t>
      </w:r>
      <w:proofErr w:type="gramEnd"/>
      <w:r>
        <w:rPr>
          <w:color w:val="000000"/>
        </w:rPr>
        <w:t xml:space="preserve"> – Modelo de Declaração Preposto e Ambiental</w:t>
      </w:r>
    </w:p>
    <w:p w14:paraId="47D09119" w14:textId="6B00A843" w:rsidR="008F018B" w:rsidRDefault="008F018B">
      <w:pPr>
        <w:numPr>
          <w:ilvl w:val="2"/>
          <w:numId w:val="3"/>
        </w:numPr>
        <w:spacing w:before="120" w:after="120" w:line="276" w:lineRule="auto"/>
        <w:jc w:val="both"/>
        <w:rPr>
          <w:color w:val="000000"/>
        </w:rPr>
      </w:pPr>
      <w:r>
        <w:rPr>
          <w:color w:val="000000"/>
        </w:rPr>
        <w:t>ANEXO VII – Modelo de Ata de Registro de Preços</w:t>
      </w: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7CB4CD29" w:rsidR="00E71E4B" w:rsidRDefault="00D712EA" w:rsidP="00E71E4B">
      <w:pPr>
        <w:spacing w:before="120" w:after="120" w:line="276" w:lineRule="auto"/>
        <w:jc w:val="center"/>
        <w:rPr>
          <w:color w:val="000000"/>
        </w:rPr>
      </w:pPr>
      <w:r>
        <w:rPr>
          <w:color w:val="000000"/>
        </w:rPr>
        <w:t xml:space="preserve">Niterói, </w:t>
      </w:r>
      <w:r w:rsidR="001E1B15">
        <w:rPr>
          <w:color w:val="000000"/>
        </w:rPr>
        <w:t>16</w:t>
      </w:r>
      <w:r>
        <w:rPr>
          <w:color w:val="000000"/>
        </w:rPr>
        <w:t xml:space="preserve"> de </w:t>
      </w:r>
      <w:r w:rsidR="001E1B15">
        <w:rPr>
          <w:color w:val="000000"/>
        </w:rPr>
        <w:t>fevereiro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EB79D" w14:textId="77777777" w:rsidR="00C04679" w:rsidRDefault="00C04679">
      <w:r>
        <w:separator/>
      </w:r>
    </w:p>
  </w:endnote>
  <w:endnote w:type="continuationSeparator" w:id="0">
    <w:p w14:paraId="50CC939D" w14:textId="77777777" w:rsidR="00C04679" w:rsidRDefault="00C0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E055DD">
      <w:rPr>
        <w:rFonts w:cs="Arial"/>
        <w:b/>
        <w:noProof/>
        <w:color w:val="000000"/>
        <w:sz w:val="12"/>
        <w:szCs w:val="12"/>
      </w:rPr>
      <w:t>3</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E055DD">
      <w:rPr>
        <w:rFonts w:cs="Arial"/>
        <w:b/>
        <w:noProof/>
        <w:color w:val="000000"/>
        <w:sz w:val="12"/>
        <w:szCs w:val="12"/>
      </w:rPr>
      <w:t>22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08BA" w14:textId="77777777" w:rsidR="00C04679" w:rsidRDefault="00C04679">
      <w:r>
        <w:separator/>
      </w:r>
    </w:p>
  </w:footnote>
  <w:footnote w:type="continuationSeparator" w:id="0">
    <w:p w14:paraId="5E63ECC1" w14:textId="77777777" w:rsidR="00C04679" w:rsidRDefault="00C04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29C33DE8"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964239" w:rsidRPr="00964239">
      <w:rPr>
        <w:rFonts w:ascii="Verdana" w:eastAsia="Verdana" w:hAnsi="Verdana" w:cs="Verdana"/>
        <w:color w:val="000000"/>
        <w:sz w:val="16"/>
        <w:szCs w:val="16"/>
      </w:rPr>
      <w:t>23069.191848/2022-63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4">
    <w:nsid w:val="6A7C764E"/>
    <w:multiLevelType w:val="multilevel"/>
    <w:tmpl w:val="6222112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72202"/>
    <w:rsid w:val="000829EF"/>
    <w:rsid w:val="000C3D8E"/>
    <w:rsid w:val="000F54A8"/>
    <w:rsid w:val="001149D7"/>
    <w:rsid w:val="00136C33"/>
    <w:rsid w:val="00143F21"/>
    <w:rsid w:val="00155286"/>
    <w:rsid w:val="00155863"/>
    <w:rsid w:val="0016408F"/>
    <w:rsid w:val="00166EB1"/>
    <w:rsid w:val="00176627"/>
    <w:rsid w:val="001E1B15"/>
    <w:rsid w:val="002131E6"/>
    <w:rsid w:val="002238BC"/>
    <w:rsid w:val="00237BD0"/>
    <w:rsid w:val="00264BEE"/>
    <w:rsid w:val="00282968"/>
    <w:rsid w:val="00283EF7"/>
    <w:rsid w:val="002B7737"/>
    <w:rsid w:val="002E0F35"/>
    <w:rsid w:val="002E5A2C"/>
    <w:rsid w:val="00336508"/>
    <w:rsid w:val="003540E9"/>
    <w:rsid w:val="00360F70"/>
    <w:rsid w:val="00366481"/>
    <w:rsid w:val="00372622"/>
    <w:rsid w:val="0037283B"/>
    <w:rsid w:val="0038124B"/>
    <w:rsid w:val="0039357F"/>
    <w:rsid w:val="003A79FD"/>
    <w:rsid w:val="003D4FE9"/>
    <w:rsid w:val="003F53A1"/>
    <w:rsid w:val="00407AA7"/>
    <w:rsid w:val="00437C70"/>
    <w:rsid w:val="004773D0"/>
    <w:rsid w:val="00484CCF"/>
    <w:rsid w:val="0048682B"/>
    <w:rsid w:val="004D7D65"/>
    <w:rsid w:val="004E48E6"/>
    <w:rsid w:val="004E6B15"/>
    <w:rsid w:val="005302E8"/>
    <w:rsid w:val="005406F6"/>
    <w:rsid w:val="005571FE"/>
    <w:rsid w:val="00565AEE"/>
    <w:rsid w:val="005C0179"/>
    <w:rsid w:val="005F035C"/>
    <w:rsid w:val="005F3C76"/>
    <w:rsid w:val="006307A3"/>
    <w:rsid w:val="00640850"/>
    <w:rsid w:val="006623E6"/>
    <w:rsid w:val="006642BE"/>
    <w:rsid w:val="006A7714"/>
    <w:rsid w:val="006B2305"/>
    <w:rsid w:val="006B24E8"/>
    <w:rsid w:val="006B3B66"/>
    <w:rsid w:val="006E4BA3"/>
    <w:rsid w:val="006F39F2"/>
    <w:rsid w:val="007112E8"/>
    <w:rsid w:val="00713D4E"/>
    <w:rsid w:val="00717A2E"/>
    <w:rsid w:val="00741426"/>
    <w:rsid w:val="0075114B"/>
    <w:rsid w:val="00754A13"/>
    <w:rsid w:val="00756156"/>
    <w:rsid w:val="00764517"/>
    <w:rsid w:val="00771B07"/>
    <w:rsid w:val="00772E1F"/>
    <w:rsid w:val="00782E13"/>
    <w:rsid w:val="007B1F50"/>
    <w:rsid w:val="007C1079"/>
    <w:rsid w:val="007C65D0"/>
    <w:rsid w:val="007F3AEF"/>
    <w:rsid w:val="00812605"/>
    <w:rsid w:val="00820332"/>
    <w:rsid w:val="00840513"/>
    <w:rsid w:val="0084372D"/>
    <w:rsid w:val="00865759"/>
    <w:rsid w:val="00867408"/>
    <w:rsid w:val="008754E1"/>
    <w:rsid w:val="00881927"/>
    <w:rsid w:val="008D0B13"/>
    <w:rsid w:val="008F018B"/>
    <w:rsid w:val="008F109A"/>
    <w:rsid w:val="008F2678"/>
    <w:rsid w:val="0091213B"/>
    <w:rsid w:val="0091250D"/>
    <w:rsid w:val="00920453"/>
    <w:rsid w:val="00943D7E"/>
    <w:rsid w:val="00964239"/>
    <w:rsid w:val="009F03DC"/>
    <w:rsid w:val="00A14C08"/>
    <w:rsid w:val="00A21960"/>
    <w:rsid w:val="00A37332"/>
    <w:rsid w:val="00A42612"/>
    <w:rsid w:val="00A9441F"/>
    <w:rsid w:val="00A946B8"/>
    <w:rsid w:val="00AC4C7F"/>
    <w:rsid w:val="00AD1DE8"/>
    <w:rsid w:val="00AF3821"/>
    <w:rsid w:val="00AF588F"/>
    <w:rsid w:val="00AF691E"/>
    <w:rsid w:val="00B16028"/>
    <w:rsid w:val="00B163C5"/>
    <w:rsid w:val="00B25B6B"/>
    <w:rsid w:val="00B402F3"/>
    <w:rsid w:val="00B4146C"/>
    <w:rsid w:val="00B546D1"/>
    <w:rsid w:val="00B85F13"/>
    <w:rsid w:val="00BB044E"/>
    <w:rsid w:val="00BC3F4F"/>
    <w:rsid w:val="00BE0A3E"/>
    <w:rsid w:val="00C04679"/>
    <w:rsid w:val="00C05AD3"/>
    <w:rsid w:val="00C25B2A"/>
    <w:rsid w:val="00C40635"/>
    <w:rsid w:val="00C534ED"/>
    <w:rsid w:val="00C64D01"/>
    <w:rsid w:val="00C8004E"/>
    <w:rsid w:val="00C94BD2"/>
    <w:rsid w:val="00CA0289"/>
    <w:rsid w:val="00CA36E5"/>
    <w:rsid w:val="00CA48DF"/>
    <w:rsid w:val="00CB1120"/>
    <w:rsid w:val="00D01D08"/>
    <w:rsid w:val="00D42A89"/>
    <w:rsid w:val="00D6083D"/>
    <w:rsid w:val="00D712EA"/>
    <w:rsid w:val="00D72B78"/>
    <w:rsid w:val="00DA38F3"/>
    <w:rsid w:val="00DB3DF2"/>
    <w:rsid w:val="00DE7014"/>
    <w:rsid w:val="00E055DD"/>
    <w:rsid w:val="00E27215"/>
    <w:rsid w:val="00E600E0"/>
    <w:rsid w:val="00E61AEC"/>
    <w:rsid w:val="00E664E0"/>
    <w:rsid w:val="00E71E4B"/>
    <w:rsid w:val="00E73470"/>
    <w:rsid w:val="00E84D66"/>
    <w:rsid w:val="00EA5C79"/>
    <w:rsid w:val="00ED53F4"/>
    <w:rsid w:val="00ED561D"/>
    <w:rsid w:val="00EE286B"/>
    <w:rsid w:val="00EF32DD"/>
    <w:rsid w:val="00F0356F"/>
    <w:rsid w:val="00F33023"/>
    <w:rsid w:val="00F56F33"/>
    <w:rsid w:val="00F67D17"/>
    <w:rsid w:val="00FB13EA"/>
    <w:rsid w:val="00FB4C86"/>
    <w:rsid w:val="00FD15CB"/>
    <w:rsid w:val="00FF2CDF"/>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mailto:cpl@id.uff.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9976</Words>
  <Characters>53873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19</cp:revision>
  <dcterms:created xsi:type="dcterms:W3CDTF">2023-01-19T18:13:00Z</dcterms:created>
  <dcterms:modified xsi:type="dcterms:W3CDTF">2023-02-16T17:19:00Z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