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40061B33"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7E14CBB2" w:rsidR="00007609" w:rsidRDefault="00A146DA" w:rsidP="00A146DA">
            <w:pPr>
              <w:pStyle w:val="Heading1"/>
              <w:keepLines w:val="0"/>
              <w:spacing w:before="100" w:after="100"/>
              <w:rPr>
                <w:b/>
              </w:rPr>
            </w:pPr>
            <w:r>
              <w:rPr>
                <w:rFonts w:ascii="Verdana" w:eastAsia="Verdana" w:hAnsi="Verdana" w:cs="Verdana"/>
                <w:b/>
                <w:sz w:val="20"/>
                <w:szCs w:val="20"/>
              </w:rPr>
              <w:t xml:space="preserve">                                       </w:t>
            </w:r>
            <w:r w:rsidR="00D712EA">
              <w:rPr>
                <w:rFonts w:ascii="Verdana" w:eastAsia="Verdana" w:hAnsi="Verdana" w:cs="Verdana"/>
                <w:b/>
                <w:sz w:val="20"/>
                <w:szCs w:val="20"/>
              </w:rPr>
              <w:t xml:space="preserve">PREGÃO ELETRÔNICO Nº </w:t>
            </w:r>
            <w:r w:rsidR="00A223DD">
              <w:rPr>
                <w:rFonts w:ascii="Verdana" w:eastAsia="Verdana" w:hAnsi="Verdana" w:cs="Verdana"/>
                <w:b/>
                <w:sz w:val="20"/>
                <w:szCs w:val="20"/>
              </w:rPr>
              <w:t>70</w:t>
            </w:r>
            <w:r w:rsidR="00D712EA">
              <w:rPr>
                <w:rFonts w:ascii="Verdana" w:eastAsia="Verdana" w:hAnsi="Verdana" w:cs="Verdana"/>
                <w:b/>
                <w:sz w:val="20"/>
                <w:szCs w:val="20"/>
              </w:rPr>
              <w:t>/2022/AD</w:t>
            </w:r>
          </w:p>
          <w:p w14:paraId="0924DAB8" w14:textId="219CCCC4" w:rsidR="00007609" w:rsidRDefault="00D712EA">
            <w:pPr>
              <w:spacing w:before="100" w:after="100"/>
              <w:jc w:val="center"/>
              <w:rPr>
                <w:rFonts w:ascii="Verdana" w:eastAsia="Verdana" w:hAnsi="Verdana" w:cs="Verdana"/>
                <w:b/>
              </w:rPr>
            </w:pPr>
            <w:r>
              <w:rPr>
                <w:rFonts w:ascii="Verdana" w:eastAsia="Verdana" w:hAnsi="Verdana" w:cs="Verdana"/>
                <w:b/>
              </w:rPr>
              <w:t xml:space="preserve">SERVIÇOS </w:t>
            </w:r>
            <w:r w:rsidR="00A223DD">
              <w:rPr>
                <w:rFonts w:ascii="Verdana" w:eastAsia="Verdana" w:hAnsi="Verdana" w:cs="Verdana"/>
                <w:b/>
              </w:rPr>
              <w:t xml:space="preserve">NÃO </w:t>
            </w:r>
            <w:r>
              <w:rPr>
                <w:rFonts w:ascii="Verdana" w:eastAsia="Verdana" w:hAnsi="Verdana" w:cs="Verdana"/>
                <w:b/>
              </w:rPr>
              <w:t xml:space="preserve">CONTINUADOS SEM DEDICAÇÃO EXCLUSIVA DE MÃO DE OBRA </w:t>
            </w:r>
          </w:p>
          <w:p w14:paraId="65E7704D" w14:textId="0B3A2295" w:rsidR="00007609" w:rsidRDefault="00D712EA">
            <w:pPr>
              <w:spacing w:before="100" w:after="100"/>
              <w:jc w:val="center"/>
              <w:rPr>
                <w:rFonts w:ascii="Verdana" w:eastAsia="Verdana" w:hAnsi="Verdana" w:cs="Verdana"/>
                <w:b/>
              </w:rPr>
            </w:pPr>
            <w:r w:rsidRPr="00BF75AC">
              <w:rPr>
                <w:rFonts w:ascii="Verdana" w:eastAsia="Verdana" w:hAnsi="Verdana" w:cs="Verdana"/>
                <w:b/>
              </w:rPr>
              <w:t xml:space="preserve">PROCESSO Nº </w:t>
            </w:r>
            <w:r w:rsidR="00BF75AC" w:rsidRPr="00BF75AC">
              <w:rPr>
                <w:rFonts w:ascii="Verdana" w:eastAsia="Verdana" w:hAnsi="Verdana" w:cs="Verdana"/>
                <w:b/>
              </w:rPr>
              <w:t>23069.164894/2021-17</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0E26959F" w:rsidR="00007609" w:rsidRPr="001C7EF3" w:rsidRDefault="00D712EA" w:rsidP="001C7EF3">
            <w:pPr>
              <w:pStyle w:val="Default"/>
              <w:jc w:val="both"/>
              <w:rPr>
                <w:rFonts w:ascii="Arial" w:hAnsi="Arial" w:cs="Arial"/>
              </w:rPr>
            </w:pPr>
            <w:r w:rsidRPr="001C7EF3">
              <w:rPr>
                <w:rFonts w:ascii="Arial" w:hAnsi="Arial" w:cs="Arial"/>
                <w:sz w:val="18"/>
                <w:szCs w:val="18"/>
              </w:rPr>
              <w:t xml:space="preserve">O objeto da presente licitação é a </w:t>
            </w:r>
            <w:r w:rsidR="001C7EF3" w:rsidRPr="001C7EF3">
              <w:rPr>
                <w:rFonts w:ascii="Arial" w:hAnsi="Arial" w:cs="Arial"/>
                <w:color w:val="auto"/>
              </w:rPr>
              <w:t xml:space="preserve"> </w:t>
            </w:r>
            <w:r w:rsidR="001C7EF3" w:rsidRPr="001C7EF3">
              <w:rPr>
                <w:rFonts w:ascii="Arial" w:hAnsi="Arial" w:cs="Arial"/>
                <w:sz w:val="18"/>
                <w:szCs w:val="18"/>
              </w:rPr>
              <w:t xml:space="preserve">Contratação, de serviços comuns, para os </w:t>
            </w:r>
            <w:r w:rsidR="001C7EF3" w:rsidRPr="001C7EF3">
              <w:rPr>
                <w:rFonts w:ascii="Arial" w:hAnsi="Arial" w:cs="Arial"/>
                <w:b/>
                <w:bCs/>
                <w:sz w:val="18"/>
                <w:szCs w:val="18"/>
              </w:rPr>
              <w:t>serviços de manutenção e reformas prediais de fornecimento e instalação de divisórias tipo painel e/ou drywall, portas completas, isolamentos termoacústicos, forros e vidros, destinados à reforma ou criação de novos ambientes e mobiliários planejados</w:t>
            </w:r>
            <w:r w:rsidR="001C7EF3" w:rsidRPr="001C7EF3">
              <w:rPr>
                <w:rFonts w:ascii="Arial" w:hAnsi="Arial" w:cs="Arial"/>
                <w:sz w:val="18"/>
                <w:szCs w:val="18"/>
              </w:rPr>
              <w:t xml:space="preserve"> no âmbito da Universidade Federal Fluminense, nos municípios de Niterói, Volta Redonda,</w:t>
            </w:r>
            <w:r w:rsidR="001C7EF3">
              <w:rPr>
                <w:rFonts w:ascii="Arial" w:hAnsi="Arial" w:cs="Arial"/>
                <w:sz w:val="18"/>
                <w:szCs w:val="18"/>
              </w:rPr>
              <w:t xml:space="preserve"> </w:t>
            </w:r>
            <w:r w:rsidR="001C7EF3" w:rsidRPr="001C7EF3">
              <w:rPr>
                <w:rFonts w:ascii="Arial" w:hAnsi="Arial" w:cs="Arial"/>
                <w:sz w:val="18"/>
                <w:szCs w:val="18"/>
              </w:rPr>
              <w:t>Angra dos Reis, Petrópolis, Nova Friburgo, Cachoeiras de Macacu, Rio das Ostras, Macaé, Campos dos</w:t>
            </w:r>
            <w:r w:rsidR="001C7EF3">
              <w:rPr>
                <w:rFonts w:ascii="Arial" w:hAnsi="Arial" w:cs="Arial"/>
                <w:sz w:val="18"/>
                <w:szCs w:val="18"/>
              </w:rPr>
              <w:t xml:space="preserve"> </w:t>
            </w:r>
            <w:r w:rsidR="001C7EF3" w:rsidRPr="001C7EF3">
              <w:rPr>
                <w:rFonts w:ascii="Arial" w:hAnsi="Arial" w:cs="Arial"/>
                <w:sz w:val="18"/>
                <w:szCs w:val="18"/>
              </w:rPr>
              <w:t>Goytacazes, Santo Antônio de Pádua, Iguaba Grande (Estado do Rio de Janeiro)</w:t>
            </w:r>
            <w:r w:rsidRPr="001C7EF3">
              <w:rPr>
                <w:rFonts w:ascii="Arial" w:hAnsi="Arial" w:cs="Arial"/>
                <w:sz w:val="18"/>
                <w:szCs w:val="18"/>
              </w:rPr>
              <w:t>, conforme condições, quantidades e exigências estabelecidas neste Edital e seus anexos.</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r w:rsidR="00AD4FC5">
              <w:fldChar w:fldCharType="begin"/>
            </w:r>
            <w:r w:rsidR="00AD4FC5">
              <w:instrText xml:space="preserve"> HYPERLINK "https://www.gov.br/compras/pt-br" \h </w:instrText>
            </w:r>
            <w:r w:rsidR="00AD4FC5">
              <w:fldChar w:fldCharType="separate"/>
            </w:r>
            <w:r>
              <w:rPr>
                <w:sz w:val="18"/>
                <w:szCs w:val="18"/>
              </w:rPr>
              <w:t>www.gov.br/compras</w:t>
            </w:r>
            <w:r w:rsidR="00AD4FC5">
              <w:rPr>
                <w:sz w:val="18"/>
                <w:szCs w:val="18"/>
              </w:rPr>
              <w:fldChar w:fldCharType="end"/>
            </w:r>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47662D83" w:rsidR="00007609" w:rsidRDefault="00D712EA" w:rsidP="00106693">
            <w:pPr>
              <w:jc w:val="both"/>
              <w:rPr>
                <w:color w:val="000000"/>
                <w:sz w:val="18"/>
                <w:szCs w:val="18"/>
              </w:rPr>
            </w:pPr>
            <w:r>
              <w:rPr>
                <w:sz w:val="18"/>
                <w:szCs w:val="18"/>
              </w:rPr>
              <w:t xml:space="preserve">Sessão Pública a ser realizada no endereço eletrônico informado no edital, às </w:t>
            </w:r>
            <w:r w:rsidR="00A146DA" w:rsidRPr="00A146DA">
              <w:rPr>
                <w:b/>
                <w:sz w:val="18"/>
                <w:szCs w:val="18"/>
              </w:rPr>
              <w:t>10:00</w:t>
            </w:r>
            <w:r w:rsidRPr="00A146DA">
              <w:rPr>
                <w:b/>
                <w:sz w:val="18"/>
                <w:szCs w:val="18"/>
              </w:rPr>
              <w:t>h</w:t>
            </w:r>
            <w:r>
              <w:rPr>
                <w:sz w:val="18"/>
                <w:szCs w:val="18"/>
              </w:rPr>
              <w:t xml:space="preserve"> do dia </w:t>
            </w:r>
            <w:r w:rsidR="00106693">
              <w:rPr>
                <w:b/>
                <w:sz w:val="18"/>
                <w:szCs w:val="18"/>
              </w:rPr>
              <w:t>04/07</w:t>
            </w:r>
            <w:r w:rsidR="00A146DA">
              <w:rPr>
                <w:b/>
                <w:sz w:val="18"/>
                <w:szCs w:val="18"/>
              </w:rPr>
              <w:t>/2022</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77777777" w:rsidR="00007609" w:rsidRDefault="00D712EA">
            <w:pPr>
              <w:jc w:val="both"/>
              <w:rPr>
                <w:color w:val="000000"/>
                <w:sz w:val="18"/>
                <w:szCs w:val="18"/>
              </w:rPr>
            </w:pPr>
            <w:r>
              <w:rPr>
                <w:color w:val="000000"/>
                <w:sz w:val="18"/>
                <w:szCs w:val="18"/>
              </w:rPr>
              <w:t>Menor preço por item.</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830983">
            <w:pPr>
              <w:jc w:val="both"/>
              <w:rPr>
                <w:b/>
                <w:color w:val="0000FF"/>
                <w:sz w:val="18"/>
                <w:szCs w:val="18"/>
                <w:u w:val="single"/>
              </w:rPr>
            </w:pPr>
            <w:hyperlink r:id="rId10">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3B1B283D" w:rsidR="00007609" w:rsidRDefault="00A146DA">
            <w:pPr>
              <w:spacing w:before="100" w:after="100"/>
              <w:jc w:val="both"/>
              <w:rPr>
                <w:rFonts w:cs="Arial"/>
                <w:b/>
                <w:i/>
                <w:color w:val="000000"/>
                <w:sz w:val="18"/>
                <w:szCs w:val="18"/>
              </w:rPr>
            </w:pPr>
            <w:r>
              <w:rPr>
                <w:rFonts w:cs="Arial"/>
                <w:b/>
                <w:i/>
                <w:color w:val="000000"/>
                <w:sz w:val="18"/>
                <w:szCs w:val="18"/>
              </w:rPr>
              <w:t>João Gilberto T. Aranha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1"/>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6976160C"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2BA0FBFC" w14:textId="7C52513A"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A223DD">
        <w:rPr>
          <w:rFonts w:ascii="Verdana" w:eastAsia="Verdana" w:hAnsi="Verdana" w:cs="Verdana"/>
          <w:b/>
        </w:rPr>
        <w:t>70</w:t>
      </w:r>
      <w:r>
        <w:rPr>
          <w:rFonts w:ascii="Verdana" w:eastAsia="Verdana" w:hAnsi="Verdana" w:cs="Verdana"/>
          <w:b/>
        </w:rPr>
        <w:t>/2022/AD</w:t>
      </w:r>
    </w:p>
    <w:p w14:paraId="59EFADAA" w14:textId="16A46FD7" w:rsidR="00007609" w:rsidRDefault="00D712EA">
      <w:pPr>
        <w:spacing w:before="100" w:after="100"/>
        <w:jc w:val="center"/>
        <w:rPr>
          <w:rFonts w:ascii="Verdana" w:eastAsia="Verdana" w:hAnsi="Verdana" w:cs="Verdana"/>
          <w:b/>
        </w:rPr>
      </w:pPr>
      <w:r>
        <w:rPr>
          <w:rFonts w:ascii="Verdana" w:eastAsia="Verdana" w:hAnsi="Verdana" w:cs="Verdana"/>
          <w:b/>
        </w:rPr>
        <w:t xml:space="preserve">SERVIÇOS </w:t>
      </w:r>
      <w:r w:rsidR="00A223DD">
        <w:rPr>
          <w:rFonts w:ascii="Verdana" w:eastAsia="Verdana" w:hAnsi="Verdana" w:cs="Verdana"/>
          <w:b/>
        </w:rPr>
        <w:t xml:space="preserve">NÃO </w:t>
      </w:r>
      <w:r>
        <w:rPr>
          <w:rFonts w:ascii="Verdana" w:eastAsia="Verdana" w:hAnsi="Verdana" w:cs="Verdana"/>
          <w:b/>
        </w:rPr>
        <w:t>CONTINUADOS SEM DEDICAÇÃO EXCLUSIVA DE MÃO DE OBRA</w:t>
      </w:r>
    </w:p>
    <w:p w14:paraId="5AE638A9" w14:textId="3E5DBED6" w:rsidR="00007609" w:rsidRDefault="00D712EA">
      <w:pPr>
        <w:spacing w:before="100" w:after="100"/>
        <w:jc w:val="center"/>
        <w:rPr>
          <w:rFonts w:ascii="Verdana" w:eastAsia="Verdana" w:hAnsi="Verdana" w:cs="Verdana"/>
          <w:b/>
        </w:rPr>
      </w:pPr>
      <w:r w:rsidRPr="00BF75AC">
        <w:rPr>
          <w:rFonts w:ascii="Verdana" w:eastAsia="Verdana" w:hAnsi="Verdana" w:cs="Verdana"/>
          <w:b/>
        </w:rPr>
        <w:t xml:space="preserve">PROCESSO Nº </w:t>
      </w:r>
      <w:r w:rsidR="00BF75AC" w:rsidRPr="00BF75AC">
        <w:rPr>
          <w:rFonts w:ascii="Verdana" w:eastAsia="Verdana" w:hAnsi="Verdana" w:cs="Verdana"/>
          <w:b/>
        </w:rPr>
        <w:t>23069.164894/2021-17</w:t>
      </w:r>
    </w:p>
    <w:p w14:paraId="4D18866F" w14:textId="77777777" w:rsidR="00007609" w:rsidRDefault="00007609">
      <w:pPr>
        <w:spacing w:after="120" w:line="276" w:lineRule="auto"/>
        <w:ind w:right="-30" w:firstLine="540"/>
        <w:jc w:val="both"/>
        <w:rPr>
          <w:color w:val="000000"/>
        </w:rPr>
      </w:pPr>
    </w:p>
    <w:p w14:paraId="40EA1E66" w14:textId="77777777" w:rsidR="00007609" w:rsidRDefault="00007609">
      <w:pPr>
        <w:spacing w:after="120" w:line="276" w:lineRule="auto"/>
        <w:ind w:right="-30" w:firstLine="540"/>
        <w:jc w:val="both"/>
        <w:rPr>
          <w:color w:val="000000"/>
        </w:rPr>
      </w:pPr>
    </w:p>
    <w:p w14:paraId="709D133B" w14:textId="77777777"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 xml:space="preserve">com critério de julgamento menor </w:t>
      </w:r>
      <w:r>
        <w:rPr>
          <w:b/>
        </w:rPr>
        <w:t>preço por item</w:t>
      </w:r>
      <w:r>
        <w:rPr>
          <w:i/>
        </w:rPr>
        <w:t>,</w:t>
      </w:r>
      <w:r>
        <w:t xml:space="preserve"> sob a forma de execução indireta, no regime de empreitada por </w:t>
      </w:r>
      <w:r>
        <w:rPr>
          <w:i/>
        </w:rPr>
        <w:t>preço unitário</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1E57D6CD" w:rsidR="00007609" w:rsidRDefault="00D712EA" w:rsidP="00D822D4">
            <w:pPr>
              <w:spacing w:line="276" w:lineRule="auto"/>
              <w:jc w:val="both"/>
              <w:rPr>
                <w:rFonts w:ascii="Calibri" w:eastAsia="Calibri" w:hAnsi="Calibri"/>
              </w:rPr>
            </w:pPr>
            <w:r>
              <w:rPr>
                <w:rFonts w:ascii="Calibri" w:eastAsia="Calibri" w:hAnsi="Calibri"/>
                <w:color w:val="000000"/>
              </w:rPr>
              <w:t xml:space="preserve">Data da sessão: </w:t>
            </w:r>
            <w:r w:rsidR="00D822D4">
              <w:rPr>
                <w:rFonts w:ascii="Calibri" w:eastAsia="Calibri" w:hAnsi="Calibri"/>
                <w:color w:val="000000"/>
              </w:rPr>
              <w:t>04/07</w:t>
            </w:r>
            <w:bookmarkStart w:id="0" w:name="_GoBack"/>
            <w:bookmarkEnd w:id="0"/>
            <w:r w:rsidR="009F3A87">
              <w:rPr>
                <w:rFonts w:ascii="Calibri" w:eastAsia="Calibri" w:hAnsi="Calibri"/>
                <w:color w:val="000000"/>
              </w:rPr>
              <w:t>/2022</w:t>
            </w:r>
          </w:p>
        </w:tc>
      </w:tr>
      <w:tr w:rsidR="00007609" w14:paraId="290B6E19" w14:textId="77777777">
        <w:tc>
          <w:tcPr>
            <w:tcW w:w="9211" w:type="dxa"/>
          </w:tcPr>
          <w:p w14:paraId="58F0CD93" w14:textId="1FF51D89"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9F3A87">
              <w:rPr>
                <w:rFonts w:ascii="Calibri" w:eastAsia="Calibri" w:hAnsi="Calibri"/>
                <w:color w:val="000000"/>
              </w:rPr>
              <w:t>10:00h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r w:rsidR="00AD4FC5">
              <w:fldChar w:fldCharType="begin"/>
            </w:r>
            <w:r w:rsidR="00AD4FC5">
              <w:instrText xml:space="preserve"> HYPERLINK "https://www.gov.br/compras/pt-br" \h </w:instrText>
            </w:r>
            <w:r w:rsidR="00AD4FC5">
              <w:rPr>
                <w:sz w:val="20"/>
              </w:rPr>
              <w:fldChar w:fldCharType="separate"/>
            </w:r>
            <w:r>
              <w:rPr>
                <w:rFonts w:ascii="Calibri" w:eastAsia="Calibri" w:hAnsi="Calibri"/>
                <w:b/>
                <w:color w:val="0000FF"/>
                <w:u w:val="single"/>
              </w:rPr>
              <w:t>www.gov.br/compras</w:t>
            </w:r>
            <w:r w:rsidR="00AD4FC5">
              <w:rPr>
                <w:rFonts w:ascii="Calibri" w:eastAsia="Calibri" w:hAnsi="Calibri"/>
                <w:b/>
                <w:color w:val="0000FF"/>
                <w:u w:val="single"/>
              </w:rPr>
              <w:fldChar w:fldCharType="end"/>
            </w:r>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6144A745" w:rsidR="00007609" w:rsidRPr="008F7577" w:rsidRDefault="00D712EA">
      <w:pPr>
        <w:numPr>
          <w:ilvl w:val="1"/>
          <w:numId w:val="7"/>
        </w:numPr>
        <w:spacing w:before="120" w:after="120" w:line="276" w:lineRule="auto"/>
        <w:ind w:left="432"/>
        <w:jc w:val="both"/>
        <w:rPr>
          <w:rFonts w:cs="Arial"/>
          <w:color w:val="000000"/>
          <w:szCs w:val="20"/>
        </w:rPr>
      </w:pPr>
      <w:r w:rsidRPr="008F7577">
        <w:rPr>
          <w:rFonts w:cs="Arial"/>
          <w:color w:val="000000"/>
          <w:szCs w:val="20"/>
        </w:rPr>
        <w:t xml:space="preserve">O objeto da presente licitação é a escolha da proposta mais vantajosa para </w:t>
      </w:r>
      <w:r w:rsidR="008F7577" w:rsidRPr="008F7577">
        <w:rPr>
          <w:rFonts w:cs="Arial"/>
          <w:color w:val="000000"/>
          <w:szCs w:val="20"/>
        </w:rPr>
        <w:t xml:space="preserve">contratação, de serviços comuns, para os </w:t>
      </w:r>
      <w:r w:rsidR="008F7577" w:rsidRPr="008F7577">
        <w:rPr>
          <w:rFonts w:cs="Arial"/>
          <w:b/>
          <w:bCs/>
          <w:color w:val="000000"/>
          <w:szCs w:val="20"/>
        </w:rPr>
        <w:t>serviços de manutenção e reformas prediais de</w:t>
      </w:r>
      <w:r w:rsidR="008F7577" w:rsidRPr="008F7577">
        <w:rPr>
          <w:rFonts w:cs="Arial"/>
          <w:b/>
          <w:bCs/>
          <w:szCs w:val="20"/>
        </w:rPr>
        <w:t xml:space="preserve"> </w:t>
      </w:r>
      <w:r w:rsidR="008F7577" w:rsidRPr="008F7577">
        <w:rPr>
          <w:rFonts w:cs="Arial"/>
          <w:b/>
          <w:bCs/>
          <w:color w:val="000000"/>
          <w:szCs w:val="20"/>
        </w:rPr>
        <w:t>fornecimento e instalação de divisórias tipo painel e/ou drywall, portas completas, isolamentos</w:t>
      </w:r>
      <w:r w:rsidR="008F7577" w:rsidRPr="008F7577">
        <w:rPr>
          <w:rFonts w:cs="Arial"/>
          <w:b/>
          <w:bCs/>
          <w:szCs w:val="20"/>
        </w:rPr>
        <w:t xml:space="preserve"> </w:t>
      </w:r>
      <w:r w:rsidR="008F7577" w:rsidRPr="008F7577">
        <w:rPr>
          <w:rFonts w:cs="Arial"/>
          <w:b/>
          <w:bCs/>
          <w:color w:val="000000"/>
          <w:szCs w:val="20"/>
        </w:rPr>
        <w:t>termoacústicos, forros e vidros, destinados à reforma ou criação de novos ambientes e mobiliários</w:t>
      </w:r>
      <w:r w:rsidR="008F7577" w:rsidRPr="008F7577">
        <w:rPr>
          <w:rFonts w:cs="Arial"/>
          <w:b/>
          <w:bCs/>
          <w:szCs w:val="20"/>
        </w:rPr>
        <w:t xml:space="preserve"> </w:t>
      </w:r>
      <w:r w:rsidR="008F7577" w:rsidRPr="008F7577">
        <w:rPr>
          <w:rFonts w:cs="Arial"/>
          <w:b/>
          <w:bCs/>
          <w:color w:val="000000"/>
          <w:szCs w:val="20"/>
        </w:rPr>
        <w:t>planejados</w:t>
      </w:r>
      <w:r w:rsidR="008F7577" w:rsidRPr="008F7577">
        <w:rPr>
          <w:rFonts w:cs="Arial"/>
          <w:color w:val="000000"/>
          <w:szCs w:val="20"/>
        </w:rPr>
        <w:t xml:space="preserve"> no âmbito da Universidade Federal Fluminense, nos municípios de Niterói, Volta Redonda,</w:t>
      </w:r>
      <w:r w:rsidR="008F7577" w:rsidRPr="008F7577">
        <w:rPr>
          <w:rFonts w:cs="Arial"/>
          <w:szCs w:val="20"/>
        </w:rPr>
        <w:t xml:space="preserve"> </w:t>
      </w:r>
      <w:r w:rsidR="008F7577" w:rsidRPr="008F7577">
        <w:rPr>
          <w:rFonts w:cs="Arial"/>
          <w:color w:val="000000"/>
          <w:szCs w:val="20"/>
        </w:rPr>
        <w:t>Angra dos Reis, Petrópolis, Nova Friburgo, Cachoeiras de Macacu, Rio das Ostras, Macaé, Campos dos</w:t>
      </w:r>
      <w:r w:rsidR="008F7577" w:rsidRPr="008F7577">
        <w:rPr>
          <w:rFonts w:cs="Arial"/>
          <w:szCs w:val="20"/>
        </w:rPr>
        <w:t xml:space="preserve"> </w:t>
      </w:r>
      <w:r w:rsidR="008F7577" w:rsidRPr="008F7577">
        <w:rPr>
          <w:rFonts w:cs="Arial"/>
          <w:color w:val="000000"/>
          <w:szCs w:val="20"/>
        </w:rPr>
        <w:t>Goytacazes, Santo Antônio de Pádua, Iguaba Grande (Estado do Rio de Janeiro)</w:t>
      </w:r>
      <w:r w:rsidRPr="008F7577">
        <w:rPr>
          <w:rFonts w:cs="Arial"/>
          <w:color w:val="000000"/>
          <w:szCs w:val="20"/>
        </w:rPr>
        <w:t>, conforme condições, quantidades e exigências estabelecidas neste Edital e seus anexos.</w:t>
      </w:r>
    </w:p>
    <w:p w14:paraId="39234A9C" w14:textId="77777777"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erá realizada em único item</w:t>
      </w:r>
      <w:r>
        <w:rPr>
          <w:rFonts w:cs="Arial"/>
          <w:color w:val="000000"/>
          <w:szCs w:val="20"/>
        </w:rPr>
        <w:t>.</w:t>
      </w:r>
    </w:p>
    <w:p w14:paraId="19F2213C" w14:textId="77777777" w:rsidR="00007609" w:rsidRDefault="00D712EA">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 observadas as exigências contidas neste Edital e seus Anexos quanto às especificações do objeto.</w:t>
      </w:r>
    </w:p>
    <w:p w14:paraId="78F1B71C"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r w:rsidR="00AD4FC5">
        <w:fldChar w:fldCharType="begin"/>
      </w:r>
      <w:r w:rsidR="00AD4FC5">
        <w:instrText xml:space="preserve"> HYPERLINK "https://www.gov.br/compras/pt-br" \h </w:instrText>
      </w:r>
      <w:r w:rsidR="00AD4FC5">
        <w:fldChar w:fldCharType="separate"/>
      </w:r>
      <w:r>
        <w:rPr>
          <w:b/>
          <w:color w:val="0000FF"/>
          <w:u w:val="single"/>
        </w:rPr>
        <w:t>www.gov.br/compras</w:t>
      </w:r>
      <w:r w:rsidR="00AD4FC5">
        <w:rPr>
          <w:b/>
          <w:color w:val="0000FF"/>
          <w:u w:val="single"/>
        </w:rPr>
        <w:fldChar w:fldCharType="end"/>
      </w:r>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77777777" w:rsidR="00007609" w:rsidRDefault="00D712EA">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068FC513"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774D9E0E" w14:textId="77777777" w:rsidR="009F3A87" w:rsidRDefault="00D712EA" w:rsidP="009F3A87">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490C3277" w14:textId="77777777" w:rsidR="009F3A87" w:rsidRDefault="00D712EA" w:rsidP="009F3A87">
      <w:pPr>
        <w:numPr>
          <w:ilvl w:val="2"/>
          <w:numId w:val="9"/>
        </w:numPr>
        <w:spacing w:before="120" w:after="120" w:line="276" w:lineRule="auto"/>
        <w:ind w:firstLine="488"/>
        <w:jc w:val="both"/>
        <w:rPr>
          <w:color w:val="000000"/>
        </w:rPr>
      </w:pPr>
      <w:r w:rsidRPr="009F3A87">
        <w:rPr>
          <w:rFonts w:cs="Arial"/>
          <w:color w:val="000000"/>
          <w:szCs w:val="20"/>
        </w:rPr>
        <w:t>proibidos de participar de licitações e celebrar contratos administrativos, na forma da legislação vigente;</w:t>
      </w:r>
    </w:p>
    <w:p w14:paraId="0B8013BB" w14:textId="77777777" w:rsidR="009F3A87" w:rsidRDefault="00D712EA" w:rsidP="009F3A87">
      <w:pPr>
        <w:numPr>
          <w:ilvl w:val="2"/>
          <w:numId w:val="9"/>
        </w:numPr>
        <w:spacing w:before="120" w:after="120" w:line="276" w:lineRule="auto"/>
        <w:ind w:firstLine="488"/>
        <w:jc w:val="both"/>
        <w:rPr>
          <w:color w:val="000000"/>
        </w:rPr>
      </w:pPr>
      <w:r w:rsidRPr="009F3A87">
        <w:rPr>
          <w:rFonts w:cs="Arial"/>
          <w:color w:val="000000"/>
          <w:szCs w:val="20"/>
        </w:rPr>
        <w:t>que não atendam às condições deste Edital e seu(s) anexo(s);</w:t>
      </w:r>
    </w:p>
    <w:p w14:paraId="1E4E732C" w14:textId="77777777" w:rsidR="009F3A87" w:rsidRDefault="00D712EA" w:rsidP="009F3A87">
      <w:pPr>
        <w:numPr>
          <w:ilvl w:val="2"/>
          <w:numId w:val="9"/>
        </w:numPr>
        <w:spacing w:before="120" w:after="120" w:line="276" w:lineRule="auto"/>
        <w:ind w:firstLine="488"/>
        <w:jc w:val="both"/>
        <w:rPr>
          <w:color w:val="000000"/>
        </w:rPr>
      </w:pPr>
      <w:r w:rsidRPr="009F3A87">
        <w:rPr>
          <w:rFonts w:cs="Arial"/>
          <w:color w:val="000000"/>
          <w:szCs w:val="20"/>
        </w:rPr>
        <w:t>estrangeiros que não tenham representação legal no Brasil com poderes expressos para receber citação e responder administrativa ou judicialmente;</w:t>
      </w:r>
    </w:p>
    <w:p w14:paraId="4BF249E7" w14:textId="77777777" w:rsidR="009F3A87" w:rsidRDefault="00D712EA" w:rsidP="009F3A87">
      <w:pPr>
        <w:numPr>
          <w:ilvl w:val="2"/>
          <w:numId w:val="9"/>
        </w:numPr>
        <w:spacing w:before="120" w:after="120" w:line="276" w:lineRule="auto"/>
        <w:ind w:firstLine="488"/>
        <w:jc w:val="both"/>
        <w:rPr>
          <w:color w:val="000000"/>
        </w:rPr>
      </w:pPr>
      <w:r w:rsidRPr="009F3A87">
        <w:rPr>
          <w:rFonts w:cs="Arial"/>
          <w:color w:val="000000"/>
          <w:szCs w:val="20"/>
        </w:rPr>
        <w:t>que se enquadrem nas vedações previstas no artigo 9º da Lei nº 8.666, de 1993;</w:t>
      </w:r>
      <w:bookmarkStart w:id="1" w:name="_heading=h.gjdgxs" w:colFirst="0" w:colLast="0"/>
      <w:bookmarkEnd w:id="1"/>
    </w:p>
    <w:p w14:paraId="1905C57A" w14:textId="77777777" w:rsidR="009F3A87" w:rsidRDefault="00D712EA" w:rsidP="009F3A87">
      <w:pPr>
        <w:numPr>
          <w:ilvl w:val="2"/>
          <w:numId w:val="9"/>
        </w:numPr>
        <w:spacing w:before="120" w:after="120" w:line="276" w:lineRule="auto"/>
        <w:ind w:firstLine="488"/>
        <w:jc w:val="both"/>
        <w:rPr>
          <w:color w:val="000000"/>
        </w:rPr>
      </w:pPr>
      <w:r w:rsidRPr="009F3A87">
        <w:rPr>
          <w:rFonts w:cs="Arial"/>
          <w:color w:val="000000"/>
          <w:szCs w:val="20"/>
        </w:rPr>
        <w:t>que estejam sob falência, concurso de credores ou insolvência, em processo de dissolução ou liquidação;</w:t>
      </w:r>
    </w:p>
    <w:p w14:paraId="7E30E6BE" w14:textId="77777777" w:rsidR="009F3A87" w:rsidRDefault="00D712EA" w:rsidP="009F3A87">
      <w:pPr>
        <w:numPr>
          <w:ilvl w:val="2"/>
          <w:numId w:val="9"/>
        </w:numPr>
        <w:spacing w:before="120" w:after="120" w:line="276" w:lineRule="auto"/>
        <w:ind w:firstLine="488"/>
        <w:jc w:val="both"/>
        <w:rPr>
          <w:color w:val="000000"/>
        </w:rPr>
      </w:pPr>
      <w:r w:rsidRPr="009F3A87">
        <w:rPr>
          <w:rFonts w:cs="Arial"/>
          <w:color w:val="000000"/>
          <w:szCs w:val="20"/>
        </w:rPr>
        <w:t>entidades empresariais que estejam reunidas em consórcio;</w:t>
      </w:r>
    </w:p>
    <w:p w14:paraId="45962817" w14:textId="77777777" w:rsidR="009F3A87" w:rsidRDefault="00D712EA" w:rsidP="009F3A87">
      <w:pPr>
        <w:numPr>
          <w:ilvl w:val="2"/>
          <w:numId w:val="9"/>
        </w:numPr>
        <w:spacing w:before="120" w:after="120" w:line="276" w:lineRule="auto"/>
        <w:ind w:firstLine="488"/>
        <w:jc w:val="both"/>
        <w:rPr>
          <w:color w:val="000000"/>
        </w:rPr>
      </w:pPr>
      <w:r w:rsidRPr="009F3A87">
        <w:rPr>
          <w:rFonts w:cs="Arial"/>
          <w:color w:val="000000"/>
          <w:szCs w:val="20"/>
        </w:rPr>
        <w:t xml:space="preserve">organizações da Sociedade Civil de Interesse Público - OSCIP, atuando nessa condição (Acórdão nº 746/2014-TCU-Plenário); </w:t>
      </w:r>
    </w:p>
    <w:p w14:paraId="2121BC9C" w14:textId="77777777" w:rsidR="009F3A87" w:rsidRDefault="00D712EA" w:rsidP="009F3A87">
      <w:pPr>
        <w:numPr>
          <w:ilvl w:val="2"/>
          <w:numId w:val="9"/>
        </w:numPr>
        <w:spacing w:before="120" w:after="120" w:line="276" w:lineRule="auto"/>
        <w:ind w:firstLine="488"/>
        <w:jc w:val="both"/>
        <w:rPr>
          <w:color w:val="000000"/>
        </w:rPr>
      </w:pPr>
      <w:r w:rsidRPr="009F3A87">
        <w:rPr>
          <w:i/>
        </w:rPr>
        <w:t>instituições sem fins lucrativos (parágrafo único do art. 12 da Instrução Normativa/SEGES nº 05/2017)</w:t>
      </w:r>
      <w:bookmarkStart w:id="2" w:name="_heading=h.30j0zll" w:colFirst="0" w:colLast="0"/>
      <w:bookmarkEnd w:id="2"/>
    </w:p>
    <w:p w14:paraId="55A8671D" w14:textId="264D7D39" w:rsidR="00007609" w:rsidRPr="009F3A87" w:rsidRDefault="00D712EA" w:rsidP="009F3A87">
      <w:pPr>
        <w:numPr>
          <w:ilvl w:val="2"/>
          <w:numId w:val="9"/>
        </w:numPr>
        <w:spacing w:before="120" w:after="120" w:line="276" w:lineRule="auto"/>
        <w:ind w:firstLine="488"/>
        <w:jc w:val="both"/>
        <w:rPr>
          <w:color w:val="000000"/>
        </w:rPr>
      </w:pPr>
      <w:r w:rsidRPr="009F3A87">
        <w:rPr>
          <w:i/>
        </w:rPr>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lastRenderedPageBreak/>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6731AB95" w:rsidR="00007609" w:rsidRDefault="0011365C" w:rsidP="0011365C">
      <w:pPr>
        <w:shd w:val="clear" w:color="auto" w:fill="FFFFFF"/>
        <w:spacing w:before="119" w:after="119" w:line="276" w:lineRule="auto"/>
        <w:ind w:left="1418"/>
        <w:jc w:val="both"/>
        <w:rPr>
          <w:rFonts w:cs="Arial"/>
          <w:color w:val="003366"/>
          <w:sz w:val="18"/>
          <w:szCs w:val="18"/>
        </w:rPr>
      </w:pPr>
      <w:r>
        <w:rPr>
          <w:rFonts w:cs="Arial"/>
          <w:color w:val="000000"/>
          <w:szCs w:val="20"/>
          <w:highlight w:val="white"/>
        </w:rPr>
        <w:t>3.3.1</w:t>
      </w:r>
      <w:r>
        <w:rPr>
          <w:rFonts w:cs="Arial"/>
          <w:color w:val="000000"/>
          <w:szCs w:val="20"/>
          <w:highlight w:val="white"/>
        </w:rPr>
        <w:tab/>
      </w:r>
      <w:r w:rsidR="00D712EA">
        <w:rPr>
          <w:rFonts w:cs="Arial"/>
          <w:color w:val="000000"/>
          <w:szCs w:val="20"/>
          <w:highlight w:val="white"/>
        </w:rPr>
        <w:t>Para os fins do disposto neste item</w:t>
      </w:r>
      <w:r w:rsidR="00D712EA">
        <w:rPr>
          <w:rFonts w:cs="Arial"/>
          <w:i/>
          <w:color w:val="000000"/>
          <w:szCs w:val="20"/>
          <w:highlight w:val="white"/>
        </w:rPr>
        <w:t>,</w:t>
      </w:r>
      <w:r w:rsidR="00D712EA">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12D6DF46" w14:textId="77777777" w:rsidR="0011365C" w:rsidRDefault="00D712EA" w:rsidP="0011365C">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5840281A" w14:textId="77777777" w:rsidR="0011365C" w:rsidRPr="0011365C" w:rsidRDefault="00D712EA" w:rsidP="0011365C">
      <w:pPr>
        <w:numPr>
          <w:ilvl w:val="2"/>
          <w:numId w:val="9"/>
        </w:numPr>
        <w:spacing w:before="120" w:after="120" w:line="276" w:lineRule="auto"/>
        <w:ind w:firstLine="488"/>
        <w:jc w:val="both"/>
        <w:rPr>
          <w:color w:val="000000"/>
        </w:rPr>
      </w:pPr>
      <w:r w:rsidRPr="0011365C">
        <w:rPr>
          <w:rFonts w:cs="Arial"/>
          <w:color w:val="000000"/>
          <w:szCs w:val="20"/>
        </w:rPr>
        <w:t>que cumpre os requisitos estabelecidos no artigo 3° da Lei Complementar nº 123, de 2006, estando apto a usufruir do tratamento favorecido estabelecido em seus arts. 42 a 49.</w:t>
      </w:r>
    </w:p>
    <w:p w14:paraId="4847CBE3" w14:textId="77777777" w:rsidR="0011365C" w:rsidRDefault="0011365C" w:rsidP="0011365C">
      <w:pPr>
        <w:numPr>
          <w:ilvl w:val="3"/>
          <w:numId w:val="9"/>
        </w:numPr>
        <w:spacing w:before="120" w:after="120" w:line="276" w:lineRule="auto"/>
        <w:jc w:val="both"/>
        <w:rPr>
          <w:color w:val="000000"/>
        </w:rPr>
      </w:pPr>
      <w:r w:rsidRPr="0011365C">
        <w:rPr>
          <w:rFonts w:cs="Arial"/>
          <w:color w:val="000000"/>
          <w:szCs w:val="20"/>
        </w:rPr>
        <w:t>nos itens exclusivos para participação de microempresas e empresas de pequeno porte, a assinalação do campo “não” impedirá o prosseguimento no certame;</w:t>
      </w:r>
    </w:p>
    <w:p w14:paraId="6EB8F2CE" w14:textId="2D462C76" w:rsidR="0011365C" w:rsidRPr="0011365C" w:rsidRDefault="0011365C" w:rsidP="0011365C">
      <w:pPr>
        <w:numPr>
          <w:ilvl w:val="3"/>
          <w:numId w:val="9"/>
        </w:numPr>
        <w:spacing w:before="120" w:after="120" w:line="276" w:lineRule="auto"/>
        <w:jc w:val="both"/>
        <w:rPr>
          <w:color w:val="000000"/>
        </w:rPr>
      </w:pPr>
      <w:r w:rsidRPr="0011365C">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F31D432" w14:textId="77777777" w:rsidR="0011365C" w:rsidRDefault="00D712EA" w:rsidP="0011365C">
      <w:pPr>
        <w:numPr>
          <w:ilvl w:val="2"/>
          <w:numId w:val="9"/>
        </w:numPr>
        <w:spacing w:before="120" w:after="120" w:line="276" w:lineRule="auto"/>
        <w:ind w:firstLine="488"/>
        <w:jc w:val="both"/>
        <w:rPr>
          <w:color w:val="000000"/>
        </w:rPr>
      </w:pPr>
      <w:r w:rsidRPr="0011365C">
        <w:rPr>
          <w:rFonts w:cs="Arial"/>
          <w:color w:val="000000"/>
          <w:szCs w:val="20"/>
        </w:rPr>
        <w:t>que está ciente e concorda com as condições contidas no Edital e seus anexos;</w:t>
      </w:r>
    </w:p>
    <w:p w14:paraId="70E34257" w14:textId="77777777" w:rsidR="0011365C" w:rsidRDefault="00D712EA" w:rsidP="0011365C">
      <w:pPr>
        <w:numPr>
          <w:ilvl w:val="2"/>
          <w:numId w:val="9"/>
        </w:numPr>
        <w:spacing w:before="120" w:after="120" w:line="276" w:lineRule="auto"/>
        <w:ind w:firstLine="488"/>
        <w:jc w:val="both"/>
        <w:rPr>
          <w:color w:val="000000"/>
        </w:rPr>
      </w:pPr>
      <w:r w:rsidRPr="0011365C">
        <w:rPr>
          <w:rFonts w:cs="Arial"/>
          <w:color w:val="000000"/>
          <w:szCs w:val="20"/>
        </w:rPr>
        <w:t xml:space="preserve">que cumpre os requisitos para a habilitação definidos no Edital e que a proposta apresentada está em conformidade com as exigências editalícias; </w:t>
      </w:r>
    </w:p>
    <w:p w14:paraId="67AE5D4F" w14:textId="77777777" w:rsidR="0011365C" w:rsidRDefault="00D712EA" w:rsidP="0011365C">
      <w:pPr>
        <w:numPr>
          <w:ilvl w:val="2"/>
          <w:numId w:val="9"/>
        </w:numPr>
        <w:spacing w:before="120" w:after="120" w:line="276" w:lineRule="auto"/>
        <w:ind w:firstLine="488"/>
        <w:jc w:val="both"/>
        <w:rPr>
          <w:color w:val="000000"/>
        </w:rPr>
      </w:pPr>
      <w:r w:rsidRPr="0011365C">
        <w:rPr>
          <w:rFonts w:cs="Arial"/>
          <w:color w:val="000000"/>
          <w:szCs w:val="20"/>
        </w:rPr>
        <w:t xml:space="preserve">que inexistem fatos impeditivos para sua habilitação no certame, ciente da obrigatoriedade de declarar ocorrências posteriores; </w:t>
      </w:r>
    </w:p>
    <w:p w14:paraId="4424D885" w14:textId="77777777" w:rsidR="0011365C" w:rsidRDefault="00D712EA" w:rsidP="0011365C">
      <w:pPr>
        <w:numPr>
          <w:ilvl w:val="2"/>
          <w:numId w:val="9"/>
        </w:numPr>
        <w:spacing w:before="120" w:after="120" w:line="276" w:lineRule="auto"/>
        <w:ind w:firstLine="488"/>
        <w:jc w:val="both"/>
        <w:rPr>
          <w:color w:val="000000"/>
        </w:rPr>
      </w:pPr>
      <w:r w:rsidRPr="0011365C">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26B8F294" w14:textId="77777777" w:rsidR="0011365C" w:rsidRDefault="00D712EA" w:rsidP="0011365C">
      <w:pPr>
        <w:numPr>
          <w:ilvl w:val="2"/>
          <w:numId w:val="9"/>
        </w:numPr>
        <w:spacing w:before="120" w:after="120" w:line="276" w:lineRule="auto"/>
        <w:ind w:firstLine="488"/>
        <w:jc w:val="both"/>
        <w:rPr>
          <w:color w:val="000000"/>
        </w:rPr>
      </w:pPr>
      <w:r w:rsidRPr="0011365C">
        <w:rPr>
          <w:rFonts w:cs="Arial"/>
          <w:color w:val="000000"/>
          <w:szCs w:val="20"/>
        </w:rPr>
        <w:t>que a proposta foi elaborada de forma independente, nos termos da Instrução Normativa SLTI/MP nº 2, de 16 de setembro de 2009.</w:t>
      </w:r>
    </w:p>
    <w:p w14:paraId="53560DF7" w14:textId="77777777" w:rsidR="0011365C" w:rsidRDefault="00D712EA" w:rsidP="0011365C">
      <w:pPr>
        <w:numPr>
          <w:ilvl w:val="2"/>
          <w:numId w:val="9"/>
        </w:numPr>
        <w:spacing w:before="120" w:after="120" w:line="276" w:lineRule="auto"/>
        <w:ind w:firstLine="488"/>
        <w:jc w:val="both"/>
        <w:rPr>
          <w:color w:val="000000"/>
        </w:rPr>
      </w:pPr>
      <w:r w:rsidRPr="0011365C">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62B0C8" w14:textId="27629EF7" w:rsidR="00007609" w:rsidRPr="0011365C" w:rsidRDefault="00D712EA" w:rsidP="0011365C">
      <w:pPr>
        <w:numPr>
          <w:ilvl w:val="2"/>
          <w:numId w:val="9"/>
        </w:numPr>
        <w:spacing w:before="120" w:after="120" w:line="276" w:lineRule="auto"/>
        <w:ind w:firstLine="488"/>
        <w:jc w:val="both"/>
        <w:rPr>
          <w:color w:val="000000"/>
        </w:rPr>
      </w:pPr>
      <w:r w:rsidRPr="0011365C">
        <w:rPr>
          <w:rFonts w:cs="Arial"/>
          <w:color w:val="00000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Pr="00887CF5" w:rsidRDefault="00D712EA">
      <w:pPr>
        <w:numPr>
          <w:ilvl w:val="1"/>
          <w:numId w:val="9"/>
        </w:numPr>
        <w:spacing w:before="120" w:after="120" w:line="276" w:lineRule="auto"/>
        <w:ind w:left="425" w:firstLine="0"/>
        <w:jc w:val="both"/>
        <w:rPr>
          <w:color w:val="000000"/>
          <w:szCs w:val="20"/>
        </w:rPr>
      </w:pPr>
      <w:r w:rsidRPr="00887CF5">
        <w:rPr>
          <w:szCs w:val="20"/>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5A66DBC5" w14:textId="77777777" w:rsidR="00007609" w:rsidRDefault="00007609">
      <w:pPr>
        <w:spacing w:before="120" w:after="120" w:line="276" w:lineRule="auto"/>
        <w:ind w:left="425"/>
        <w:jc w:val="both"/>
        <w:rPr>
          <w:color w:val="000000"/>
        </w:rPr>
      </w:pP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77777777" w:rsidR="00007609" w:rsidRDefault="00D712EA">
      <w:pPr>
        <w:numPr>
          <w:ilvl w:val="2"/>
          <w:numId w:val="9"/>
        </w:numPr>
        <w:spacing w:before="120" w:after="120" w:line="276" w:lineRule="auto"/>
        <w:ind w:left="1712"/>
        <w:jc w:val="both"/>
        <w:rPr>
          <w:rFonts w:cs="Arial"/>
          <w:color w:val="000000"/>
          <w:szCs w:val="20"/>
        </w:rPr>
      </w:pPr>
      <w:r>
        <w:rPr>
          <w:iCs/>
        </w:rPr>
        <w:t>Valor unitário e total do item;</w:t>
      </w:r>
      <w:r>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lastRenderedPageBreak/>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77777777" w:rsidR="00007609" w:rsidRDefault="00D712EA">
      <w:pPr>
        <w:numPr>
          <w:ilvl w:val="2"/>
          <w:numId w:val="9"/>
        </w:numPr>
        <w:tabs>
          <w:tab w:val="left" w:pos="1440"/>
        </w:tabs>
        <w:spacing w:before="120" w:after="120" w:line="276" w:lineRule="auto"/>
        <w:ind w:left="1922"/>
        <w:jc w:val="both"/>
        <w:rPr>
          <w:b/>
          <w:bCs/>
          <w:i/>
          <w:color w:val="FF0000"/>
        </w:rPr>
      </w:pPr>
      <w:r>
        <w:rPr>
          <w:b/>
          <w:bCs/>
          <w:iCs/>
        </w:rPr>
        <w:t>O lance deverá ser ofertado pelo valor total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77777777"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Default="00D712EA">
      <w:pPr>
        <w:numPr>
          <w:ilvl w:val="1"/>
          <w:numId w:val="9"/>
        </w:numPr>
        <w:spacing w:before="120" w:after="120" w:line="276" w:lineRule="auto"/>
        <w:ind w:left="426"/>
        <w:jc w:val="both"/>
      </w:pPr>
      <w:r>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77777777" w:rsidR="00007609" w:rsidRDefault="00D712EA">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r w:rsidR="00AD4FC5">
        <w:fldChar w:fldCharType="begin"/>
      </w:r>
      <w:r w:rsidR="00AD4FC5">
        <w:instrText xml:space="preserve"> HYPERLINK "mailto:cpl@id.uff.br" </w:instrText>
      </w:r>
      <w:r w:rsidR="00AD4FC5">
        <w:fldChar w:fldCharType="separate"/>
      </w:r>
      <w:r w:rsidRPr="00ED561D">
        <w:rPr>
          <w:color w:val="000000"/>
        </w:rPr>
        <w:t>cpl@id.uff.br</w:t>
      </w:r>
      <w:r w:rsidR="00AD4FC5">
        <w:rPr>
          <w:color w:val="000000"/>
        </w:rPr>
        <w:fldChar w:fldCharType="end"/>
      </w:r>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5E531F40" w14:textId="77777777" w:rsidR="00DC758E" w:rsidRDefault="00D712EA" w:rsidP="00DC758E">
      <w:pPr>
        <w:keepNext/>
        <w:keepLines/>
        <w:numPr>
          <w:ilvl w:val="0"/>
          <w:numId w:val="10"/>
        </w:numPr>
        <w:spacing w:before="480" w:after="120" w:line="276" w:lineRule="auto"/>
        <w:ind w:right="-15"/>
        <w:jc w:val="both"/>
      </w:pPr>
      <w:r>
        <w:rPr>
          <w:rFonts w:cs="Arial"/>
          <w:b/>
          <w:color w:val="000000"/>
          <w:szCs w:val="20"/>
        </w:rPr>
        <w:t>DA ACEITABILIDADEDA PROPOSTA VENCEDORA.</w:t>
      </w:r>
    </w:p>
    <w:p w14:paraId="3709D2A9" w14:textId="77777777" w:rsidR="001F3F97" w:rsidRPr="001F3F97" w:rsidRDefault="00D712EA" w:rsidP="001F3F97">
      <w:pPr>
        <w:pStyle w:val="ListParagraph"/>
        <w:keepNext/>
        <w:keepLines/>
        <w:numPr>
          <w:ilvl w:val="1"/>
          <w:numId w:val="14"/>
        </w:numPr>
        <w:spacing w:before="480" w:after="120" w:line="276" w:lineRule="auto"/>
        <w:ind w:right="-15" w:firstLine="66"/>
        <w:jc w:val="both"/>
      </w:pPr>
      <w:r w:rsidRPr="001F3F97">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67C14D1" w14:textId="77777777" w:rsidR="001F3F97" w:rsidRPr="001F3F97" w:rsidRDefault="001F3F97" w:rsidP="001F3F97">
      <w:pPr>
        <w:pStyle w:val="ListParagraph"/>
        <w:keepNext/>
        <w:keepLines/>
        <w:spacing w:before="480" w:after="120" w:line="276" w:lineRule="auto"/>
        <w:ind w:left="426" w:right="-15"/>
        <w:jc w:val="both"/>
      </w:pPr>
    </w:p>
    <w:p w14:paraId="52879155" w14:textId="77777777" w:rsidR="001F3F97" w:rsidRPr="001F3F97" w:rsidRDefault="00D712EA" w:rsidP="001F3F97">
      <w:pPr>
        <w:pStyle w:val="ListParagraph"/>
        <w:keepNext/>
        <w:keepLines/>
        <w:numPr>
          <w:ilvl w:val="1"/>
          <w:numId w:val="14"/>
        </w:numPr>
        <w:spacing w:before="480" w:after="120" w:line="276" w:lineRule="auto"/>
        <w:ind w:right="-15" w:firstLine="66"/>
        <w:jc w:val="both"/>
      </w:pPr>
      <w:r w:rsidRPr="001F3F97">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51B155F4" w14:textId="77777777" w:rsidR="001F3F97" w:rsidRPr="001F3F97" w:rsidRDefault="001F3F97" w:rsidP="001F3F97">
      <w:pPr>
        <w:pStyle w:val="ListParagraph"/>
        <w:rPr>
          <w:rFonts w:cs="Arial"/>
          <w:color w:val="000000"/>
          <w:szCs w:val="20"/>
        </w:rPr>
      </w:pPr>
    </w:p>
    <w:p w14:paraId="2E097618" w14:textId="77777777" w:rsidR="001F3F97" w:rsidRPr="001F3F97" w:rsidRDefault="00D712EA" w:rsidP="001F3F97">
      <w:pPr>
        <w:pStyle w:val="ListParagraph"/>
        <w:keepNext/>
        <w:keepLines/>
        <w:numPr>
          <w:ilvl w:val="1"/>
          <w:numId w:val="14"/>
        </w:numPr>
        <w:spacing w:before="480" w:after="120" w:line="276" w:lineRule="auto"/>
        <w:ind w:right="-15" w:firstLine="66"/>
        <w:jc w:val="both"/>
      </w:pPr>
      <w:r w:rsidRPr="001F3F97">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09A23182" w14:textId="77777777" w:rsidR="001F3F97" w:rsidRPr="001F3F97" w:rsidRDefault="001F3F97" w:rsidP="001F3F97">
      <w:pPr>
        <w:pStyle w:val="ListParagraph"/>
        <w:rPr>
          <w:color w:val="000000"/>
        </w:rPr>
      </w:pPr>
    </w:p>
    <w:p w14:paraId="19E41DF8" w14:textId="77777777" w:rsidR="001C20FB" w:rsidRPr="001C20FB" w:rsidRDefault="00D712EA" w:rsidP="001C20FB">
      <w:pPr>
        <w:pStyle w:val="ListParagraph"/>
        <w:keepNext/>
        <w:keepLines/>
        <w:numPr>
          <w:ilvl w:val="1"/>
          <w:numId w:val="14"/>
        </w:numPr>
        <w:spacing w:before="480" w:after="120" w:line="276" w:lineRule="auto"/>
        <w:ind w:right="-15" w:firstLine="66"/>
        <w:jc w:val="both"/>
      </w:pPr>
      <w:r w:rsidRPr="001F3F97">
        <w:rPr>
          <w:color w:val="000000"/>
        </w:rPr>
        <w:t xml:space="preserve">Será desclassificada a proposta ou o lance vencedor, nos termos do item 9.1 do Anexo VII-A da In SEGES/MP n. 5/2017, que: </w:t>
      </w:r>
    </w:p>
    <w:p w14:paraId="43750201" w14:textId="77777777" w:rsidR="001C20FB" w:rsidRPr="001C20FB" w:rsidRDefault="001C20FB" w:rsidP="001C20FB">
      <w:pPr>
        <w:pStyle w:val="ListParagraph"/>
        <w:rPr>
          <w:color w:val="000000"/>
        </w:rPr>
      </w:pPr>
    </w:p>
    <w:p w14:paraId="4D58E7EF" w14:textId="77777777" w:rsidR="001C20FB" w:rsidRPr="001C20FB" w:rsidRDefault="00D712EA" w:rsidP="001C20FB">
      <w:pPr>
        <w:pStyle w:val="ListParagraph"/>
        <w:keepNext/>
        <w:keepLines/>
        <w:numPr>
          <w:ilvl w:val="2"/>
          <w:numId w:val="14"/>
        </w:numPr>
        <w:spacing w:before="480" w:after="120" w:line="276" w:lineRule="auto"/>
        <w:ind w:right="-15" w:firstLine="414"/>
        <w:jc w:val="both"/>
      </w:pPr>
      <w:r w:rsidRPr="001C20FB">
        <w:rPr>
          <w:color w:val="000000"/>
        </w:rPr>
        <w:t>não estiver em conformidade com os requisitos estabelecidos neste edital;</w:t>
      </w:r>
    </w:p>
    <w:p w14:paraId="6DF7CEF1" w14:textId="77777777" w:rsidR="001C20FB" w:rsidRPr="001C20FB" w:rsidRDefault="001C20FB" w:rsidP="001C20FB">
      <w:pPr>
        <w:pStyle w:val="ListParagraph"/>
        <w:keepNext/>
        <w:keepLines/>
        <w:spacing w:before="480" w:after="120" w:line="276" w:lineRule="auto"/>
        <w:ind w:left="1134" w:right="-15"/>
        <w:jc w:val="both"/>
      </w:pPr>
    </w:p>
    <w:p w14:paraId="38734127" w14:textId="77777777" w:rsidR="001C20FB" w:rsidRPr="001C20FB" w:rsidRDefault="00D712EA" w:rsidP="001C20FB">
      <w:pPr>
        <w:pStyle w:val="ListParagraph"/>
        <w:keepNext/>
        <w:keepLines/>
        <w:numPr>
          <w:ilvl w:val="2"/>
          <w:numId w:val="14"/>
        </w:numPr>
        <w:spacing w:before="480" w:after="120" w:line="276" w:lineRule="auto"/>
        <w:ind w:right="-15" w:firstLine="414"/>
        <w:jc w:val="both"/>
      </w:pPr>
      <w:r w:rsidRPr="001C20FB">
        <w:rPr>
          <w:color w:val="000000"/>
        </w:rPr>
        <w:t>contenha vício insanável ou ilegalidade;</w:t>
      </w:r>
    </w:p>
    <w:p w14:paraId="1BE20BAD" w14:textId="77777777" w:rsidR="001C20FB" w:rsidRPr="001C20FB" w:rsidRDefault="001C20FB" w:rsidP="001C20FB">
      <w:pPr>
        <w:pStyle w:val="ListParagraph"/>
        <w:rPr>
          <w:color w:val="000000"/>
        </w:rPr>
      </w:pPr>
    </w:p>
    <w:p w14:paraId="345F685C" w14:textId="77777777" w:rsidR="001C20FB" w:rsidRPr="001C20FB" w:rsidRDefault="00D712EA" w:rsidP="001C20FB">
      <w:pPr>
        <w:pStyle w:val="ListParagraph"/>
        <w:keepNext/>
        <w:keepLines/>
        <w:numPr>
          <w:ilvl w:val="2"/>
          <w:numId w:val="14"/>
        </w:numPr>
        <w:spacing w:before="480" w:after="120" w:line="276" w:lineRule="auto"/>
        <w:ind w:right="-15" w:firstLine="414"/>
        <w:jc w:val="both"/>
      </w:pPr>
      <w:r w:rsidRPr="001C20FB">
        <w:rPr>
          <w:color w:val="000000"/>
        </w:rPr>
        <w:t>não apresente as especificações técnicas exigidas pelo Termo de Referência;</w:t>
      </w:r>
    </w:p>
    <w:p w14:paraId="0DA406A8" w14:textId="77777777" w:rsidR="001C20FB" w:rsidRPr="001C20FB" w:rsidRDefault="001C20FB" w:rsidP="001C20FB">
      <w:pPr>
        <w:pStyle w:val="ListParagraph"/>
        <w:rPr>
          <w:color w:val="000000"/>
        </w:rPr>
      </w:pPr>
    </w:p>
    <w:p w14:paraId="08D88A4E" w14:textId="77777777" w:rsidR="001C20FB" w:rsidRPr="001C20FB" w:rsidRDefault="00D712EA" w:rsidP="001C20FB">
      <w:pPr>
        <w:pStyle w:val="ListParagraph"/>
        <w:keepNext/>
        <w:keepLines/>
        <w:numPr>
          <w:ilvl w:val="2"/>
          <w:numId w:val="14"/>
        </w:numPr>
        <w:spacing w:before="480" w:after="120" w:line="276" w:lineRule="auto"/>
        <w:ind w:right="-15" w:firstLine="414"/>
        <w:jc w:val="both"/>
      </w:pPr>
      <w:r w:rsidRPr="001C20FB">
        <w:rPr>
          <w:color w:val="000000"/>
        </w:rPr>
        <w:t xml:space="preserve">apresentar preço final superior ao preço máximo fixado (Acórdão nº 1455/2018 -TCU - Plenário), percentual de desconto inferior ao mínimo exigido, ou que apresentar preço manifestamente inexequível;. </w:t>
      </w:r>
    </w:p>
    <w:p w14:paraId="5738D2E4" w14:textId="77777777" w:rsidR="001C20FB" w:rsidRDefault="001C20FB" w:rsidP="001C20FB">
      <w:pPr>
        <w:pStyle w:val="ListParagraph"/>
      </w:pPr>
    </w:p>
    <w:p w14:paraId="50AB5FD6" w14:textId="77777777" w:rsidR="001C20FB" w:rsidRDefault="00D712EA" w:rsidP="001C20FB">
      <w:pPr>
        <w:pStyle w:val="ListParagraph"/>
        <w:keepNext/>
        <w:keepLines/>
        <w:numPr>
          <w:ilvl w:val="3"/>
          <w:numId w:val="14"/>
        </w:numPr>
        <w:spacing w:before="480" w:after="120" w:line="276" w:lineRule="auto"/>
        <w:ind w:right="-15" w:firstLine="1123"/>
        <w:jc w:val="both"/>
      </w:pPr>
      <w:r>
        <w:t>Quando o licitante não conseguir comprovar que possui ou possuirá recursos suficientes para executar a contento o objeto, será considerada inexequível a proposta de preços ou menor lance que:</w:t>
      </w:r>
    </w:p>
    <w:p w14:paraId="72E61166" w14:textId="77777777" w:rsidR="001C20FB" w:rsidRDefault="00D712EA" w:rsidP="001C20FB">
      <w:pPr>
        <w:pStyle w:val="ListParagraph"/>
        <w:keepNext/>
        <w:keepLines/>
        <w:numPr>
          <w:ilvl w:val="4"/>
          <w:numId w:val="14"/>
        </w:numPr>
        <w:spacing w:before="480" w:after="120" w:line="276" w:lineRule="auto"/>
        <w:ind w:right="-15" w:firstLine="1755"/>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F366B3D" w:rsidR="00007609" w:rsidRDefault="00D712EA" w:rsidP="001C20FB">
      <w:pPr>
        <w:pStyle w:val="ListParagraph"/>
        <w:keepNext/>
        <w:keepLines/>
        <w:numPr>
          <w:ilvl w:val="4"/>
          <w:numId w:val="14"/>
        </w:numPr>
        <w:spacing w:before="480" w:after="120" w:line="276" w:lineRule="auto"/>
        <w:ind w:right="-15" w:firstLine="1755"/>
        <w:jc w:val="both"/>
      </w:pPr>
      <w:r>
        <w:t>apresentar</w:t>
      </w:r>
      <w:r w:rsidRPr="001C20FB">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04488E3A" w14:textId="77777777" w:rsidR="001C20FB" w:rsidRDefault="001C20FB" w:rsidP="001C20FB">
      <w:pPr>
        <w:numPr>
          <w:ilvl w:val="1"/>
          <w:numId w:val="10"/>
        </w:numPr>
        <w:spacing w:line="276" w:lineRule="auto"/>
        <w:ind w:right="-15" w:hanging="290"/>
        <w:jc w:val="both"/>
        <w:rPr>
          <w:rFonts w:cs="Arial"/>
          <w:color w:val="000000"/>
          <w:szCs w:val="20"/>
        </w:rPr>
      </w:pPr>
      <w:r>
        <w:rPr>
          <w:rFonts w:cs="Arial"/>
          <w:color w:val="000000"/>
          <w:szCs w:val="20"/>
        </w:rPr>
        <w:t xml:space="preserve"> </w:t>
      </w:r>
      <w:r w:rsidR="00D712EA">
        <w:rPr>
          <w:rFonts w:cs="Arial"/>
          <w:color w:val="000000"/>
          <w:szCs w:val="20"/>
        </w:rPr>
        <w:t xml:space="preserve">Se houver indícios de inexequibilidade da proposta de preço, ou em caso da necessidade de esclarecimentos complementares, poderão ser efetuadas diligências, na forma do § 3° do artigo 43 </w:t>
      </w:r>
      <w:r w:rsidR="00D712EA">
        <w:rPr>
          <w:rFonts w:cs="Arial"/>
          <w:color w:val="000000"/>
          <w:szCs w:val="20"/>
        </w:rPr>
        <w:lastRenderedPageBreak/>
        <w:t>da Lei n° 8.666, de 1993 e a exemplo das enumeradas no item 9.4 do Anexo VII-A da IN SEGES/MP N. 5, de 2017, para que a empresa comprove a exequibilidade da proposta.</w:t>
      </w:r>
    </w:p>
    <w:p w14:paraId="7E47A1A2" w14:textId="77777777" w:rsidR="001C20FB" w:rsidRDefault="001C20FB" w:rsidP="001C20FB">
      <w:pPr>
        <w:spacing w:line="276" w:lineRule="auto"/>
        <w:ind w:left="716" w:right="-15"/>
        <w:jc w:val="both"/>
        <w:rPr>
          <w:rFonts w:cs="Arial"/>
          <w:color w:val="000000"/>
          <w:szCs w:val="20"/>
        </w:rPr>
      </w:pPr>
    </w:p>
    <w:p w14:paraId="55AC2525" w14:textId="4D281083" w:rsidR="001C20FB" w:rsidRDefault="00D712EA" w:rsidP="001C20FB">
      <w:pPr>
        <w:pStyle w:val="ListParagraph"/>
        <w:numPr>
          <w:ilvl w:val="1"/>
          <w:numId w:val="15"/>
        </w:numPr>
        <w:spacing w:line="276" w:lineRule="auto"/>
        <w:ind w:right="-15"/>
        <w:jc w:val="both"/>
        <w:rPr>
          <w:rFonts w:cs="Arial"/>
          <w:color w:val="000000"/>
          <w:szCs w:val="20"/>
        </w:rPr>
      </w:pPr>
      <w:r w:rsidRPr="001C20FB">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A34114F" w14:textId="77777777" w:rsidR="001C20FB" w:rsidRDefault="001C20FB" w:rsidP="001C20FB">
      <w:pPr>
        <w:pStyle w:val="ListParagraph"/>
        <w:spacing w:line="276" w:lineRule="auto"/>
        <w:ind w:right="-15"/>
        <w:jc w:val="both"/>
        <w:rPr>
          <w:rFonts w:cs="Arial"/>
          <w:color w:val="000000"/>
          <w:szCs w:val="20"/>
        </w:rPr>
      </w:pPr>
    </w:p>
    <w:p w14:paraId="13CC8A32" w14:textId="77777777" w:rsidR="001C20FB" w:rsidRDefault="00D712EA" w:rsidP="001C20FB">
      <w:pPr>
        <w:pStyle w:val="ListParagraph"/>
        <w:numPr>
          <w:ilvl w:val="1"/>
          <w:numId w:val="15"/>
        </w:numPr>
        <w:spacing w:line="276" w:lineRule="auto"/>
        <w:ind w:right="-15"/>
        <w:jc w:val="both"/>
        <w:rPr>
          <w:rFonts w:cs="Arial"/>
          <w:color w:val="000000"/>
          <w:szCs w:val="20"/>
        </w:rPr>
      </w:pPr>
      <w:r w:rsidRPr="001C20FB">
        <w:rPr>
          <w:rFonts w:cs="Arial"/>
          <w:color w:val="000000"/>
          <w:szCs w:val="20"/>
        </w:rPr>
        <w:t>Qualquer interessado poderá requerer que se realizem diligências para aferir a exequibilidade e a legalidade das propostas, devendo apresentar as provas ou os indícios que fundamentam a suspeita.</w:t>
      </w:r>
    </w:p>
    <w:p w14:paraId="770FEBA8" w14:textId="77777777" w:rsidR="001C20FB" w:rsidRPr="001C20FB" w:rsidRDefault="001C20FB" w:rsidP="001C20FB">
      <w:pPr>
        <w:pStyle w:val="ListParagraph"/>
        <w:rPr>
          <w:color w:val="000000"/>
        </w:rPr>
      </w:pPr>
    </w:p>
    <w:p w14:paraId="40085392" w14:textId="28DE6686" w:rsidR="00007609" w:rsidRPr="001C20FB" w:rsidRDefault="00D712EA" w:rsidP="001C20FB">
      <w:pPr>
        <w:pStyle w:val="ListParagraph"/>
        <w:numPr>
          <w:ilvl w:val="2"/>
          <w:numId w:val="15"/>
        </w:numPr>
        <w:spacing w:line="276" w:lineRule="auto"/>
        <w:ind w:right="-15"/>
        <w:jc w:val="both"/>
        <w:rPr>
          <w:rFonts w:cs="Arial"/>
          <w:color w:val="000000"/>
          <w:szCs w:val="20"/>
        </w:rPr>
      </w:pPr>
      <w:r w:rsidRPr="001C20FB">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F219DE7" w14:textId="77777777" w:rsidR="001C20FB" w:rsidRDefault="00D712EA" w:rsidP="001C20FB">
      <w:pPr>
        <w:numPr>
          <w:ilvl w:val="1"/>
          <w:numId w:val="15"/>
        </w:numPr>
        <w:spacing w:line="276" w:lineRule="auto"/>
        <w:ind w:left="432" w:right="-15" w:hanging="148"/>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5208230B" w14:textId="77777777" w:rsidR="001C20FB" w:rsidRDefault="001C20FB" w:rsidP="001C20FB">
      <w:pPr>
        <w:spacing w:line="276" w:lineRule="auto"/>
        <w:ind w:left="432" w:right="-15"/>
        <w:jc w:val="both"/>
        <w:rPr>
          <w:rFonts w:cs="Arial"/>
          <w:color w:val="000000"/>
          <w:szCs w:val="20"/>
        </w:rPr>
      </w:pPr>
    </w:p>
    <w:p w14:paraId="453F062B" w14:textId="77777777" w:rsidR="001C20FB" w:rsidRDefault="00D712EA" w:rsidP="001C20FB">
      <w:pPr>
        <w:numPr>
          <w:ilvl w:val="2"/>
          <w:numId w:val="15"/>
        </w:numPr>
        <w:spacing w:line="276" w:lineRule="auto"/>
        <w:ind w:right="-15"/>
        <w:jc w:val="both"/>
        <w:rPr>
          <w:rFonts w:cs="Arial"/>
          <w:color w:val="000000"/>
          <w:szCs w:val="20"/>
        </w:rPr>
      </w:pPr>
      <w:r w:rsidRPr="001C20FB">
        <w:rPr>
          <w:rFonts w:cs="Arial"/>
          <w:color w:val="000000"/>
          <w:szCs w:val="20"/>
        </w:rPr>
        <w:t>É facultado ao pregoeiro prorrogar o prazo estabelecido, a partir de solicitação fundamentada feita no chat pelo licitante, antes de findo o prazo</w:t>
      </w:r>
      <w:bookmarkStart w:id="3" w:name="_heading=h.3znysh7" w:colFirst="0" w:colLast="0"/>
      <w:bookmarkEnd w:id="3"/>
    </w:p>
    <w:p w14:paraId="604D2B11" w14:textId="1DDC8B98" w:rsidR="00007609" w:rsidRPr="001C20FB" w:rsidRDefault="00D712EA" w:rsidP="001C20FB">
      <w:pPr>
        <w:numPr>
          <w:ilvl w:val="2"/>
          <w:numId w:val="15"/>
        </w:numPr>
        <w:spacing w:line="276" w:lineRule="auto"/>
        <w:ind w:right="-15"/>
        <w:jc w:val="both"/>
        <w:rPr>
          <w:rFonts w:cs="Arial"/>
          <w:color w:val="000000"/>
          <w:szCs w:val="20"/>
        </w:rPr>
      </w:pPr>
      <w:r w:rsidRPr="001C20FB">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rsidP="001C20FB">
      <w:pPr>
        <w:numPr>
          <w:ilvl w:val="1"/>
          <w:numId w:val="11"/>
        </w:numPr>
        <w:spacing w:line="276" w:lineRule="auto"/>
        <w:ind w:right="-15" w:hanging="1023"/>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rsidP="001C20FB">
      <w:pPr>
        <w:numPr>
          <w:ilvl w:val="1"/>
          <w:numId w:val="11"/>
        </w:numPr>
        <w:spacing w:after="120" w:line="276" w:lineRule="auto"/>
        <w:ind w:right="-15" w:hanging="1023"/>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rsidP="001C20FB">
      <w:pPr>
        <w:numPr>
          <w:ilvl w:val="1"/>
          <w:numId w:val="11"/>
        </w:numPr>
        <w:shd w:val="clear" w:color="auto" w:fill="FFFFFF"/>
        <w:spacing w:before="120" w:after="120" w:line="276" w:lineRule="auto"/>
        <w:ind w:hanging="1023"/>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14:paraId="2BE642CA" w14:textId="77777777" w:rsidR="00007609" w:rsidRDefault="00D712EA" w:rsidP="001779AF">
      <w:pPr>
        <w:numPr>
          <w:ilvl w:val="1"/>
          <w:numId w:val="11"/>
        </w:numPr>
        <w:spacing w:before="120" w:line="276" w:lineRule="auto"/>
        <w:ind w:right="-15" w:hanging="1023"/>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rsidP="001779AF">
      <w:pPr>
        <w:numPr>
          <w:ilvl w:val="1"/>
          <w:numId w:val="11"/>
        </w:numPr>
        <w:spacing w:line="276" w:lineRule="auto"/>
        <w:ind w:right="-15" w:hanging="1023"/>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rsidP="001779AF">
      <w:pPr>
        <w:numPr>
          <w:ilvl w:val="1"/>
          <w:numId w:val="11"/>
        </w:numPr>
        <w:spacing w:line="276" w:lineRule="auto"/>
        <w:ind w:right="-15" w:hanging="1023"/>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rsidP="001779AF">
      <w:pPr>
        <w:numPr>
          <w:ilvl w:val="1"/>
          <w:numId w:val="11"/>
        </w:numPr>
        <w:spacing w:line="276" w:lineRule="auto"/>
        <w:ind w:right="-15" w:hanging="1023"/>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F056D66" w14:textId="77777777" w:rsidR="00007609" w:rsidRDefault="00D712EA" w:rsidP="001779AF">
      <w:pPr>
        <w:numPr>
          <w:ilvl w:val="1"/>
          <w:numId w:val="11"/>
        </w:numPr>
        <w:spacing w:after="120" w:line="276" w:lineRule="auto"/>
        <w:ind w:right="-15" w:hanging="1023"/>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2">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3">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lastRenderedPageBreak/>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ListParagraph"/>
        <w:rPr>
          <w:rFonts w:cs="Arial"/>
          <w:b/>
          <w:color w:val="000000"/>
          <w:szCs w:val="20"/>
        </w:rPr>
      </w:pPr>
    </w:p>
    <w:p w14:paraId="12AA94C7" w14:textId="77777777" w:rsidR="00007609" w:rsidRDefault="00D712EA" w:rsidP="00464C98">
      <w:pPr>
        <w:numPr>
          <w:ilvl w:val="1"/>
          <w:numId w:val="12"/>
        </w:numPr>
        <w:spacing w:before="120" w:after="120" w:line="276" w:lineRule="auto"/>
        <w:ind w:hanging="861"/>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w:t>
      </w:r>
      <w:r>
        <w:lastRenderedPageBreak/>
        <w:t>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lastRenderedPageBreak/>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77777777" w:rsidR="00007609" w:rsidRDefault="00D712EA">
      <w:pPr>
        <w:numPr>
          <w:ilvl w:val="2"/>
          <w:numId w:val="12"/>
        </w:numPr>
        <w:spacing w:before="120" w:after="120" w:line="276" w:lineRule="auto"/>
        <w:jc w:val="both"/>
        <w:rPr>
          <w:rFonts w:cs="Arial"/>
          <w:color w:val="000000"/>
          <w:szCs w:val="20"/>
        </w:rPr>
      </w:pPr>
      <w:bookmarkStart w:id="5" w:name="_heading=h.3dy6vkm" w:colFirst="0" w:colLast="0"/>
      <w:bookmarkEnd w:id="5"/>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7CFF77D3" w14:textId="6062732B" w:rsidR="00E267FD" w:rsidRPr="00E267FD" w:rsidRDefault="00E267FD" w:rsidP="00E267FD">
      <w:pPr>
        <w:numPr>
          <w:ilvl w:val="3"/>
          <w:numId w:val="12"/>
        </w:numPr>
        <w:spacing w:before="120" w:after="120" w:line="276" w:lineRule="auto"/>
        <w:ind w:hanging="720"/>
        <w:jc w:val="both"/>
        <w:rPr>
          <w:b/>
          <w:bCs/>
          <w:color w:val="000000"/>
        </w:rPr>
      </w:pPr>
      <w:r w:rsidRPr="00E267FD">
        <w:rPr>
          <w:color w:val="000000"/>
          <w:lang w:eastAsia="zh-CN"/>
        </w:rPr>
        <w:t>O licitante deverá apresentar, no mínimo, 01 (um) Atestado de Capacidade Técnica em papel</w:t>
      </w:r>
      <w:r>
        <w:rPr>
          <w:color w:val="000000"/>
          <w:lang w:eastAsia="zh-CN"/>
        </w:rPr>
        <w:t xml:space="preserve"> </w:t>
      </w:r>
      <w:r w:rsidRPr="00E267FD">
        <w:rPr>
          <w:color w:val="000000"/>
          <w:lang w:eastAsia="zh-CN"/>
        </w:rPr>
        <w:t>timbrado e identificação do emitente, firmado por pessoas jurídicas de direito público ou privado, para as</w:t>
      </w:r>
      <w:r>
        <w:rPr>
          <w:color w:val="000000"/>
          <w:lang w:eastAsia="zh-CN"/>
        </w:rPr>
        <w:t xml:space="preserve"> </w:t>
      </w:r>
      <w:r w:rsidRPr="00E267FD">
        <w:rPr>
          <w:color w:val="000000"/>
          <w:lang w:eastAsia="zh-CN"/>
        </w:rPr>
        <w:t xml:space="preserve">quais tenha prestado serviços equivalentes aos do objeto desta Licitação instalação de </w:t>
      </w:r>
      <w:r w:rsidRPr="00E267FD">
        <w:rPr>
          <w:b/>
          <w:bCs/>
          <w:color w:val="000000"/>
          <w:lang w:eastAsia="zh-CN"/>
        </w:rPr>
        <w:t>divisórias com pelo menos 1000 (hum mil) m2 de divisórias (qualquer tipo)</w:t>
      </w:r>
      <w:r w:rsidRPr="00E267FD">
        <w:rPr>
          <w:color w:val="000000"/>
          <w:lang w:eastAsia="zh-CN"/>
        </w:rPr>
        <w:t xml:space="preserve"> constantes no item em disputa.</w:t>
      </w:r>
    </w:p>
    <w:p w14:paraId="1405F5BA" w14:textId="77777777" w:rsidR="00007609" w:rsidRDefault="00D712EA">
      <w:pPr>
        <w:numPr>
          <w:ilvl w:val="3"/>
          <w:numId w:val="12"/>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43B08C67" w14:textId="77777777" w:rsidR="00007609" w:rsidRDefault="00D712EA">
      <w:pPr>
        <w:numPr>
          <w:ilvl w:val="3"/>
          <w:numId w:val="12"/>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67072F38" w14:textId="77777777" w:rsidR="00007609" w:rsidRDefault="00D712EA">
      <w:pPr>
        <w:numPr>
          <w:ilvl w:val="3"/>
          <w:numId w:val="12"/>
        </w:numPr>
        <w:spacing w:before="120" w:after="120" w:line="276" w:lineRule="auto"/>
        <w:ind w:hanging="720"/>
        <w:jc w:val="both"/>
        <w:rPr>
          <w:iCs/>
        </w:rPr>
      </w:pPr>
      <w:bookmarkStart w:id="7" w:name="_heading=h.4d34og8" w:colFirst="0" w:colLast="0"/>
      <w:bookmarkEnd w:id="7"/>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19AB7573" w14:textId="618E7638"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315A2241" w14:textId="77777777" w:rsidR="00B25B6B" w:rsidRDefault="00B25B6B" w:rsidP="00B25B6B">
      <w:pPr>
        <w:spacing w:before="120" w:after="120" w:line="276" w:lineRule="auto"/>
        <w:ind w:left="2751"/>
        <w:jc w:val="both"/>
      </w:pPr>
    </w:p>
    <w:p w14:paraId="61C58B27" w14:textId="77777777" w:rsidR="00007609" w:rsidRDefault="00D712EA">
      <w:pPr>
        <w:numPr>
          <w:ilvl w:val="2"/>
          <w:numId w:val="12"/>
        </w:numPr>
        <w:spacing w:before="120" w:after="120" w:line="276" w:lineRule="auto"/>
        <w:jc w:val="both"/>
        <w:rPr>
          <w:b/>
          <w:bCs/>
          <w:u w:val="single"/>
        </w:rPr>
      </w:pPr>
      <w:r>
        <w:rPr>
          <w:b/>
          <w:bCs/>
          <w:u w:val="single"/>
          <w:lang w:val="en-US" w:eastAsia="zh-CN"/>
        </w:rPr>
        <w:t xml:space="preserve">Para </w:t>
      </w:r>
      <w:proofErr w:type="spellStart"/>
      <w:r>
        <w:rPr>
          <w:b/>
          <w:bCs/>
          <w:u w:val="single"/>
          <w:lang w:val="en-US" w:eastAsia="zh-CN"/>
        </w:rPr>
        <w:t>Qualificação</w:t>
      </w:r>
      <w:proofErr w:type="spellEnd"/>
      <w:r>
        <w:rPr>
          <w:b/>
          <w:bCs/>
          <w:u w:val="single"/>
          <w:lang w:val="en-US" w:eastAsia="zh-CN"/>
        </w:rPr>
        <w:t xml:space="preserve"> </w:t>
      </w:r>
      <w:proofErr w:type="spellStart"/>
      <w:r>
        <w:rPr>
          <w:b/>
          <w:bCs/>
          <w:u w:val="single"/>
          <w:lang w:val="en-US" w:eastAsia="zh-CN"/>
        </w:rPr>
        <w:t>Técnico-Operacional</w:t>
      </w:r>
      <w:proofErr w:type="spellEnd"/>
      <w:r>
        <w:rPr>
          <w:b/>
          <w:bCs/>
          <w:u w:val="single"/>
          <w:lang w:val="en-US" w:eastAsia="zh-CN"/>
        </w:rPr>
        <w:t>:</w:t>
      </w:r>
    </w:p>
    <w:p w14:paraId="1AA1F8D8" w14:textId="72EE6B89" w:rsidR="001669EC" w:rsidRDefault="001669EC" w:rsidP="001669EC">
      <w:pPr>
        <w:numPr>
          <w:ilvl w:val="3"/>
          <w:numId w:val="12"/>
        </w:numPr>
        <w:spacing w:before="120" w:after="120" w:line="276" w:lineRule="auto"/>
        <w:ind w:hanging="720"/>
        <w:jc w:val="both"/>
      </w:pPr>
      <w:r>
        <w:t xml:space="preserve">Apresentar </w:t>
      </w:r>
      <w:r w:rsidRPr="00615E99">
        <w:rPr>
          <w:b/>
          <w:bCs/>
        </w:rPr>
        <w:t>certidão expedida pelo Conselho Regional de Engenharia e Agronomia (CREA), ou Conselho Regional de Arquitetura (CAU) ou no Conselho Regional de Técnicos Industriais (CRT</w:t>
      </w:r>
      <w:r w:rsidRPr="001669EC">
        <w:t>), em plena</w:t>
      </w:r>
      <w:r>
        <w:t xml:space="preserve"> </w:t>
      </w:r>
      <w:r w:rsidRPr="001669EC">
        <w:t>validade, constando o registro ou inscrição da empresa individual ou pessoa jurídica no respectivo</w:t>
      </w:r>
      <w:r>
        <w:t xml:space="preserve"> </w:t>
      </w:r>
      <w:r w:rsidRPr="001669EC">
        <w:t>conselho do domicílio ou sede da licitante, no ramo de atividade objeto da presente licitação,</w:t>
      </w:r>
      <w:r>
        <w:t xml:space="preserve"> </w:t>
      </w:r>
      <w:r w:rsidRPr="001669EC">
        <w:t>conforme as áreas de atuação previstas no Termo de Referência;</w:t>
      </w:r>
    </w:p>
    <w:p w14:paraId="3BEEA2D7" w14:textId="0D6032B9" w:rsidR="001669EC" w:rsidRPr="001669EC" w:rsidRDefault="001669EC" w:rsidP="001669EC">
      <w:pPr>
        <w:numPr>
          <w:ilvl w:val="3"/>
          <w:numId w:val="12"/>
        </w:numPr>
        <w:spacing w:before="120" w:after="120" w:line="276" w:lineRule="auto"/>
        <w:ind w:hanging="720"/>
        <w:jc w:val="both"/>
      </w:pPr>
      <w:r w:rsidRPr="001669EC">
        <w:t>Quando da efetivação da contratação, as certidões emitidas por conselho profissional de</w:t>
      </w:r>
      <w:r>
        <w:t xml:space="preserve"> </w:t>
      </w:r>
      <w:r w:rsidRPr="001669EC">
        <w:t>outros estados deverão apresentar visto do respectivo conselho do Estado do Rio de Janeiro, conforme</w:t>
      </w:r>
      <w:r>
        <w:t xml:space="preserve"> determina o art. 14 da Resolução nº 1.121/2019 do CONFEA, observado o inciso II do 1º do seu art. </w:t>
      </w:r>
      <w:r>
        <w:lastRenderedPageBreak/>
        <w:t>3º. Para fins de habilitação, tal documento não necessita ser apresentado com o referido visto.</w:t>
      </w:r>
    </w:p>
    <w:p w14:paraId="7F340A95" w14:textId="383A9C92" w:rsidR="00FB13EA" w:rsidRPr="00FB13EA" w:rsidRDefault="00FB13EA" w:rsidP="00FB13EA">
      <w:pPr>
        <w:numPr>
          <w:ilvl w:val="2"/>
          <w:numId w:val="12"/>
        </w:numPr>
        <w:spacing w:before="120" w:after="120" w:line="276" w:lineRule="auto"/>
        <w:jc w:val="both"/>
        <w:rPr>
          <w:color w:val="000000"/>
        </w:rPr>
      </w:pPr>
      <w:bookmarkStart w:id="8" w:name="_heading=h.2s8eyo1" w:colFirst="0" w:colLast="0"/>
      <w:bookmarkEnd w:id="8"/>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Referência</w:t>
      </w:r>
    </w:p>
    <w:p w14:paraId="421C207C" w14:textId="53DB33F3" w:rsidR="00FB13EA" w:rsidRPr="007B07C1" w:rsidRDefault="00FB13EA" w:rsidP="00FB13EA">
      <w:pPr>
        <w:numPr>
          <w:ilvl w:val="3"/>
          <w:numId w:val="12"/>
        </w:numPr>
        <w:spacing w:before="120" w:after="120" w:line="276" w:lineRule="auto"/>
        <w:ind w:hanging="720"/>
        <w:jc w:val="both"/>
        <w:rPr>
          <w:iCs/>
        </w:rPr>
      </w:pPr>
      <w:r w:rsidRPr="007B07C1">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7B07C1">
        <w:rPr>
          <w:b/>
          <w:bCs/>
          <w:iCs/>
        </w:rPr>
        <w:t>constará na proposta</w:t>
      </w:r>
      <w:r w:rsidRPr="007B07C1">
        <w:rPr>
          <w:iCs/>
        </w:rPr>
        <w:t xml:space="preserve">, conforme </w:t>
      </w:r>
      <w:r w:rsidRPr="00D61C7E">
        <w:rPr>
          <w:iCs/>
        </w:rPr>
        <w:t xml:space="preserve">modelo do Anexo </w:t>
      </w:r>
      <w:r w:rsidR="00615E99">
        <w:rPr>
          <w:iCs/>
        </w:rPr>
        <w:t>V-A</w:t>
      </w:r>
      <w:r w:rsidRPr="00D61C7E">
        <w:rPr>
          <w:iCs/>
        </w:rPr>
        <w:t xml:space="preserve">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o nos cadastros de contribuintes estadual e municipal ,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w:t>
      </w:r>
      <w:r>
        <w:rPr>
          <w:color w:val="000000"/>
        </w:rPr>
        <w:lastRenderedPageBreak/>
        <w:t xml:space="preserve">assinatura, mediante correspondência postal com aviso de recebimento (AR) ou meio eletrônico, para 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32CAA6DD"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4"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lastRenderedPageBreak/>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5">
        <w:r>
          <w:rPr>
            <w:rFonts w:ascii="Calibri" w:eastAsia="Calibri" w:hAnsi="Calibri" w:cs="Calibri"/>
            <w:sz w:val="22"/>
            <w:szCs w:val="22"/>
          </w:rPr>
          <w:t xml:space="preserve"> </w:t>
        </w:r>
      </w:hyperlink>
      <w:hyperlink r:id="rId16">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19">
        <w:r>
          <w:rPr>
            <w:rFonts w:ascii="Calibri" w:eastAsia="Calibri" w:hAnsi="Calibri" w:cs="Calibri"/>
            <w:b/>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33146E9C" w:rsidR="00007609" w:rsidRDefault="00D712EA">
      <w:pPr>
        <w:numPr>
          <w:ilvl w:val="2"/>
          <w:numId w:val="3"/>
        </w:numPr>
        <w:spacing w:before="120" w:after="120" w:line="276" w:lineRule="auto"/>
        <w:jc w:val="both"/>
        <w:rPr>
          <w:color w:val="000000"/>
        </w:rPr>
      </w:pPr>
      <w:r>
        <w:rPr>
          <w:color w:val="000000"/>
        </w:rPr>
        <w:t>ANEXO I - Termo de Referência</w:t>
      </w:r>
    </w:p>
    <w:p w14:paraId="31E42DD1" w14:textId="7F52B8BF" w:rsidR="00A931C9" w:rsidRDefault="00A931C9">
      <w:pPr>
        <w:numPr>
          <w:ilvl w:val="2"/>
          <w:numId w:val="3"/>
        </w:numPr>
        <w:spacing w:before="120" w:after="120" w:line="276" w:lineRule="auto"/>
        <w:jc w:val="both"/>
        <w:rPr>
          <w:color w:val="000000"/>
        </w:rPr>
      </w:pPr>
      <w:r>
        <w:rPr>
          <w:color w:val="000000"/>
        </w:rPr>
        <w:t>ANEXO II – Descrição dos Serviços</w:t>
      </w:r>
    </w:p>
    <w:p w14:paraId="3392346A" w14:textId="18E8FC20" w:rsidR="00A931C9" w:rsidRDefault="00A931C9" w:rsidP="00A931C9">
      <w:pPr>
        <w:numPr>
          <w:ilvl w:val="2"/>
          <w:numId w:val="3"/>
        </w:numPr>
        <w:spacing w:before="120" w:after="120" w:line="276" w:lineRule="auto"/>
        <w:jc w:val="both"/>
        <w:rPr>
          <w:color w:val="000000"/>
        </w:rPr>
      </w:pPr>
      <w:r>
        <w:rPr>
          <w:color w:val="000000"/>
        </w:rPr>
        <w:t>ANEXO III – Instrumento de Medição de Resultado</w:t>
      </w:r>
    </w:p>
    <w:p w14:paraId="3D1D1FA2" w14:textId="2BA6A530" w:rsidR="00A931C9" w:rsidRDefault="00A931C9" w:rsidP="00A931C9">
      <w:pPr>
        <w:numPr>
          <w:ilvl w:val="2"/>
          <w:numId w:val="3"/>
        </w:numPr>
        <w:spacing w:before="120" w:after="120" w:line="276" w:lineRule="auto"/>
        <w:jc w:val="both"/>
        <w:rPr>
          <w:color w:val="000000"/>
        </w:rPr>
      </w:pPr>
      <w:r>
        <w:rPr>
          <w:color w:val="000000"/>
        </w:rPr>
        <w:t>ANEXO IV - Locais de Execução de Serviço</w:t>
      </w:r>
    </w:p>
    <w:p w14:paraId="331BF695" w14:textId="03A246D6" w:rsidR="00A931C9" w:rsidRDefault="00A931C9" w:rsidP="00A931C9">
      <w:pPr>
        <w:numPr>
          <w:ilvl w:val="2"/>
          <w:numId w:val="3"/>
        </w:numPr>
        <w:spacing w:before="120" w:after="120" w:line="276" w:lineRule="auto"/>
        <w:jc w:val="both"/>
        <w:rPr>
          <w:color w:val="000000"/>
        </w:rPr>
      </w:pPr>
      <w:r>
        <w:rPr>
          <w:color w:val="000000"/>
        </w:rPr>
        <w:t>ANEXO V-A -</w:t>
      </w:r>
      <w:r w:rsidRPr="00A931C9">
        <w:rPr>
          <w:color w:val="000000"/>
        </w:rPr>
        <w:t xml:space="preserve"> </w:t>
      </w:r>
      <w:r>
        <w:rPr>
          <w:color w:val="000000"/>
        </w:rPr>
        <w:t>Modelo de Proposta, Dispensa de Vistoria</w:t>
      </w:r>
    </w:p>
    <w:p w14:paraId="2A26EF7F" w14:textId="58F82F14" w:rsidR="00A931C9" w:rsidRDefault="00D712EA" w:rsidP="00A931C9">
      <w:pPr>
        <w:numPr>
          <w:ilvl w:val="2"/>
          <w:numId w:val="3"/>
        </w:numPr>
        <w:spacing w:before="120" w:after="120" w:line="276" w:lineRule="auto"/>
        <w:jc w:val="both"/>
        <w:rPr>
          <w:color w:val="000000"/>
        </w:rPr>
      </w:pPr>
      <w:r>
        <w:rPr>
          <w:color w:val="000000"/>
        </w:rPr>
        <w:t xml:space="preserve">ANEXO </w:t>
      </w:r>
      <w:r w:rsidR="00A931C9">
        <w:rPr>
          <w:color w:val="000000"/>
        </w:rPr>
        <w:t>V-B</w:t>
      </w:r>
      <w:r>
        <w:rPr>
          <w:color w:val="000000"/>
        </w:rPr>
        <w:t xml:space="preserve"> – </w:t>
      </w:r>
      <w:r w:rsidR="00A931C9">
        <w:rPr>
          <w:color w:val="000000"/>
        </w:rPr>
        <w:t>Modelo Declaração de Vistoria</w:t>
      </w:r>
    </w:p>
    <w:p w14:paraId="4432F15A" w14:textId="3CBDB0D8" w:rsidR="00A931C9" w:rsidRDefault="00A931C9" w:rsidP="00A931C9">
      <w:pPr>
        <w:numPr>
          <w:ilvl w:val="2"/>
          <w:numId w:val="3"/>
        </w:numPr>
        <w:spacing w:before="120" w:after="120" w:line="276" w:lineRule="auto"/>
        <w:jc w:val="both"/>
        <w:rPr>
          <w:color w:val="000000"/>
        </w:rPr>
      </w:pPr>
      <w:r>
        <w:rPr>
          <w:color w:val="000000"/>
        </w:rPr>
        <w:t>ANEXO VI – Minuta de Termo de Contrato</w:t>
      </w:r>
    </w:p>
    <w:p w14:paraId="6688B1D9" w14:textId="77777777" w:rsidR="00007609" w:rsidRDefault="00007609">
      <w:pPr>
        <w:spacing w:before="120" w:after="120" w:line="276" w:lineRule="auto"/>
        <w:jc w:val="center"/>
        <w:rPr>
          <w:color w:val="000000"/>
        </w:rPr>
      </w:pPr>
    </w:p>
    <w:p w14:paraId="2F48FE81" w14:textId="69D3A2D4" w:rsidR="00E71E4B" w:rsidRDefault="00D712EA" w:rsidP="00E71E4B">
      <w:pPr>
        <w:spacing w:before="120" w:after="120" w:line="276" w:lineRule="auto"/>
        <w:jc w:val="center"/>
        <w:rPr>
          <w:color w:val="000000"/>
        </w:rPr>
      </w:pPr>
      <w:r>
        <w:rPr>
          <w:color w:val="000000"/>
        </w:rPr>
        <w:t xml:space="preserve">Niterói, </w:t>
      </w:r>
      <w:r w:rsidR="00E71E4B">
        <w:rPr>
          <w:color w:val="000000"/>
        </w:rPr>
        <w:t>0</w:t>
      </w:r>
      <w:r w:rsidR="00894ADA">
        <w:rPr>
          <w:color w:val="000000"/>
        </w:rPr>
        <w:t>8</w:t>
      </w:r>
      <w:r>
        <w:rPr>
          <w:color w:val="000000"/>
        </w:rPr>
        <w:t xml:space="preserve"> de </w:t>
      </w:r>
      <w:r w:rsidR="00E71E4B">
        <w:rPr>
          <w:color w:val="000000"/>
        </w:rPr>
        <w:t>junho</w:t>
      </w:r>
      <w:r>
        <w:rPr>
          <w:color w:val="000000"/>
        </w:rPr>
        <w:t xml:space="preserve"> de 2022.</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2339ECA0" w14:textId="771A9E9E" w:rsidR="00007609" w:rsidRDefault="00D712EA" w:rsidP="00894ADA">
      <w:pPr>
        <w:spacing w:before="120" w:after="120" w:line="276" w:lineRule="auto"/>
        <w:jc w:val="center"/>
        <w:rPr>
          <w:rFonts w:ascii="Calibri" w:eastAsia="Calibri" w:hAnsi="Calibri" w:cs="Calibri"/>
          <w:b/>
          <w:sz w:val="22"/>
          <w:szCs w:val="22"/>
        </w:rPr>
      </w:pPr>
      <w:r>
        <w:rPr>
          <w:b/>
          <w:color w:val="000000"/>
        </w:rPr>
        <w:t>Membro da CLI</w:t>
      </w:r>
    </w:p>
    <w:sectPr w:rsidR="00007609">
      <w:headerReference w:type="default" r:id="rId21"/>
      <w:footerReference w:type="default" r:id="rId22"/>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51F0E" w14:textId="77777777" w:rsidR="00830983" w:rsidRDefault="00830983">
      <w:r>
        <w:separator/>
      </w:r>
    </w:p>
  </w:endnote>
  <w:endnote w:type="continuationSeparator" w:id="0">
    <w:p w14:paraId="1CF09907" w14:textId="77777777" w:rsidR="00830983" w:rsidRDefault="0083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panose1 w:val="00000000000000000000"/>
    <w:charset w:val="00"/>
    <w:family w:val="roman"/>
    <w:notTrueType/>
    <w:pitch w:val="default"/>
  </w:font>
  <w:font w:name="Lohit Hindi">
    <w:altName w:val="Segoe Prin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D822D4">
      <w:rPr>
        <w:rFonts w:cs="Arial"/>
        <w:b/>
        <w:noProof/>
        <w:color w:val="000000"/>
        <w:sz w:val="12"/>
        <w:szCs w:val="12"/>
      </w:rPr>
      <w:t>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D822D4">
      <w:rPr>
        <w:rFonts w:cs="Arial"/>
        <w:b/>
        <w:noProof/>
        <w:color w:val="000000"/>
        <w:sz w:val="12"/>
        <w:szCs w:val="12"/>
      </w:rPr>
      <w:t>22</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5780F" w14:textId="77777777" w:rsidR="00830983" w:rsidRDefault="00830983">
      <w:r>
        <w:separator/>
      </w:r>
    </w:p>
  </w:footnote>
  <w:footnote w:type="continuationSeparator" w:id="0">
    <w:p w14:paraId="59AC4919" w14:textId="77777777" w:rsidR="00830983" w:rsidRDefault="0083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44408662"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BF75AC" w:rsidRPr="00BF75AC">
      <w:rPr>
        <w:rFonts w:ascii="Verdana" w:eastAsia="Verdana" w:hAnsi="Verdana" w:cs="Verdana"/>
        <w:color w:val="000000"/>
        <w:sz w:val="16"/>
        <w:szCs w:val="16"/>
      </w:rPr>
      <w:t>23069.164894/2021-17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50E60CB"/>
    <w:multiLevelType w:val="multilevel"/>
    <w:tmpl w:val="43384F2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4">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A7636F"/>
    <w:multiLevelType w:val="multilevel"/>
    <w:tmpl w:val="EBD86496"/>
    <w:lvl w:ilvl="0">
      <w:start w:val="8"/>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6">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3771B7"/>
    <w:multiLevelType w:val="multilevel"/>
    <w:tmpl w:val="6A1E7474"/>
    <w:lvl w:ilvl="0">
      <w:start w:val="7"/>
      <w:numFmt w:val="decimal"/>
      <w:lvlText w:val="%1."/>
      <w:lvlJc w:val="left"/>
      <w:pPr>
        <w:ind w:left="360" w:hanging="360"/>
      </w:pPr>
      <w:rPr>
        <w:rFonts w:hint="default"/>
        <w:b/>
        <w:color w:val="000000"/>
      </w:rPr>
    </w:lvl>
    <w:lvl w:ilvl="1">
      <w:start w:val="9"/>
      <w:numFmt w:val="decimal"/>
      <w:lvlText w:val="%1.5"/>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27F34E6"/>
    <w:multiLevelType w:val="multilevel"/>
    <w:tmpl w:val="427F34E6"/>
    <w:lvl w:ilvl="0">
      <w:start w:val="4"/>
      <w:numFmt w:val="decimal"/>
      <w:pStyle w:val="ListBullet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0">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1">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4">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Heading3"/>
      <w:lvlText w:val="%1.%2.%3"/>
      <w:lvlJc w:val="left"/>
      <w:pPr>
        <w:ind w:left="1854" w:hanging="720"/>
      </w:pPr>
    </w:lvl>
    <w:lvl w:ilvl="3">
      <w:start w:val="1"/>
      <w:numFmt w:val="decimal"/>
      <w:pStyle w:val="Heading4"/>
      <w:lvlText w:val="%1.%2.%3.%4"/>
      <w:lvlJc w:val="left"/>
      <w:pPr>
        <w:ind w:left="2421" w:hanging="720"/>
      </w:pPr>
    </w:lvl>
    <w:lvl w:ilvl="4">
      <w:start w:val="1"/>
      <w:numFmt w:val="decimal"/>
      <w:pStyle w:val="Heading5"/>
      <w:lvlText w:val="%1.%2.%3.%4.%5"/>
      <w:lvlJc w:val="left"/>
      <w:pPr>
        <w:ind w:left="3348" w:hanging="1080"/>
      </w:pPr>
    </w:lvl>
    <w:lvl w:ilvl="5">
      <w:start w:val="1"/>
      <w:numFmt w:val="decimal"/>
      <w:pStyle w:val="Heading6"/>
      <w:lvlText w:val="%1.%2.%3.%4.%5.%6"/>
      <w:lvlJc w:val="left"/>
      <w:pPr>
        <w:ind w:left="3915" w:hanging="1080"/>
      </w:pPr>
    </w:lvl>
    <w:lvl w:ilvl="6">
      <w:start w:val="1"/>
      <w:numFmt w:val="decimal"/>
      <w:pStyle w:val="Heading7"/>
      <w:lvlText w:val="%1.%2.%3.%4.%5.%6.%7"/>
      <w:lvlJc w:val="left"/>
      <w:pPr>
        <w:ind w:left="4842" w:hanging="1440"/>
      </w:pPr>
    </w:lvl>
    <w:lvl w:ilvl="7">
      <w:start w:val="1"/>
      <w:numFmt w:val="decimal"/>
      <w:pStyle w:val="Heading8"/>
      <w:lvlText w:val="%1.%2.%3.%4.%5.%6.%7.%8"/>
      <w:lvlJc w:val="left"/>
      <w:pPr>
        <w:ind w:left="5409" w:hanging="1440"/>
      </w:pPr>
    </w:lvl>
    <w:lvl w:ilvl="8">
      <w:start w:val="1"/>
      <w:numFmt w:val="decimal"/>
      <w:pStyle w:val="Heading9"/>
      <w:lvlText w:val="%1.%2.%3.%4.%5.%6.%7.%8.%9"/>
      <w:lvlJc w:val="left"/>
      <w:pPr>
        <w:ind w:left="6336" w:hanging="1800"/>
      </w:pPr>
    </w:lvl>
  </w:abstractNum>
  <w:num w:numId="1">
    <w:abstractNumId w:val="14"/>
  </w:num>
  <w:num w:numId="2">
    <w:abstractNumId w:val="9"/>
  </w:num>
  <w:num w:numId="3">
    <w:abstractNumId w:val="1"/>
  </w:num>
  <w:num w:numId="4">
    <w:abstractNumId w:val="3"/>
  </w:num>
  <w:num w:numId="5">
    <w:abstractNumId w:val="11"/>
  </w:num>
  <w:num w:numId="6">
    <w:abstractNumId w:val="0"/>
  </w:num>
  <w:num w:numId="7">
    <w:abstractNumId w:val="4"/>
  </w:num>
  <w:num w:numId="8">
    <w:abstractNumId w:val="12"/>
  </w:num>
  <w:num w:numId="9">
    <w:abstractNumId w:val="6"/>
  </w:num>
  <w:num w:numId="10">
    <w:abstractNumId w:val="8"/>
  </w:num>
  <w:num w:numId="11">
    <w:abstractNumId w:val="13"/>
  </w:num>
  <w:num w:numId="12">
    <w:abstractNumId w:val="10"/>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07609"/>
    <w:rsid w:val="00072202"/>
    <w:rsid w:val="000829EF"/>
    <w:rsid w:val="00106693"/>
    <w:rsid w:val="0011365C"/>
    <w:rsid w:val="001149D7"/>
    <w:rsid w:val="00136C33"/>
    <w:rsid w:val="00151D4B"/>
    <w:rsid w:val="00155286"/>
    <w:rsid w:val="001669EC"/>
    <w:rsid w:val="00166EB1"/>
    <w:rsid w:val="00176627"/>
    <w:rsid w:val="001779AF"/>
    <w:rsid w:val="001C20FB"/>
    <w:rsid w:val="001C7EF3"/>
    <w:rsid w:val="001F00FF"/>
    <w:rsid w:val="001F3F97"/>
    <w:rsid w:val="002238BC"/>
    <w:rsid w:val="00282968"/>
    <w:rsid w:val="002D2428"/>
    <w:rsid w:val="00336508"/>
    <w:rsid w:val="003540E9"/>
    <w:rsid w:val="00360F70"/>
    <w:rsid w:val="00372622"/>
    <w:rsid w:val="0038124B"/>
    <w:rsid w:val="0039357F"/>
    <w:rsid w:val="003F53A1"/>
    <w:rsid w:val="00407AA7"/>
    <w:rsid w:val="00464C98"/>
    <w:rsid w:val="004773D0"/>
    <w:rsid w:val="0048682B"/>
    <w:rsid w:val="004E6B15"/>
    <w:rsid w:val="00501839"/>
    <w:rsid w:val="005302E8"/>
    <w:rsid w:val="005C0179"/>
    <w:rsid w:val="005F035C"/>
    <w:rsid w:val="00615E99"/>
    <w:rsid w:val="006642BE"/>
    <w:rsid w:val="006A7714"/>
    <w:rsid w:val="007112E8"/>
    <w:rsid w:val="00713D4E"/>
    <w:rsid w:val="00717A2E"/>
    <w:rsid w:val="0075114B"/>
    <w:rsid w:val="00754A13"/>
    <w:rsid w:val="00756156"/>
    <w:rsid w:val="00771B07"/>
    <w:rsid w:val="00772E1F"/>
    <w:rsid w:val="00782E13"/>
    <w:rsid w:val="007B1F50"/>
    <w:rsid w:val="007F3AEF"/>
    <w:rsid w:val="00812605"/>
    <w:rsid w:val="00820332"/>
    <w:rsid w:val="00830983"/>
    <w:rsid w:val="00840513"/>
    <w:rsid w:val="0084372D"/>
    <w:rsid w:val="0085605B"/>
    <w:rsid w:val="00865759"/>
    <w:rsid w:val="00867408"/>
    <w:rsid w:val="008754E1"/>
    <w:rsid w:val="00881927"/>
    <w:rsid w:val="00887CF5"/>
    <w:rsid w:val="00894ADA"/>
    <w:rsid w:val="008D0B13"/>
    <w:rsid w:val="008F109A"/>
    <w:rsid w:val="008F2678"/>
    <w:rsid w:val="008F7577"/>
    <w:rsid w:val="009F3A87"/>
    <w:rsid w:val="00A146DA"/>
    <w:rsid w:val="00A21960"/>
    <w:rsid w:val="00A223DD"/>
    <w:rsid w:val="00A37332"/>
    <w:rsid w:val="00A42612"/>
    <w:rsid w:val="00A73EB5"/>
    <w:rsid w:val="00A931C9"/>
    <w:rsid w:val="00A9441F"/>
    <w:rsid w:val="00AD1DE8"/>
    <w:rsid w:val="00AD4FC5"/>
    <w:rsid w:val="00AF3821"/>
    <w:rsid w:val="00AF588F"/>
    <w:rsid w:val="00AF691E"/>
    <w:rsid w:val="00B163C5"/>
    <w:rsid w:val="00B16C88"/>
    <w:rsid w:val="00B25B6B"/>
    <w:rsid w:val="00B402F3"/>
    <w:rsid w:val="00B4146C"/>
    <w:rsid w:val="00B546D1"/>
    <w:rsid w:val="00B85F13"/>
    <w:rsid w:val="00BB044E"/>
    <w:rsid w:val="00BF75AC"/>
    <w:rsid w:val="00C05AD3"/>
    <w:rsid w:val="00C40635"/>
    <w:rsid w:val="00C534ED"/>
    <w:rsid w:val="00C64D01"/>
    <w:rsid w:val="00C94BD2"/>
    <w:rsid w:val="00CA0289"/>
    <w:rsid w:val="00CB1120"/>
    <w:rsid w:val="00D01D08"/>
    <w:rsid w:val="00D6083D"/>
    <w:rsid w:val="00D712EA"/>
    <w:rsid w:val="00D822D4"/>
    <w:rsid w:val="00DA38F3"/>
    <w:rsid w:val="00DB3DF2"/>
    <w:rsid w:val="00DC758E"/>
    <w:rsid w:val="00DE7014"/>
    <w:rsid w:val="00E267FD"/>
    <w:rsid w:val="00E27215"/>
    <w:rsid w:val="00E61AEC"/>
    <w:rsid w:val="00E664E0"/>
    <w:rsid w:val="00E71E4B"/>
    <w:rsid w:val="00E73470"/>
    <w:rsid w:val="00E84D66"/>
    <w:rsid w:val="00EA5C79"/>
    <w:rsid w:val="00ED53F4"/>
    <w:rsid w:val="00ED561D"/>
    <w:rsid w:val="00F0356F"/>
    <w:rsid w:val="00F56F33"/>
    <w:rsid w:val="00F67D17"/>
    <w:rsid w:val="00FB13EA"/>
    <w:rsid w:val="00FD15CB"/>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uiPriority w:val="9"/>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qFormat/>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DefaultParagraphFont"/>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uiPriority w:val="9"/>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qFormat/>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DefaultParagraphFont"/>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v.br/compras" TargetMode="External"/><Relationship Id="rId23" Type="http://schemas.openxmlformats.org/officeDocument/2006/relationships/fontTable" Target="fontTable.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microsoft.com/office/2007/relationships/stylesWithEffects" Target="stylesWithEffects.xml"/><Relationship Id="rId9" Type="http://schemas.openxmlformats.org/officeDocument/2006/relationships/hyperlink" Target="mailto:cpl@id.uff.br" TargetMode="External"/><Relationship Id="rId14" Type="http://schemas.openxmlformats.org/officeDocument/2006/relationships/hyperlink" Target="mailto:cpl@id.uff.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22</Pages>
  <Words>9774</Words>
  <Characters>52784</Characters>
  <Application>Microsoft Office Word</Application>
  <DocSecurity>0</DocSecurity>
  <Lines>439</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99</cp:revision>
  <dcterms:created xsi:type="dcterms:W3CDTF">2020-03-20T20:31:00Z</dcterms:created>
  <dcterms:modified xsi:type="dcterms:W3CDTF">2022-06-15T17:54:00Z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