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bl>
      <w:tblPr>
        <w:tblStyle w:val="80"/>
        <w:tblW w:w="98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943"/>
        <w:gridCol w:w="69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3" w:hRule="atLeast"/>
        </w:trPr>
        <w:tc>
          <w:tcPr>
            <w:tcW w:w="9889" w:type="dxa"/>
            <w:gridSpan w:val="2"/>
            <w:vAlign w:val="center"/>
          </w:tcPr>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FF0000"/>
                <w:sz w:val="32"/>
                <w:szCs w:val="32"/>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auto"/>
                <w:sz w:val="32"/>
                <w:szCs w:val="32"/>
              </w:rPr>
            </w:pPr>
            <w:r>
              <w:rPr>
                <w:rFonts w:ascii="Verdana" w:hAnsi="Verdana" w:eastAsia="Verdana" w:cs="Verdana"/>
                <w:b/>
                <w:color w:val="auto"/>
                <w:sz w:val="32"/>
                <w:szCs w:val="32"/>
              </w:rPr>
              <w:t>EDITAL DE LICITAÇÃO</w:t>
            </w:r>
            <w:r>
              <w:rPr>
                <w:rFonts w:ascii="Verdana" w:hAnsi="Verdana" w:eastAsia="Verdana" w:cs="Verdana"/>
                <w:b/>
                <w:color w:val="auto"/>
                <w:sz w:val="32"/>
                <w:szCs w:val="32"/>
              </w:rPr>
              <w:t xml:space="preserve"> </w:t>
            </w:r>
          </w:p>
          <w:p>
            <w:pPr>
              <w:pStyle w:val="2"/>
              <w:keepLines w:val="0"/>
              <w:numPr>
                <w:ilvl w:val="0"/>
                <w:numId w:val="3"/>
              </w:numPr>
              <w:spacing w:before="100" w:after="100"/>
              <w:jc w:val="center"/>
              <w:rPr>
                <w:rFonts w:ascii="Cambria" w:hAnsi="Cambria" w:eastAsia="Cambria" w:cs="Cambria"/>
                <w:color w:val="365F91"/>
                <w:sz w:val="32"/>
                <w:szCs w:val="32"/>
              </w:rPr>
            </w:pPr>
            <w:bookmarkStart w:id="0" w:name="_heading=h.3mr65tq7blqg" w:colFirst="0" w:colLast="0"/>
            <w:bookmarkEnd w:id="0"/>
            <w:r>
              <w:rPr>
                <w:rFonts w:ascii="Verdana" w:hAnsi="Verdana" w:eastAsia="Verdana" w:cs="Verdana"/>
                <w:color w:val="365F91"/>
                <w:sz w:val="20"/>
                <w:szCs w:val="20"/>
              </w:rPr>
              <w:t xml:space="preserve">PREGÃO ELETRÔNICO Nº </w:t>
            </w:r>
            <w:r>
              <w:rPr>
                <w:rFonts w:ascii="Verdana" w:hAnsi="Verdana" w:eastAsia="Verdana" w:cs="Verdana"/>
                <w:color w:val="365F91"/>
                <w:sz w:val="20"/>
                <w:szCs w:val="20"/>
                <w:lang w:val="pt-BR"/>
              </w:rPr>
              <w:t>63/2022</w:t>
            </w:r>
            <w:r>
              <w:rPr>
                <w:rFonts w:ascii="Verdana" w:hAnsi="Verdana" w:eastAsia="Verdana" w:cs="Verdana"/>
                <w:color w:val="365F91"/>
                <w:sz w:val="20"/>
                <w:szCs w:val="20"/>
              </w:rPr>
              <w:t>/AD</w:t>
            </w:r>
            <w:r>
              <w:drawing>
                <wp:anchor distT="0" distB="0" distL="0" distR="0" simplePos="0" relativeHeight="25165926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6"/>
                          <a:srcRect/>
                          <a:stretch>
                            <a:fillRect/>
                          </a:stretch>
                        </pic:blipFill>
                        <pic:spPr>
                          <a:xfrm>
                            <a:off x="0" y="0"/>
                            <a:ext cx="1200150" cy="40957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7"/>
                          <a:srcRect/>
                          <a:stretch>
                            <a:fillRect/>
                          </a:stretch>
                        </pic:blipFill>
                        <pic:spPr>
                          <a:xfrm>
                            <a:off x="0" y="0"/>
                            <a:ext cx="898525" cy="483870"/>
                          </a:xfrm>
                          <a:prstGeom prst="rect">
                            <a:avLst/>
                          </a:prstGeom>
                        </pic:spPr>
                      </pic:pic>
                    </a:graphicData>
                  </a:graphic>
                </wp:anchor>
              </w:drawing>
            </w:r>
          </w:p>
          <w:p>
            <w:pPr>
              <w:spacing w:before="100" w:after="100"/>
              <w:jc w:val="center"/>
              <w:rPr>
                <w:rFonts w:ascii="Verdana" w:hAnsi="Verdana" w:eastAsia="Verdana" w:cs="Verdana"/>
                <w:b/>
                <w:highlight w:val="cyan"/>
              </w:rPr>
            </w:pPr>
            <w:r>
              <w:rPr>
                <w:rFonts w:ascii="Verdana" w:hAnsi="Verdana" w:eastAsia="Verdana" w:cs="Verdana"/>
                <w:b/>
              </w:rPr>
              <w:t xml:space="preserve">SERVIÇOS CONTINUADOS COM DEDICAÇÃO </w:t>
            </w:r>
          </w:p>
          <w:p>
            <w:pPr>
              <w:spacing w:before="100" w:after="100"/>
              <w:jc w:val="center"/>
              <w:rPr>
                <w:rFonts w:ascii="Verdana" w:hAnsi="Verdana" w:eastAsia="Verdana" w:cs="Verdana"/>
                <w:b/>
                <w:sz w:val="16"/>
                <w:szCs w:val="16"/>
              </w:rPr>
            </w:pPr>
            <w:r>
              <w:rPr>
                <w:rFonts w:ascii="Verdana" w:hAnsi="Verdana" w:eastAsia="Verdana" w:cs="Verdana"/>
                <w:b/>
              </w:rPr>
              <w:t xml:space="preserve">PROCESSO Nº </w:t>
            </w:r>
            <w:r>
              <w:rPr>
                <w:rFonts w:ascii="Verdana" w:hAnsi="Verdana" w:eastAsia="Verdana" w:cs="Verdana"/>
                <w:b/>
                <w:lang w:val="pt-BR"/>
              </w:rPr>
              <w:t xml:space="preserve"> 23069.161952/2022-23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6" w:hRule="atLeast"/>
        </w:trPr>
        <w:tc>
          <w:tcPr>
            <w:tcW w:w="2943" w:type="dxa"/>
            <w:vAlign w:val="center"/>
          </w:tcPr>
          <w:p>
            <w:pPr>
              <w:spacing w:before="120" w:after="120"/>
              <w:ind w:left="624" w:hanging="567"/>
              <w:jc w:val="center"/>
            </w:pPr>
            <w:r>
              <w:rPr>
                <w:b/>
              </w:rPr>
              <w:t>OBJETO</w:t>
            </w:r>
          </w:p>
        </w:tc>
        <w:tc>
          <w:tcPr>
            <w:tcW w:w="6946" w:type="dxa"/>
            <w:vAlign w:val="bottom"/>
          </w:tcPr>
          <w:p>
            <w:p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logístico e administrativo na Universidade Federal Fluminense,</w:t>
            </w:r>
            <w:r>
              <w:rPr>
                <w:color w:val="000000"/>
              </w:rPr>
              <w:t xml:space="preserve"> conforme condições, quantidades e exigências estabelecidas neste Edital e seus anexos.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3" w:hRule="atLeast"/>
        </w:trPr>
        <w:tc>
          <w:tcPr>
            <w:tcW w:w="2943" w:type="dxa"/>
            <w:vAlign w:val="center"/>
          </w:tcPr>
          <w:p>
            <w:pPr>
              <w:spacing w:before="120" w:after="120"/>
              <w:ind w:left="624" w:hanging="567"/>
              <w:jc w:val="center"/>
              <w:rPr>
                <w:b/>
              </w:rPr>
            </w:pPr>
            <w:r>
              <w:rPr>
                <w:b/>
              </w:rPr>
              <w:t>RECEBIMENTO DAS PROPOSTAS</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19"/>
              <w:jc w:val="both"/>
              <w:rPr>
                <w:color w:val="000000"/>
                <w:szCs w:val="20"/>
              </w:rPr>
            </w:pPr>
            <w:r>
              <w:rPr>
                <w:color w:val="000000"/>
                <w:szCs w:val="20"/>
              </w:rPr>
              <w:t xml:space="preserve">A partir da data de divulgação do Edital no site </w:t>
            </w:r>
            <w:r>
              <w:fldChar w:fldCharType="begin"/>
            </w:r>
            <w:r>
              <w:instrText xml:space="preserve"> HYPERLINK "https://www.gov.br/compras/pt-br" \h </w:instrText>
            </w:r>
            <w:r>
              <w:fldChar w:fldCharType="separate"/>
            </w:r>
            <w:r>
              <w:rPr>
                <w:i/>
                <w:szCs w:val="20"/>
                <w:u w:val="single"/>
              </w:rPr>
              <w:t>www.gov.br/compras</w:t>
            </w:r>
            <w:r>
              <w:rPr>
                <w:i/>
                <w:szCs w:val="20"/>
                <w:u w:val="single"/>
              </w:rPr>
              <w:fldChar w:fldCharType="end"/>
            </w:r>
            <w:r>
              <w:rPr>
                <w:color w:val="000000"/>
                <w:szCs w:val="20"/>
              </w:rPr>
              <w:t xml:space="preserve"> até a data e horário de realização da sessão pública.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2943" w:type="dxa"/>
            <w:vAlign w:val="center"/>
          </w:tcPr>
          <w:p>
            <w:pPr>
              <w:spacing w:before="120" w:after="120"/>
              <w:ind w:left="624" w:hanging="567"/>
              <w:jc w:val="center"/>
              <w:rPr>
                <w:b/>
              </w:rPr>
            </w:pPr>
            <w:r>
              <w:rPr>
                <w:b/>
              </w:rPr>
              <w:t>DATA ABERTURA DAS PROPOSTAS</w:t>
            </w:r>
          </w:p>
        </w:tc>
        <w:tc>
          <w:tcPr>
            <w:tcW w:w="6946" w:type="dxa"/>
            <w:vAlign w:val="center"/>
          </w:tcPr>
          <w:p>
            <w:pPr>
              <w:spacing w:before="120" w:after="120"/>
              <w:ind w:hanging="25"/>
              <w:jc w:val="both"/>
              <w:rPr>
                <w:rFonts w:hint="default"/>
                <w:b/>
                <w:bCs/>
                <w:highlight w:val="yellow"/>
                <w:lang w:val="pt-BR"/>
              </w:rPr>
            </w:pPr>
            <w:r>
              <w:t xml:space="preserve">Sessão Pública a ser realizada no endereço eletrônico informado no edital, às </w:t>
            </w:r>
            <w:r>
              <w:rPr>
                <w:rFonts w:hint="default"/>
                <w:b/>
                <w:bCs/>
                <w:lang w:val="pt-BR"/>
              </w:rPr>
              <w:t>10</w:t>
            </w:r>
            <w:r>
              <w:rPr>
                <w:rFonts w:hint="default"/>
                <w:b/>
                <w:bCs/>
                <w:lang w:val="pt-BR"/>
              </w:rPr>
              <w:t>h</w:t>
            </w:r>
            <w:r>
              <w:t xml:space="preserve"> do dia </w:t>
            </w:r>
            <w:r>
              <w:rPr>
                <w:rFonts w:hint="default"/>
                <w:b/>
                <w:bCs/>
                <w:lang w:val="pt-BR"/>
              </w:rPr>
              <w:t>13/JUN/2022</w:t>
            </w:r>
            <w:r>
              <w:rPr>
                <w:rFonts w:hint="default"/>
                <w:lang w:val="pt-B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2943" w:type="dxa"/>
            <w:vAlign w:val="center"/>
          </w:tcPr>
          <w:p>
            <w:pPr>
              <w:spacing w:before="120" w:after="120"/>
              <w:ind w:left="624" w:hanging="567"/>
              <w:jc w:val="center"/>
              <w:rPr>
                <w:b/>
              </w:rPr>
            </w:pPr>
            <w:r>
              <w:rPr>
                <w:b/>
              </w:rPr>
              <w:t>ENDEREÇO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Universidade Federal Fluminense</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Pró-Reitoria de Administração</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Coordenação de Licitação</w:t>
            </w:r>
          </w:p>
          <w:p>
            <w:r>
              <w:t>UASG: 150182</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Rua Miguel de Frias n.º 09, Bairro Icaraí, Niterói - RJ</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CEP: 24.220-900</w:t>
            </w:r>
          </w:p>
          <w:p>
            <w:pPr>
              <w:spacing w:before="120" w:after="120"/>
              <w:ind w:hanging="25"/>
              <w:jc w:val="both"/>
              <w:rPr>
                <w:b/>
                <w:color w:val="0000FF"/>
              </w:rPr>
            </w:pPr>
            <w:r>
              <w:t>E-mail:</w:t>
            </w:r>
            <w:r>
              <w:rPr>
                <w:b/>
                <w:color w:val="0000FF"/>
              </w:rPr>
              <w:t xml:space="preserve"> </w:t>
            </w:r>
            <w:r>
              <w:fldChar w:fldCharType="begin"/>
            </w:r>
            <w:r>
              <w:instrText xml:space="preserve"> HYPERLINK "mailto:cpl@id.uff.br" \h </w:instrText>
            </w:r>
            <w:r>
              <w:fldChar w:fldCharType="separate"/>
            </w:r>
            <w:r>
              <w:rPr>
                <w:b/>
                <w:color w:val="0000FF"/>
                <w:u w:val="single"/>
              </w:rPr>
              <w:t>cpl@id.uff.br</w:t>
            </w:r>
            <w:r>
              <w:rPr>
                <w:b/>
                <w:color w:val="0000FF"/>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TIPO DE LICITAÇÃO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highlight w:val="yellow"/>
                <w:lang w:val="pt-BR"/>
              </w:rPr>
            </w:pPr>
            <w:r>
              <w:rPr>
                <w:color w:val="000000"/>
                <w:sz w:val="21"/>
                <w:szCs w:val="21"/>
              </w:rPr>
              <w:t xml:space="preserve">Menor preço </w:t>
            </w:r>
            <w:r>
              <w:rPr>
                <w:rFonts w:hint="default"/>
                <w:color w:val="000000"/>
                <w:sz w:val="21"/>
                <w:szCs w:val="21"/>
                <w:lang w:val="pt-BR"/>
              </w:rPr>
              <w:t>por grupo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ACESSO ELETRÔNICO AO EDITAL</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i/>
                <w:color w:val="0000FF"/>
                <w:sz w:val="21"/>
                <w:szCs w:val="21"/>
              </w:rPr>
            </w:pPr>
            <w:r>
              <w:fldChar w:fldCharType="begin"/>
            </w:r>
            <w:r>
              <w:instrText xml:space="preserve"> HYPERLINK "https://www.gov.br/compras/pt-br" \h </w:instrText>
            </w:r>
            <w:r>
              <w:fldChar w:fldCharType="separate"/>
            </w:r>
            <w:r>
              <w:rPr>
                <w:rFonts w:ascii="Cambria" w:hAnsi="Cambria" w:eastAsia="Cambria" w:cs="Cambria"/>
                <w:b/>
                <w:i/>
                <w:color w:val="0000FF"/>
                <w:sz w:val="21"/>
                <w:szCs w:val="21"/>
                <w:u w:val="single"/>
              </w:rPr>
              <w:t>www.gov.br/compras</w:t>
            </w:r>
            <w:r>
              <w:rPr>
                <w:rFonts w:ascii="Cambria" w:hAnsi="Cambria" w:eastAsia="Cambria" w:cs="Cambria"/>
                <w:b/>
                <w:i/>
                <w:color w:val="0000FF"/>
                <w:sz w:val="21"/>
                <w:szCs w:val="21"/>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PREGOEIRO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lang w:val="pt-BR"/>
              </w:rPr>
            </w:pPr>
            <w:r>
              <w:rPr>
                <w:rFonts w:hint="default"/>
                <w:color w:val="000000"/>
                <w:sz w:val="21"/>
                <w:szCs w:val="21"/>
                <w:lang w:val="pt-BR"/>
              </w:rPr>
              <w:t>Juliana P. Borsoi Richa</w:t>
            </w:r>
          </w:p>
        </w:tc>
      </w:tr>
    </w:tbl>
    <w:p>
      <w:pPr>
        <w:spacing w:after="120" w:line="276" w:lineRule="auto"/>
        <w:ind w:right="-17"/>
        <w:jc w:val="both"/>
        <w:rPr>
          <w:b/>
          <w:color w:val="000000"/>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r>
        <w:drawing>
          <wp:anchor distT="0" distB="0" distL="114300" distR="114300" simplePos="0" relativeHeight="251661312" behindDoc="0" locked="0" layoutInCell="1"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a:stretch>
                      <a:fillRect/>
                    </a:stretch>
                  </pic:blipFill>
                  <pic:spPr>
                    <a:xfrm>
                      <a:off x="0" y="0"/>
                      <a:ext cx="640080" cy="628650"/>
                    </a:xfrm>
                    <a:prstGeom prst="rect">
                      <a:avLst/>
                    </a:prstGeom>
                  </pic:spPr>
                </pic:pic>
              </a:graphicData>
            </a:graphic>
          </wp:anchor>
        </w:drawing>
      </w:r>
    </w:p>
    <w:p>
      <w:pPr>
        <w:spacing w:after="120" w:line="276" w:lineRule="auto"/>
        <w:ind w:right="-17"/>
        <w:jc w:val="both"/>
        <w:rPr>
          <w:rFonts w:ascii="Verdana" w:hAnsi="Verdana" w:eastAsia="Verdana" w:cs="Verdana"/>
          <w:color w:val="000000"/>
          <w:sz w:val="18"/>
          <w:szCs w:val="18"/>
        </w:rPr>
      </w:pPr>
      <w:r>
        <w:rPr>
          <w:rFonts w:ascii="Verdana" w:hAnsi="Verdana" w:eastAsia="Verdana" w:cs="Verdana"/>
          <w:color w:val="000000"/>
          <w:sz w:val="18"/>
          <w:szCs w:val="18"/>
        </w:rPr>
        <w:tab/>
      </w:r>
    </w:p>
    <w:p>
      <w:pPr>
        <w:rPr>
          <w:rFonts w:ascii="Verdana" w:hAnsi="Verdana" w:eastAsia="Verdana" w:cs="Verdana"/>
          <w:sz w:val="18"/>
          <w:szCs w:val="18"/>
        </w:rPr>
      </w:pPr>
    </w:p>
    <w:p>
      <w:pPr>
        <w:rPr>
          <w:rFonts w:ascii="Verdana" w:hAnsi="Verdana" w:eastAsia="Verdana" w:cs="Verdana"/>
          <w:sz w:val="18"/>
          <w:szCs w:val="18"/>
        </w:rPr>
      </w:pPr>
    </w:p>
    <w:p>
      <w:pPr>
        <w:tabs>
          <w:tab w:val="left" w:pos="6284"/>
        </w:tabs>
        <w:jc w:val="center"/>
        <w:rPr>
          <w:rFonts w:ascii="Verdana" w:hAnsi="Verdana" w:eastAsia="Verdana" w:cs="Verdana"/>
          <w:b/>
          <w:sz w:val="18"/>
          <w:szCs w:val="18"/>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COORDENAÇÃO DE LICITAÇÃO</w:t>
      </w:r>
    </w:p>
    <w:p>
      <w:pPr>
        <w:jc w:val="center"/>
        <w:rPr>
          <w:rFonts w:ascii="Calibri" w:hAnsi="Calibri" w:eastAsia="Calibri" w:cs="Calibri"/>
          <w:b/>
          <w:sz w:val="22"/>
          <w:szCs w:val="22"/>
        </w:rPr>
      </w:pPr>
    </w:p>
    <w:p>
      <w:pPr>
        <w:jc w:val="cente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color w:val="auto"/>
        </w:rPr>
      </w:pPr>
      <w:r>
        <w:rPr>
          <w:rFonts w:hint="default" w:ascii="Verdana" w:hAnsi="Verdana" w:eastAsia="Verdana" w:cs="Verdana"/>
          <w:b/>
          <w:color w:val="auto"/>
          <w:lang w:val="pt-BR"/>
        </w:rPr>
        <w:t xml:space="preserve"> </w:t>
      </w:r>
      <w:r>
        <w:rPr>
          <w:rFonts w:ascii="Verdana" w:hAnsi="Verdana" w:eastAsia="Verdana" w:cs="Verdana"/>
          <w:b/>
          <w:color w:val="auto"/>
        </w:rPr>
        <w:t>EDITAL DE LICITAÇÃO</w:t>
      </w:r>
    </w:p>
    <w:p>
      <w:pPr>
        <w:spacing w:before="100" w:after="100"/>
        <w:jc w:val="center"/>
        <w:rPr>
          <w:rFonts w:ascii="Verdana" w:hAnsi="Verdana" w:eastAsia="Verdana" w:cs="Verdana"/>
          <w:b/>
          <w:highlight w:val="yellow"/>
        </w:rPr>
      </w:pPr>
      <w:r>
        <w:rPr>
          <w:rFonts w:ascii="Verdana" w:hAnsi="Verdana" w:eastAsia="Verdana" w:cs="Verdana"/>
          <w:b/>
        </w:rPr>
        <w:t xml:space="preserve">PREGÃO ELETRÔNICO Nº </w:t>
      </w:r>
      <w:r>
        <w:rPr>
          <w:rFonts w:hint="default" w:ascii="Verdana" w:hAnsi="Verdana" w:eastAsia="Verdana" w:cs="Verdana"/>
          <w:b/>
          <w:lang w:val="pt-BR"/>
        </w:rPr>
        <w:t>63/2022</w:t>
      </w:r>
      <w:r>
        <w:rPr>
          <w:rFonts w:ascii="Verdana" w:hAnsi="Verdana" w:eastAsia="Verdana" w:cs="Verdana"/>
          <w:b/>
        </w:rPr>
        <w:t>/AD</w:t>
      </w:r>
    </w:p>
    <w:p>
      <w:pPr>
        <w:spacing w:before="100" w:after="100"/>
        <w:jc w:val="center"/>
        <w:rPr>
          <w:rFonts w:ascii="Verdana" w:hAnsi="Verdana" w:eastAsia="Verdana" w:cs="Verdana"/>
          <w:b/>
        </w:rPr>
      </w:pPr>
      <w:r>
        <w:rPr>
          <w:rFonts w:ascii="Verdana" w:hAnsi="Verdana" w:eastAsia="Verdana" w:cs="Verdana"/>
          <w:b/>
        </w:rPr>
        <w:t>SERVIÇOS CONTINUADOS COM DEDICAÇÃO EXCLUSIVA DE MÃO DE OBRA</w:t>
      </w:r>
    </w:p>
    <w:p>
      <w:pPr>
        <w:spacing w:before="100" w:after="100"/>
        <w:jc w:val="center"/>
        <w:rPr>
          <w:rFonts w:hint="default" w:ascii="Verdana" w:hAnsi="Verdana" w:eastAsia="Verdana" w:cs="Verdana"/>
          <w:b/>
          <w:lang w:val="pt-BR"/>
        </w:rPr>
      </w:pPr>
      <w:r>
        <w:rPr>
          <w:rFonts w:ascii="Verdana" w:hAnsi="Verdana" w:eastAsia="Verdana" w:cs="Verdana"/>
          <w:b/>
        </w:rPr>
        <w:t xml:space="preserve">PROCESSO Nº </w:t>
      </w:r>
      <w:r>
        <w:rPr>
          <w:rFonts w:ascii="Verdana" w:hAnsi="Verdana" w:eastAsia="Verdana" w:cs="Verdana"/>
          <w:b/>
          <w:lang w:val="pt-BR"/>
        </w:rPr>
        <w:t xml:space="preserve"> 23069.161952/2022-23 </w:t>
      </w:r>
    </w:p>
    <w:p>
      <w:pPr>
        <w:spacing w:after="120" w:line="276" w:lineRule="auto"/>
        <w:ind w:right="-17"/>
        <w:jc w:val="both"/>
        <w:rPr>
          <w:b/>
          <w:color w:val="000000"/>
        </w:rPr>
      </w:pPr>
    </w:p>
    <w:p>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 xml:space="preserve">por </w:t>
      </w:r>
      <w:r>
        <w:rPr>
          <w:rFonts w:hint="default"/>
          <w:b/>
          <w:bCs/>
          <w:lang w:val="pt-BR"/>
        </w:rPr>
        <w:t>grupo,</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p>
      <w:pPr>
        <w:spacing w:line="276" w:lineRule="auto"/>
        <w:jc w:val="both"/>
        <w:rPr>
          <w:color w:val="000000"/>
        </w:rPr>
      </w:pPr>
    </w:p>
    <w:p>
      <w:pPr>
        <w:spacing w:line="276" w:lineRule="auto"/>
        <w:jc w:val="center"/>
        <w:rPr>
          <w:rFonts w:hint="default"/>
          <w:b/>
          <w:bCs/>
          <w:lang w:val="pt-BR"/>
        </w:rPr>
      </w:pPr>
      <w:r>
        <w:rPr>
          <w:color w:val="000000"/>
        </w:rPr>
        <w:t xml:space="preserve">Data da sessão: </w:t>
      </w:r>
      <w:r>
        <w:rPr>
          <w:rFonts w:hint="default"/>
          <w:b/>
          <w:bCs/>
          <w:lang w:val="pt-BR"/>
        </w:rPr>
        <w:t>13/JUN/2022</w:t>
      </w:r>
    </w:p>
    <w:p>
      <w:pPr>
        <w:spacing w:line="276" w:lineRule="auto"/>
        <w:jc w:val="center"/>
        <w:rPr>
          <w:rFonts w:hint="default"/>
          <w:lang w:val="pt-BR"/>
        </w:rPr>
      </w:pPr>
      <w:r>
        <w:rPr>
          <w:color w:val="000000"/>
        </w:rPr>
        <w:t xml:space="preserve">Horário: </w:t>
      </w:r>
      <w:r>
        <w:rPr>
          <w:rFonts w:hint="default"/>
          <w:b/>
          <w:bCs/>
          <w:color w:val="000000"/>
          <w:lang w:val="pt-BR"/>
        </w:rPr>
        <w:t>10</w:t>
      </w:r>
      <w:r>
        <w:rPr>
          <w:rFonts w:hint="default"/>
          <w:b/>
          <w:bCs/>
          <w:color w:val="000000"/>
          <w:lang w:val="pt-BR"/>
        </w:rPr>
        <w:t>h</w:t>
      </w:r>
    </w:p>
    <w:p>
      <w:pPr>
        <w:spacing w:after="120" w:line="276" w:lineRule="auto"/>
        <w:ind w:right="-15"/>
        <w:jc w:val="center"/>
        <w:rPr>
          <w:b/>
          <w:color w:val="0000FF"/>
          <w:u w:val="single"/>
        </w:rPr>
      </w:pPr>
      <w:r>
        <w:rPr>
          <w:color w:val="000000"/>
        </w:rPr>
        <w:t xml:space="preserve">Local: Portal de Compras do Governo Federal –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p>
    <w:p>
      <w:pPr>
        <w:spacing w:after="120" w:line="276" w:lineRule="auto"/>
        <w:ind w:right="-15"/>
        <w:jc w:val="center"/>
        <w:rPr>
          <w:b/>
          <w:color w:val="0000FF"/>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pPr>
      <w:r>
        <w:rPr>
          <w:b/>
          <w:color w:val="000000"/>
        </w:rPr>
        <w:t>DO OBJETO</w:t>
      </w:r>
    </w:p>
    <w:p>
      <w:pPr>
        <w:numPr>
          <w:ilvl w:val="1"/>
          <w:numId w:val="5"/>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logístico e administrativo na Universidade Federal Fluminense,</w:t>
      </w:r>
      <w:r>
        <w:rPr>
          <w:color w:val="000000"/>
        </w:rPr>
        <w:t xml:space="preserve"> conforme condições, quantidades e exigências estabelecidas neste Edital e seus anexos. </w:t>
      </w:r>
    </w:p>
    <w:p>
      <w:pPr>
        <w:numPr>
          <w:ilvl w:val="1"/>
          <w:numId w:val="5"/>
        </w:numPr>
        <w:tabs>
          <w:tab w:val="left" w:pos="709"/>
        </w:tabs>
        <w:spacing w:before="120" w:after="120" w:line="276" w:lineRule="auto"/>
        <w:ind w:left="1141" w:leftChars="0" w:hanging="432" w:firstLineChars="0"/>
        <w:jc w:val="both"/>
        <w:rPr>
          <w:rFonts w:hint="default" w:eastAsia="SimSun" w:cs="Arial"/>
          <w:i w:val="0"/>
          <w:iCs w:val="0"/>
          <w:color w:val="auto"/>
          <w:sz w:val="20"/>
          <w:szCs w:val="20"/>
          <w:u w:val="none"/>
          <w:vertAlign w:val="baseline"/>
          <w:lang w:val="pt-BR"/>
        </w:rPr>
      </w:pPr>
      <w:r>
        <w:rPr>
          <w:color w:val="000000"/>
        </w:rPr>
        <w:t>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grupo único, formados por </w:t>
      </w:r>
      <w:r>
        <w:rPr>
          <w:rFonts w:hint="default" w:eastAsia="SimSun" w:cs="Arial"/>
          <w:i w:val="0"/>
          <w:iCs w:val="0"/>
          <w:color w:val="auto"/>
          <w:sz w:val="20"/>
          <w:szCs w:val="20"/>
          <w:u w:val="none"/>
          <w:vertAlign w:val="baseline"/>
          <w:lang w:val="pt-BR"/>
        </w:rPr>
        <w:t>11 (onze) i</w:t>
      </w:r>
      <w:r>
        <w:rPr>
          <w:rFonts w:ascii="Arial" w:hAnsi="Arial" w:eastAsia="SimSun" w:cs="Arial"/>
          <w:i w:val="0"/>
          <w:iCs w:val="0"/>
          <w:color w:val="auto"/>
          <w:sz w:val="20"/>
          <w:szCs w:val="20"/>
          <w:u w:val="none"/>
          <w:vertAlign w:val="baseline"/>
        </w:rPr>
        <w:t>tens, conforme tabela constante no Termo de Referência, devendo o licitante oferecer proposta para todos os itens que o compõem</w:t>
      </w:r>
      <w:r>
        <w:rPr>
          <w:rFonts w:hint="default" w:eastAsia="SimSun" w:cs="Arial"/>
          <w:i w:val="0"/>
          <w:iCs w:val="0"/>
          <w:color w:val="auto"/>
          <w:sz w:val="20"/>
          <w:szCs w:val="20"/>
          <w:u w:val="none"/>
          <w:vertAlign w:val="baseline"/>
          <w:lang w:val="pt-BR"/>
        </w:rPr>
        <w:t>.</w:t>
      </w:r>
    </w:p>
    <w:p>
      <w:pPr>
        <w:numPr>
          <w:ilvl w:val="1"/>
          <w:numId w:val="5"/>
        </w:numPr>
        <w:tabs>
          <w:tab w:val="left" w:pos="709"/>
        </w:tabs>
        <w:spacing w:before="120" w:after="120" w:line="276" w:lineRule="auto"/>
        <w:ind w:left="1141" w:leftChars="0" w:hanging="432" w:firstLineChars="0"/>
        <w:jc w:val="both"/>
        <w:rPr>
          <w:iCs/>
        </w:rPr>
      </w:pPr>
      <w:r>
        <w:rPr>
          <w:iCs/>
        </w:rPr>
        <w:t xml:space="preserve">1.3. </w:t>
      </w:r>
      <w:r>
        <w:rPr>
          <w:color w:val="000000"/>
        </w:rPr>
        <w:t xml:space="preserve">O critério de julgamento adotado será o menor preço </w:t>
      </w:r>
      <w:r>
        <w:rPr>
          <w:rFonts w:hint="default"/>
          <w:color w:val="000000"/>
          <w:lang w:val="pt-BR"/>
        </w:rPr>
        <w:t>global do grupo</w:t>
      </w:r>
      <w:r>
        <w:rPr>
          <w:iCs/>
        </w:rPr>
        <w:t>, observadas as exigências contidas neste Edital e seus Anexos quanto às especificações do objeto.</w:t>
      </w:r>
    </w:p>
    <w:p>
      <w:pPr>
        <w:pBdr>
          <w:top w:val="none" w:color="auto" w:sz="0" w:space="0"/>
          <w:left w:val="none" w:color="auto" w:sz="0" w:space="0"/>
          <w:bottom w:val="none" w:color="auto" w:sz="0" w:space="0"/>
          <w:right w:val="none" w:color="auto" w:sz="0" w:space="0"/>
          <w:between w:val="none" w:color="auto" w:sz="0" w:space="0"/>
        </w:pBdr>
        <w:spacing w:line="276" w:lineRule="auto"/>
        <w:ind w:left="567" w:firstLine="283"/>
        <w:jc w:val="both"/>
        <w:rPr>
          <w:iCs/>
          <w:u w:val="single"/>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Cs/>
        </w:rPr>
      </w:pPr>
      <w:r>
        <w:rPr>
          <w:b/>
          <w:iCs/>
        </w:rPr>
        <w:t>DOS RECURSOS ORÇAMENTÁRIOS</w:t>
      </w:r>
    </w:p>
    <w:p>
      <w:pPr>
        <w:numPr>
          <w:ilvl w:val="1"/>
          <w:numId w:val="6"/>
        </w:numPr>
        <w:spacing w:before="120" w:after="120" w:line="276" w:lineRule="auto"/>
        <w:jc w:val="both"/>
      </w:pPr>
      <w:r>
        <w:t xml:space="preserve">As despesas para atender a esta licitação </w:t>
      </w:r>
      <w:r>
        <w:rPr>
          <w:rFonts w:hint="default"/>
          <w:lang w:val="pt-BR"/>
        </w:rPr>
        <w:t xml:space="preserve">serão indicadas quando da homologação do procedimento licitatório, conforme despacho PLOR/PLAN SEI nº </w:t>
      </w:r>
      <w:r>
        <w:rPr>
          <w:rFonts w:hint="default"/>
          <w:b/>
          <w:bCs/>
          <w:lang w:val="pt-BR"/>
        </w:rPr>
        <w:t>0805392</w:t>
      </w:r>
      <w:r>
        <w:rPr>
          <w:rFonts w:hint="default" w:ascii="Calibri" w:hAnsi="Calibri" w:eastAsia="SimSun" w:cs="Calibri"/>
          <w:b/>
          <w:bCs/>
          <w:i w:val="0"/>
          <w:iCs w:val="0"/>
          <w:caps w:val="0"/>
          <w:color w:val="000000"/>
          <w:spacing w:val="0"/>
          <w:sz w:val="21"/>
          <w:szCs w:val="21"/>
        </w:rPr>
        <w:t> </w:t>
      </w:r>
      <w:r>
        <w:rPr>
          <w:rFonts w:hint="default" w:ascii="Calibri" w:hAnsi="Calibri" w:eastAsia="SimSun" w:cs="Calibri"/>
          <w:b w:val="0"/>
          <w:bCs w:val="0"/>
          <w:i w:val="0"/>
          <w:iCs w:val="0"/>
          <w:caps w:val="0"/>
          <w:color w:val="000000"/>
          <w:spacing w:val="0"/>
          <w:sz w:val="21"/>
          <w:szCs w:val="21"/>
          <w:lang w:val="pt-BR"/>
        </w:rPr>
        <w:t>(</w:t>
      </w:r>
      <w:r>
        <w:rPr>
          <w:rFonts w:hint="default"/>
          <w:lang w:val="pt-BR"/>
        </w:rPr>
        <w:t>https://sei.uff.br/sei/controlador.php?acao=procedimento_trabalhar&amp;id_procedimento=874376&amp;id_documento=878830).</w:t>
      </w: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rPr>
      </w:pPr>
      <w:r>
        <w:rPr>
          <w:b/>
        </w:rPr>
        <w:t>DO CREDENCIAMENTO</w:t>
      </w:r>
    </w:p>
    <w:p>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color w:val="000080"/>
          <w:u w:val="single"/>
        </w:rPr>
        <w:t>www.gov.br/compras</w:t>
      </w:r>
      <w:r>
        <w:rPr>
          <w:color w:val="000080"/>
          <w:u w:val="single"/>
        </w:rPr>
        <w:fldChar w:fldCharType="end"/>
      </w:r>
      <w:r>
        <w:rPr>
          <w:color w:val="000000"/>
        </w:rPr>
        <w:t>, por meio de certificado digital conferido pela Infraestrutura de Chaves Públicas Brasileira – ICP - Brasil.</w:t>
      </w:r>
    </w:p>
    <w:p>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pPr>
        <w:keepNext/>
        <w:keepLines/>
        <w:numPr>
          <w:ilvl w:val="0"/>
          <w:numId w:val="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PARTICIPAÇÃO NO PREGÃO.</w:t>
      </w:r>
    </w:p>
    <w:p>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before="120" w:after="120" w:line="276" w:lineRule="auto"/>
        <w:jc w:val="both"/>
        <w:rPr>
          <w:color w:val="000000"/>
        </w:rPr>
      </w:pPr>
      <w:r>
        <w:rPr>
          <w:color w:val="000000"/>
        </w:rPr>
        <w:t>Os licitantes deverão utilizar o certificado digital para acesso ao Sistema</w:t>
      </w:r>
    </w:p>
    <w:p>
      <w:pPr>
        <w:numPr>
          <w:ilvl w:val="1"/>
          <w:numId w:val="8"/>
        </w:numPr>
        <w:spacing w:before="120" w:after="120" w:line="276" w:lineRule="auto"/>
        <w:jc w:val="both"/>
        <w:rPr>
          <w:color w:val="000000"/>
        </w:rPr>
      </w:pPr>
      <w:r>
        <w:rPr>
          <w:color w:val="000000"/>
        </w:rPr>
        <w:t>Não poderão participar desta licitação os interessados: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não atendam às condições deste Edital e seu(s) anexo(s);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se enquadrem nas vedações previstas no artigo 9º da Lei nº 8.666, de 1993;</w:t>
      </w:r>
    </w:p>
    <w:p>
      <w:pPr>
        <w:keepNext/>
        <w:widowControl w:val="0"/>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pPr>
        <w:numPr>
          <w:ilvl w:val="2"/>
          <w:numId w:val="9"/>
        </w:numPr>
        <w:pBdr>
          <w:top w:val="none" w:color="auto" w:sz="0" w:space="0"/>
          <w:left w:val="none" w:color="auto" w:sz="0" w:space="0"/>
          <w:bottom w:val="none" w:color="auto" w:sz="0" w:space="0"/>
          <w:right w:val="none" w:color="auto" w:sz="0" w:space="0"/>
          <w:between w:val="none" w:color="auto" w:sz="0" w:space="0"/>
        </w:pBdr>
        <w:spacing w:line="276" w:lineRule="auto"/>
        <w:rPr>
          <w:color w:val="000000"/>
        </w:rPr>
      </w:pPr>
      <w:r>
        <w:rPr>
          <w:color w:val="000000"/>
        </w:rPr>
        <w:t>entidades empresariais que estejam reunidas em consórcio;</w:t>
      </w:r>
    </w:p>
    <w:p>
      <w:pPr>
        <w:spacing w:line="276" w:lineRule="auto"/>
      </w:pPr>
    </w:p>
    <w:p>
      <w:pPr>
        <w:numPr>
          <w:ilvl w:val="2"/>
          <w:numId w:val="9"/>
        </w:numPr>
        <w:pBdr>
          <w:top w:val="none" w:color="auto" w:sz="0" w:space="0"/>
          <w:left w:val="none" w:color="auto" w:sz="0" w:space="0"/>
          <w:bottom w:val="none" w:color="auto" w:sz="0" w:space="0"/>
          <w:right w:val="none" w:color="auto" w:sz="0" w:space="0"/>
          <w:between w:val="none" w:color="auto" w:sz="0" w:space="0"/>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pPr>
        <w:numPr>
          <w:ilvl w:val="3"/>
          <w:numId w:val="9"/>
        </w:numPr>
        <w:tabs>
          <w:tab w:val="left" w:pos="1440"/>
        </w:tabs>
        <w:spacing w:before="120" w:after="120" w:line="276" w:lineRule="auto"/>
        <w:jc w:val="both"/>
        <w:rPr>
          <w:iCs/>
        </w:rPr>
      </w:pPr>
      <w:r>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numPr>
          <w:ilvl w:val="2"/>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está ciente e concorda com as condições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pPr>
        <w:spacing w:before="120" w:after="120" w:line="276" w:lineRule="auto"/>
        <w:ind w:left="425"/>
        <w:jc w:val="both"/>
      </w:pPr>
    </w:p>
    <w:p>
      <w:pPr>
        <w:keepNext/>
        <w:keepLines/>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right="-15" w:hanging="360"/>
        <w:jc w:val="both"/>
        <w:rPr>
          <w:b/>
          <w:color w:val="000000"/>
        </w:rPr>
      </w:pPr>
      <w:r>
        <w:rPr>
          <w:b/>
          <w:color w:val="000000"/>
        </w:rPr>
        <w:t>5.</w:t>
      </w:r>
      <w:r>
        <w:rPr>
          <w:b/>
          <w:color w:val="000000"/>
        </w:rPr>
        <w:tab/>
      </w:r>
      <w:r>
        <w:rPr>
          <w:b/>
          <w:color w:val="000000"/>
        </w:rPr>
        <w:t xml:space="preserve"> DA APRESENTAÇÃO DA PROPOSTA E DOS DOCUMENTOS DE HABILITAÇÃO</w:t>
      </w:r>
    </w:p>
    <w:p>
      <w:pPr>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spacing w:before="120" w:after="120" w:line="276" w:lineRule="auto"/>
        <w:ind w:left="425"/>
        <w:jc w:val="both"/>
      </w:pPr>
      <w:r>
        <w:t>5.2.</w:t>
      </w:r>
      <w:r>
        <w:tab/>
      </w:r>
      <w:r>
        <w:t>O envio da proposta, acompanhada dos documentos de habilitação exigidos neste Edital, ocorrerá por meio de chave de acesso e senha.</w:t>
      </w:r>
    </w:p>
    <w:p>
      <w:pPr>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pPr>
    </w:p>
    <w:p>
      <w:pPr>
        <w:keepNext/>
        <w:keepLines/>
        <w:numPr>
          <w:ilvl w:val="0"/>
          <w:numId w:val="11"/>
        </w:numPr>
        <w:pBdr>
          <w:top w:val="none" w:color="auto" w:sz="0" w:space="0"/>
          <w:left w:val="none" w:color="auto" w:sz="0" w:space="0"/>
          <w:bottom w:val="none" w:color="auto" w:sz="0" w:space="0"/>
          <w:right w:val="none" w:color="auto" w:sz="0" w:space="0"/>
          <w:between w:val="none" w:color="auto" w:sz="0" w:space="0"/>
        </w:pBdr>
        <w:spacing w:before="480" w:after="120" w:line="276" w:lineRule="auto"/>
        <w:ind w:left="425" w:right="-15" w:firstLine="66"/>
        <w:jc w:val="both"/>
        <w:rPr>
          <w:color w:val="000000"/>
        </w:rPr>
      </w:pPr>
      <w:r>
        <w:rPr>
          <w:b/>
          <w:color w:val="000000"/>
        </w:rPr>
        <w:t>DO PREENCHIMENTO DA PROPOSTA</w:t>
      </w:r>
      <w:r>
        <w:t xml:space="preserve">  </w:t>
      </w:r>
    </w:p>
    <w:p>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pPr>
        <w:numPr>
          <w:ilvl w:val="1"/>
          <w:numId w:val="11"/>
        </w:numPr>
        <w:spacing w:before="120" w:after="120" w:line="276" w:lineRule="auto"/>
        <w:ind w:left="425" w:firstLine="0"/>
        <w:jc w:val="both"/>
      </w:pPr>
      <w:r>
        <w:t>Todas as especificações do objeto contidas na proposta vinculam a Contratada.</w:t>
      </w:r>
    </w:p>
    <w:p>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11"/>
        </w:numPr>
        <w:spacing w:before="120" w:after="120" w:line="276" w:lineRule="auto"/>
        <w:jc w:val="both"/>
      </w:pPr>
      <w:r>
        <w:t>cotação de percentual menor que o adequado: o percentual será mantido durante toda a execução contratual;</w:t>
      </w:r>
    </w:p>
    <w:p>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ABERTURA DA SESSÃO, CLASSIFICAÇÃO DAS PROPOSTAS E FORMULAÇÃO DE LANCES</w:t>
      </w:r>
    </w:p>
    <w:p>
      <w:pPr>
        <w:numPr>
          <w:ilvl w:val="1"/>
          <w:numId w:val="1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Também será desclassificada a proposta que identifique o licitante.</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pPr>
        <w:numPr>
          <w:ilvl w:val="1"/>
          <w:numId w:val="13"/>
        </w:numPr>
        <w:spacing w:before="120" w:after="120" w:line="276" w:lineRule="auto"/>
        <w:jc w:val="both"/>
      </w:pPr>
      <w:r>
        <w:t>Os licitantes poderão oferecer lances sucessivos, observando o horário fixado para abertura da sessão e as regras estabelecidas no Edital.</w:t>
      </w:r>
    </w:p>
    <w:p>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pPr>
        <w:numPr>
          <w:ilvl w:val="1"/>
          <w:numId w:val="14"/>
        </w:numPr>
        <w:spacing w:before="120" w:after="120" w:line="276" w:lineRule="auto"/>
        <w:jc w:val="both"/>
      </w:pPr>
      <w:r>
        <w:rPr>
          <w:color w:val="000000"/>
        </w:rPr>
        <w:t>Caso o licitante não apresente lances, concorrerá com o valor de sua proposta.</w:t>
      </w:r>
    </w:p>
    <w:p>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prestados por empresas brasileiras; </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invistam em pesquisa e no desenvolvimento de tecnologia no País;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ACEITABILIDADE DA PROPOSTA VENCEDORA.</w:t>
      </w:r>
    </w:p>
    <w:p>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pPr>
        <w:numPr>
          <w:ilvl w:val="2"/>
          <w:numId w:val="16"/>
        </w:numPr>
        <w:pBdr>
          <w:top w:val="none" w:color="auto" w:sz="0" w:space="0"/>
          <w:left w:val="none" w:color="auto" w:sz="0" w:space="0"/>
          <w:bottom w:val="none" w:color="auto" w:sz="0" w:space="0"/>
          <w:right w:val="none" w:color="auto" w:sz="0" w:space="0"/>
          <w:between w:val="none" w:color="auto" w:sz="0" w:space="0"/>
        </w:pBdr>
        <w:spacing w:before="120" w:line="276" w:lineRule="auto"/>
        <w:ind w:right="-15"/>
        <w:jc w:val="both"/>
        <w:rPr>
          <w:color w:val="000000"/>
        </w:rPr>
      </w:pPr>
      <w:r>
        <w:rPr>
          <w:color w:val="000000"/>
        </w:rPr>
        <w:t>não estiver em conformidade com os requisitos estabelecidos neste edital;</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contenha vício insanável ou ilegalidade;</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não apresente as especificações técnicas exigidas pelo Termo de Referência;</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b/>
        </w:rPr>
        <w:t xml:space="preserve">CCT </w:t>
      </w:r>
      <w:r>
        <w:rPr>
          <w:rFonts w:hint="default"/>
          <w:b/>
          <w:lang w:val="pt-BR"/>
        </w:rPr>
        <w:t xml:space="preserve">2021/2022 </w:t>
      </w:r>
      <w:r>
        <w:rPr>
          <w:b/>
        </w:rPr>
        <w:t xml:space="preserve"> - RJ0</w:t>
      </w:r>
      <w:r>
        <w:rPr>
          <w:rFonts w:hint="default"/>
          <w:b/>
          <w:lang w:val="pt-BR"/>
        </w:rPr>
        <w:t>00597/2022;</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r>
        <w:fldChar w:fldCharType="begin"/>
      </w:r>
      <w:r>
        <w:instrText xml:space="preserve"> HYPERLINK "http://www.gov.br/compras" \h </w:instrText>
      </w:r>
      <w:r>
        <w:fldChar w:fldCharType="separate"/>
      </w:r>
      <w:r>
        <w:rPr>
          <w:b/>
          <w:iCs/>
          <w:u w:val="single"/>
        </w:rPr>
        <w:t>www.gov.br/compras</w:t>
      </w:r>
      <w:r>
        <w:rPr>
          <w:b/>
          <w:iCs/>
          <w:u w:val="single"/>
        </w:rPr>
        <w:fldChar w:fldCharType="end"/>
      </w:r>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ascii="Arial" w:hAnsi="Arial" w:eastAsia="SimSun" w:cs="Arial"/>
          <w:b/>
          <w:bCs/>
          <w:i w:val="0"/>
          <w:iCs w:val="0"/>
          <w:color w:val="000000"/>
          <w:sz w:val="20"/>
          <w:szCs w:val="20"/>
          <w:u w:val="none"/>
          <w:shd w:val="clear" w:fill="FFFFFF"/>
          <w:vertAlign w:val="baseline"/>
        </w:rPr>
        <w:t xml:space="preserve"> 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4"/>
          <w:rFonts w:hint="default" w:ascii="Arial" w:hAnsi="Arial" w:eastAsia="SimSun" w:cs="Arial"/>
          <w:b/>
          <w:bCs/>
          <w:i w:val="0"/>
          <w:iCs w:val="0"/>
          <w:color w:val="1155CC"/>
          <w:sz w:val="20"/>
          <w:szCs w:val="20"/>
          <w:u w:val="single"/>
          <w:shd w:val="clear" w:fill="FFFFFF"/>
          <w:vertAlign w:val="baseline"/>
        </w:rPr>
        <w:t>cpl@id.uff.b</w:t>
      </w:r>
      <w:r>
        <w:rPr>
          <w:rStyle w:val="14"/>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SimSun" w:hAnsi="SimSun" w:eastAsia="SimSun" w:cs="SimSun"/>
          <w:b w:val="0"/>
          <w:bCs w:val="0"/>
          <w:sz w:val="24"/>
          <w:szCs w:val="24"/>
          <w:u w:val="none"/>
          <w:lang w:val="pt-BR"/>
        </w:rPr>
        <w:t xml:space="preserve"> </w:t>
      </w:r>
      <w:r>
        <w:rPr>
          <w:color w:val="000000"/>
        </w:rPr>
        <w:t>pelo licitante, antes de findo o prazo.</w:t>
      </w:r>
    </w:p>
    <w:p>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numPr>
          <w:ilvl w:val="1"/>
          <w:numId w:val="21"/>
        </w:numPr>
        <w:spacing w:before="120" w:after="120" w:line="276" w:lineRule="auto"/>
        <w:ind w:right="-1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AMOSTRA: o pregoeiro poderá solicitar Amostra dos Materiais a serem utilizados na execução do Contrato, de forma a garantir a qualidade dos mesmos. Caso julgue necessário, a solicitação será feita por Chat com o prazo e endereço para recebimento.</w:t>
      </w:r>
    </w:p>
    <w:p>
      <w:pPr>
        <w:spacing w:before="120" w:after="120" w:line="276" w:lineRule="auto"/>
        <w:ind w:left="1036" w:right="-15"/>
        <w:jc w:val="both"/>
        <w:rPr>
          <w:color w:val="000000"/>
        </w:rPr>
      </w:pPr>
    </w:p>
    <w:p>
      <w:pPr>
        <w:keepNext/>
        <w:keepLines/>
        <w:numPr>
          <w:ilvl w:val="0"/>
          <w:numId w:val="2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DA HABILITAÇÃO </w:t>
      </w:r>
    </w:p>
    <w:p>
      <w:pPr>
        <w:numPr>
          <w:ilvl w:val="1"/>
          <w:numId w:val="23"/>
        </w:numPr>
        <w:pBdr>
          <w:top w:val="none" w:color="auto" w:sz="0" w:space="0"/>
          <w:left w:val="none" w:color="auto" w:sz="0" w:space="0"/>
          <w:bottom w:val="none" w:color="auto" w:sz="0" w:space="0"/>
          <w:right w:val="none" w:color="auto" w:sz="0" w:space="0"/>
          <w:between w:val="none" w:color="auto" w:sz="0" w:space="0"/>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720" w:firstLine="720"/>
        <w:jc w:val="both"/>
        <w:rPr>
          <w:color w:val="000000"/>
        </w:rPr>
      </w:pPr>
      <w:r>
        <w:t xml:space="preserve">    a</w:t>
      </w:r>
      <w:r>
        <w:rPr>
          <w:color w:val="000000"/>
        </w:rPr>
        <w:t>) SICAF;</w:t>
      </w:r>
    </w:p>
    <w:p>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r>
        <w:fldChar w:fldCharType="begin"/>
      </w:r>
      <w:r>
        <w:instrText xml:space="preserve"> HYPERLINK "http://www.portaldatransparencia.gov.br/ceis" \h </w:instrText>
      </w:r>
      <w:r>
        <w:fldChar w:fldCharType="separate"/>
      </w:r>
      <w:r>
        <w:rPr>
          <w:b/>
          <w:color w:val="0000FF"/>
          <w:u w:val="single"/>
        </w:rPr>
        <w:t>www.portaldatransparencia.gov.br/ceis</w:t>
      </w:r>
      <w:r>
        <w:rPr>
          <w:b/>
          <w:color w:val="0000FF"/>
          <w:u w:val="single"/>
        </w:rPr>
        <w:fldChar w:fldCharType="end"/>
      </w:r>
      <w:r>
        <w:rPr>
          <w:b/>
          <w:color w:val="0000FF"/>
        </w:rPr>
        <w:t>);</w:t>
      </w:r>
    </w:p>
    <w:p>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r>
        <w:fldChar w:fldCharType="begin"/>
      </w:r>
      <w:r>
        <w:instrText xml:space="preserve"> HYPERLINK "http://www.cnj.jus.br/improbidade_adm/consultar_requerido.php" \h </w:instrText>
      </w:r>
      <w:r>
        <w:fldChar w:fldCharType="separate"/>
      </w:r>
      <w:r>
        <w:rPr>
          <w:b/>
          <w:color w:val="0000FF"/>
          <w:u w:val="single"/>
        </w:rPr>
        <w:t>www.cnj.jus.br/improbidade_adm/consultar_requerido.php</w:t>
      </w:r>
      <w:r>
        <w:rPr>
          <w:b/>
          <w:color w:val="0000FF"/>
          <w:u w:val="single"/>
        </w:rPr>
        <w:fldChar w:fldCharType="end"/>
      </w:r>
      <w:r>
        <w:rPr>
          <w:b/>
          <w:color w:val="0000FF"/>
        </w:rPr>
        <w:t>);</w:t>
      </w:r>
    </w:p>
    <w:p>
      <w:pPr>
        <w:ind w:left="1134" w:hanging="1134"/>
      </w:pPr>
      <w:r>
        <w:t xml:space="preserve">                    d) Lista de Inidôneos e o Cadastro Integrado de Condenações por Ilícitos Administrativos            - CADICON, mantidos pelo Tribunal de Contas da União - TCU;</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r>
        <w:fldChar w:fldCharType="begin"/>
      </w:r>
      <w:r>
        <w:instrText xml:space="preserve"> HYPERLINK "https://certidoesapf.apps.tcu.gov.br/" \h </w:instrText>
      </w:r>
      <w:r>
        <w:fldChar w:fldCharType="separate"/>
      </w:r>
      <w:r>
        <w:rPr>
          <w:b/>
          <w:color w:val="0000FF"/>
          <w:u w:val="single"/>
        </w:rPr>
        <w:t>https://certidoesapf.apps.tcu.gov.br/</w:t>
      </w:r>
      <w:r>
        <w:rPr>
          <w:b/>
          <w:color w:val="0000FF"/>
          <w:u w:val="single"/>
        </w:rPr>
        <w:fldChar w:fldCharType="end"/>
      </w:r>
      <w:r>
        <w:rPr>
          <w:b/>
          <w:color w:val="0000FF"/>
        </w:rPr>
        <w:t>)</w:t>
      </w:r>
      <w:r>
        <w:rPr>
          <w:color w:val="000000"/>
        </w:rPr>
        <w:t>.</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 tentativa de burla será verificada por meio dos vínculos societários, linhas de fornecimento similares, dentre outros.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O licitante será convocado para manifestação previamente à sua desclassificação.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numPr>
          <w:ilvl w:val="1"/>
          <w:numId w:val="24"/>
        </w:numPr>
        <w:spacing w:before="120" w:after="120" w:line="276" w:lineRule="auto"/>
        <w:ind w:left="785"/>
        <w:jc w:val="both"/>
        <w:rPr>
          <w:b/>
          <w:color w:val="000000"/>
        </w:rPr>
      </w:pPr>
      <w:r>
        <w:rPr>
          <w:b/>
          <w:color w:val="000000"/>
        </w:rPr>
        <w:t xml:space="preserve">Habilitação jurídica: </w:t>
      </w:r>
    </w:p>
    <w:p>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24"/>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color w:val="000000"/>
        </w:rPr>
      </w:pPr>
      <w:r>
        <w:rPr>
          <w:color w:val="000000"/>
        </w:rPr>
        <w:t>Os documentos acima deverão estar acompanhados de todas as alterações ou da consolidação respectiva.</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hanging="720"/>
        <w:jc w:val="both"/>
        <w:rPr>
          <w:color w:val="000000"/>
        </w:rPr>
      </w:pPr>
    </w:p>
    <w:p>
      <w:pPr>
        <w:numPr>
          <w:ilvl w:val="1"/>
          <w:numId w:val="24"/>
        </w:numPr>
        <w:spacing w:before="120" w:after="120" w:line="276" w:lineRule="auto"/>
        <w:ind w:left="425" w:firstLine="0"/>
        <w:jc w:val="both"/>
        <w:rPr>
          <w:b/>
          <w:color w:val="000000"/>
        </w:rPr>
      </w:pPr>
      <w:r>
        <w:rPr>
          <w:b/>
          <w:color w:val="000000"/>
        </w:rPr>
        <w:t xml:space="preserve">  Regularidade fiscal e trabalhista:</w:t>
      </w:r>
    </w:p>
    <w:p>
      <w:pPr>
        <w:numPr>
          <w:ilvl w:val="2"/>
          <w:numId w:val="24"/>
        </w:numPr>
        <w:tabs>
          <w:tab w:val="left" w:pos="1440"/>
        </w:tabs>
        <w:spacing w:before="120" w:after="120" w:line="276" w:lineRule="auto"/>
        <w:ind w:left="1134" w:firstLine="0"/>
        <w:jc w:val="both"/>
      </w:pPr>
      <w:r>
        <w:t>prova de inscrição no Cadastro Nacional de Pessoas Jurídicas;</w:t>
      </w:r>
    </w:p>
    <w:p>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24"/>
        </w:numPr>
        <w:spacing w:before="120" w:after="120" w:line="276" w:lineRule="auto"/>
        <w:ind w:left="425" w:firstLine="0"/>
        <w:jc w:val="both"/>
        <w:rPr>
          <w:b/>
          <w:color w:val="000000"/>
        </w:rPr>
      </w:pPr>
      <w:r>
        <w:rPr>
          <w:b/>
          <w:color w:val="000000"/>
        </w:rPr>
        <w:t xml:space="preserve"> Qualificação Econômico-Financeira: </w:t>
      </w:r>
    </w:p>
    <w:p>
      <w:p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ind w:left="1854" w:hanging="720"/>
        <w:jc w:val="both"/>
        <w:rPr>
          <w:color w:val="000000"/>
          <w:highlight w:val="yellow"/>
        </w:rPr>
      </w:pPr>
    </w:p>
    <w:p>
      <w:pPr>
        <w:numPr>
          <w:ilvl w:val="2"/>
          <w:numId w:val="24"/>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p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854" w:hanging="720"/>
        <w:jc w:val="both"/>
        <w:rPr>
          <w:color w:val="000000"/>
        </w:rPr>
      </w:pPr>
      <w:bookmarkStart w:id="6" w:name="_heading=h.3dy6vkm" w:colFirst="0" w:colLast="0"/>
      <w:bookmarkEnd w:id="6"/>
    </w:p>
    <w:p>
      <w:pPr>
        <w:numPr>
          <w:ilvl w:val="3"/>
          <w:numId w:val="24"/>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LG =</w:t>
            </w:r>
          </w:p>
        </w:tc>
        <w:tc>
          <w:tcPr>
            <w:tcW w:w="4252" w:type="dxa"/>
            <w:tcBorders>
              <w:bottom w:val="single" w:color="000000" w:sz="4" w:space="0"/>
            </w:tcBorders>
            <w:vAlign w:val="bottom"/>
          </w:tcPr>
          <w:p>
            <w:pPr>
              <w:tabs>
                <w:tab w:val="left" w:pos="1440"/>
              </w:tabs>
              <w:spacing w:line="276" w:lineRule="auto"/>
              <w:jc w:val="both"/>
              <w:rPr>
                <w:color w:val="000000"/>
              </w:rPr>
            </w:pPr>
            <w:r>
              <w:rPr>
                <w:color w:val="00000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252"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SG =</w:t>
            </w:r>
          </w:p>
        </w:tc>
        <w:tc>
          <w:tcPr>
            <w:tcW w:w="4394" w:type="dxa"/>
            <w:tcBorders>
              <w:bottom w:val="single" w:color="000000" w:sz="4" w:space="0"/>
            </w:tcBorders>
            <w:vAlign w:val="bottom"/>
          </w:tcPr>
          <w:p>
            <w:pPr>
              <w:tabs>
                <w:tab w:val="left" w:pos="1440"/>
              </w:tabs>
              <w:spacing w:line="276" w:lineRule="auto"/>
              <w:jc w:val="both"/>
              <w:rPr>
                <w:color w:val="000000"/>
              </w:rPr>
            </w:pPr>
            <w:r>
              <w:rPr>
                <w:color w:val="00000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394"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LC =</w:t>
            </w:r>
          </w:p>
        </w:tc>
        <w:tc>
          <w:tcPr>
            <w:tcW w:w="2551" w:type="dxa"/>
            <w:tcBorders>
              <w:bottom w:val="single" w:color="000000" w:sz="4" w:space="0"/>
            </w:tcBorders>
            <w:vAlign w:val="bottom"/>
          </w:tcPr>
          <w:p>
            <w:pPr>
              <w:tabs>
                <w:tab w:val="left" w:pos="1440"/>
              </w:tabs>
              <w:spacing w:line="276" w:lineRule="auto"/>
              <w:jc w:val="both"/>
              <w:rPr>
                <w:color w:val="000000"/>
              </w:rPr>
            </w:pPr>
            <w:r>
              <w:rPr>
                <w:color w:val="00000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2551" w:type="dxa"/>
            <w:tcBorders>
              <w:top w:val="single" w:color="000000" w:sz="4" w:space="0"/>
            </w:tcBorders>
          </w:tcPr>
          <w:p>
            <w:pPr>
              <w:tabs>
                <w:tab w:val="left" w:pos="1440"/>
              </w:tabs>
              <w:spacing w:line="276" w:lineRule="auto"/>
              <w:jc w:val="both"/>
              <w:rPr>
                <w:color w:val="000000"/>
              </w:rPr>
            </w:pPr>
            <w:r>
              <w:rPr>
                <w:color w:val="000000"/>
              </w:rPr>
              <w:t>Passivo Circulante</w:t>
            </w:r>
          </w:p>
        </w:tc>
      </w:tr>
    </w:tbl>
    <w:p>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numPr>
          <w:ilvl w:val="3"/>
          <w:numId w:val="24"/>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numPr>
          <w:ilvl w:val="3"/>
          <w:numId w:val="24"/>
        </w:numPr>
        <w:spacing w:line="276" w:lineRule="auto"/>
        <w:ind w:left="1701" w:firstLine="0"/>
        <w:jc w:val="both"/>
        <w:rPr>
          <w:color w:val="auto"/>
        </w:rPr>
      </w:pPr>
      <w:r>
        <w:rPr>
          <w:rFonts w:cs="Arial"/>
          <w:color w:val="auto"/>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r>
        <w:rPr>
          <w:rFonts w:hint="default" w:cs="Arial"/>
          <w:color w:val="auto"/>
          <w:szCs w:val="20"/>
          <w:shd w:val="clear" w:color="auto" w:fill="FFFFFF"/>
          <w:lang w:val="pt-BR"/>
        </w:rPr>
        <w:t>.</w:t>
      </w:r>
    </w:p>
    <w:p>
      <w:pPr>
        <w:spacing w:line="276" w:lineRule="auto"/>
        <w:jc w:val="both"/>
      </w:pPr>
    </w:p>
    <w:p>
      <w:pPr>
        <w:numPr>
          <w:ilvl w:val="1"/>
          <w:numId w:val="24"/>
        </w:numPr>
        <w:spacing w:before="120" w:after="120" w:line="276" w:lineRule="auto"/>
        <w:ind w:left="425" w:firstLine="0"/>
        <w:jc w:val="both"/>
        <w:rPr>
          <w:b/>
          <w:color w:val="000000"/>
        </w:rPr>
      </w:pPr>
      <w:r>
        <w:rPr>
          <w:b/>
          <w:color w:val="000000"/>
        </w:rPr>
        <w:t xml:space="preserve"> Qualificação Técnica: </w:t>
      </w:r>
    </w:p>
    <w:p>
      <w:pPr>
        <w:numPr>
          <w:ilvl w:val="2"/>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pPr>
        <w:numPr>
          <w:ilvl w:val="4"/>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b/>
          <w:bCs/>
          <w:color w:val="000000"/>
          <w:highlight w:val="none"/>
        </w:rPr>
      </w:pPr>
      <w:bookmarkStart w:id="8" w:name="_heading=h.4d34og8" w:colFirst="0" w:colLast="0"/>
      <w:bookmarkEnd w:id="8"/>
      <w:r>
        <w:rPr>
          <w:b/>
          <w:bCs/>
          <w:color w:val="000000"/>
        </w:rPr>
        <w:t>O licitante deverá apresentar</w:t>
      </w:r>
      <w:r>
        <w:rPr>
          <w:rFonts w:hint="default"/>
          <w:b/>
          <w:bCs/>
          <w:color w:val="000000"/>
          <w:lang w:val="pt-BR"/>
        </w:rPr>
        <w:t xml:space="preserve">, </w:t>
      </w:r>
      <w:r>
        <w:rPr>
          <w:b/>
          <w:bCs/>
          <w:color w:val="000000"/>
        </w:rPr>
        <w:t xml:space="preserve">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w:t>
      </w:r>
      <w:r>
        <w:rPr>
          <w:b/>
          <w:bCs/>
          <w:color w:val="000000"/>
          <w:highlight w:val="none"/>
        </w:rPr>
        <w:t>demonstrando que a licitante gerencia ou gerenciou serviços de mão de obra</w:t>
      </w:r>
      <w:r>
        <w:rPr>
          <w:rFonts w:hint="default"/>
          <w:b/>
          <w:bCs/>
          <w:color w:val="000000"/>
          <w:highlight w:val="none"/>
          <w:lang w:val="pt-BR"/>
        </w:rPr>
        <w:t xml:space="preserve"> de qualquer categoria ou já executou contrato(s)</w:t>
      </w:r>
      <w:r>
        <w:rPr>
          <w:b/>
          <w:bCs/>
          <w:color w:val="000000"/>
          <w:highlight w:val="none"/>
        </w:rPr>
        <w:t>,</w:t>
      </w:r>
      <w:r>
        <w:rPr>
          <w:rFonts w:hint="default"/>
          <w:b/>
          <w:bCs/>
          <w:color w:val="000000"/>
          <w:highlight w:val="none"/>
          <w:lang w:val="pt-BR"/>
        </w:rPr>
        <w:t xml:space="preserve"> </w:t>
      </w:r>
      <w:r>
        <w:rPr>
          <w:rFonts w:hint="default"/>
          <w:b/>
          <w:bCs/>
          <w:color w:val="000000"/>
        </w:rPr>
        <w:t>com um mínimo de 50%</w:t>
      </w:r>
      <w:r>
        <w:rPr>
          <w:b/>
          <w:bCs/>
          <w:color w:val="000000"/>
        </w:rPr>
        <w:t xml:space="preserve"> </w:t>
      </w:r>
      <w:r>
        <w:rPr>
          <w:rFonts w:hint="default"/>
          <w:b/>
          <w:bCs/>
          <w:color w:val="000000"/>
          <w:lang w:val="pt-BR"/>
        </w:rPr>
        <w:t xml:space="preserve"> </w:t>
      </w:r>
      <w:r>
        <w:rPr>
          <w:rFonts w:hint="default"/>
          <w:b/>
          <w:bCs/>
          <w:color w:val="000000"/>
        </w:rPr>
        <w:t>(cinquenta por cento) do número de postos de trabalho a serem contratados</w:t>
      </w:r>
      <w:r>
        <w:rPr>
          <w:rFonts w:hint="default"/>
          <w:b/>
          <w:bCs/>
          <w:color w:val="000000"/>
          <w:lang w:val="pt-BR"/>
        </w:rPr>
        <w:t>, ou seja, 56 postos</w:t>
      </w:r>
      <w:r>
        <w:rPr>
          <w:rFonts w:hint="default"/>
          <w:b/>
          <w:bCs/>
          <w:color w:val="000000"/>
          <w:highlight w:val="none"/>
          <w:lang w:val="pt-BR"/>
        </w:rPr>
        <w:t>.</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numPr>
          <w:ilvl w:val="2"/>
          <w:numId w:val="24"/>
        </w:numPr>
        <w:tabs>
          <w:tab w:val="left" w:pos="1440"/>
        </w:tabs>
        <w:spacing w:before="120" w:after="120" w:line="276" w:lineRule="auto"/>
        <w:ind w:left="1134" w:firstLine="0"/>
        <w:jc w:val="both"/>
        <w:rPr>
          <w:rFonts w:cs="Arial"/>
          <w:iCs/>
          <w:szCs w:val="20"/>
        </w:rPr>
      </w:pPr>
      <w:r>
        <w:rPr>
          <w:b w:val="0"/>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p>
      <w:pPr>
        <w:numPr>
          <w:ilvl w:val="1"/>
          <w:numId w:val="24"/>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w:t>
      </w:r>
      <w:r>
        <w:rPr>
          <w:rFonts w:hint="default"/>
          <w:lang w:val="pt-BR"/>
        </w:rPr>
        <w:t xml:space="preserve">, </w:t>
      </w:r>
      <w:r>
        <w:rPr>
          <w:rFonts w:ascii="Arial" w:hAnsi="Arial" w:eastAsia="SimSun" w:cs="Arial"/>
          <w:b/>
          <w:bCs/>
          <w:i w:val="0"/>
          <w:iCs w:val="0"/>
          <w:color w:val="000000"/>
          <w:sz w:val="20"/>
          <w:szCs w:val="20"/>
          <w:u w:val="none"/>
          <w:vertAlign w:val="baseline"/>
        </w:rPr>
        <w:t>entretanto, por força do Acórdão TCU 1</w:t>
      </w:r>
      <w:r>
        <w:rPr>
          <w:rFonts w:eastAsia="SimSun" w:cs="Arial"/>
          <w:b/>
          <w:bCs/>
          <w:i w:val="0"/>
          <w:iCs w:val="0"/>
          <w:color w:val="000000"/>
          <w:sz w:val="20"/>
          <w:szCs w:val="20"/>
          <w:u w:val="none"/>
          <w:vertAlign w:val="baseline"/>
          <w:lang w:val="pt-BR"/>
        </w:rPr>
        <w:t>63/2022</w:t>
      </w:r>
      <w:r>
        <w:rPr>
          <w:rFonts w:ascii="Arial" w:hAnsi="Arial" w:eastAsia="SimSun" w:cs="Arial"/>
          <w:b/>
          <w:bCs/>
          <w:i w:val="0"/>
          <w:iCs w:val="0"/>
          <w:color w:val="000000"/>
          <w:sz w:val="20"/>
          <w:szCs w:val="20"/>
          <w:u w:val="none"/>
          <w:vertAlign w:val="baseline"/>
        </w:rPr>
        <w:t>-Plenário, não estará dispensado da apresentação do balanço patrimonial e das demonstrações contábeis do último exercício</w:t>
      </w:r>
      <w:r>
        <w:t>.</w:t>
      </w:r>
    </w:p>
    <w:p>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ENCAMINHAMENTO DA PROPOSTA VENCEDORA</w:t>
      </w:r>
    </w:p>
    <w:p>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pPr>
        <w:numPr>
          <w:ilvl w:val="2"/>
          <w:numId w:val="25"/>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pPr>
        <w:numPr>
          <w:ilvl w:val="2"/>
          <w:numId w:val="25"/>
        </w:numPr>
        <w:pBdr>
          <w:top w:val="none" w:color="auto" w:sz="0" w:space="0"/>
          <w:left w:val="none" w:color="auto" w:sz="0" w:space="0"/>
          <w:bottom w:val="none" w:color="auto" w:sz="0" w:space="0"/>
          <w:right w:val="none" w:color="auto" w:sz="0" w:space="0"/>
          <w:between w:val="none" w:color="auto" w:sz="0" w:space="0"/>
        </w:pBd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pPr>
        <w:numPr>
          <w:ilvl w:val="2"/>
          <w:numId w:val="25"/>
        </w:numPr>
        <w:pBdr>
          <w:top w:val="none" w:color="auto" w:sz="0" w:space="0"/>
          <w:left w:val="none" w:color="auto" w:sz="0" w:space="0"/>
          <w:bottom w:val="none" w:color="auto" w:sz="0" w:space="0"/>
          <w:right w:val="none" w:color="auto" w:sz="0" w:space="0"/>
          <w:between w:val="none" w:color="auto" w:sz="0" w:space="0"/>
        </w:pBdr>
        <w:spacing w:after="120" w:line="276" w:lineRule="auto"/>
        <w:ind w:left="1134" w:firstLine="0"/>
        <w:jc w:val="both"/>
        <w:rPr>
          <w:iCs/>
        </w:rPr>
      </w:pPr>
      <w:r>
        <w:rPr>
          <w:iCs/>
        </w:rPr>
        <w:t>conter a indicação do banco, número da conta e agência do licitante vencedor, para fins de pagamento.</w:t>
      </w:r>
    </w:p>
    <w:p>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pPr>
        <w:numPr>
          <w:ilvl w:val="2"/>
          <w:numId w:val="25"/>
        </w:numPr>
        <w:spacing w:before="120" w:after="120" w:line="276" w:lineRule="auto"/>
        <w:ind w:left="1134" w:firstLine="0"/>
        <w:jc w:val="both"/>
        <w:rPr>
          <w:iCs/>
        </w:rPr>
      </w:pPr>
      <w:r>
        <w:rPr>
          <w:iCs/>
        </w:rPr>
        <w:t>Todas as especificações do objeto contidas na proposta vinculam a Contratada.</w:t>
      </w:r>
    </w:p>
    <w:p>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25"/>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25"/>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DOS RECURSOS</w:t>
      </w:r>
    </w:p>
    <w:p>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REABERTURA DA SESSÃO PÚBLICA</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color w:val="000000"/>
        </w:rPr>
      </w:pPr>
      <w:r>
        <w:rPr>
          <w:color w:val="000000"/>
        </w:rPr>
        <w:t>A sessão pública poderá ser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ADJUDICAÇÃO E HOMOLOGAÇÃO</w:t>
      </w:r>
    </w:p>
    <w:p>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GARANTIA DE EXECUÇÃO</w:t>
      </w:r>
    </w:p>
    <w:p>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TERMO DE CONTRATO</w:t>
      </w:r>
    </w:p>
    <w:p>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highlight w:val="white"/>
        </w:rPr>
        <w:t>DO REAJUSTAMENTO EM SENTIDO GERAL</w:t>
      </w:r>
    </w:p>
    <w:p>
      <w:pPr>
        <w:keepNext/>
        <w:keepLines/>
        <w:numPr>
          <w:ilvl w:val="1"/>
          <w:numId w:val="26"/>
        </w:numPr>
        <w:pBdr>
          <w:top w:val="none" w:color="auto" w:sz="0" w:space="0"/>
          <w:left w:val="none" w:color="auto" w:sz="0" w:space="0"/>
          <w:bottom w:val="none" w:color="auto" w:sz="0" w:space="0"/>
          <w:right w:val="none" w:color="auto" w:sz="0" w:space="0"/>
          <w:between w:val="none" w:color="auto" w:sz="0" w:space="0"/>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360" w:after="120" w:line="276" w:lineRule="auto"/>
        <w:ind w:right="-15"/>
        <w:jc w:val="both"/>
        <w:rPr>
          <w:b/>
          <w:color w:val="000000"/>
        </w:rPr>
      </w:pPr>
      <w:r>
        <w:rPr>
          <w:b/>
          <w:color w:val="000000"/>
        </w:rPr>
        <w:t>DA ACEITAÇÃO DO OBJETO E DA FISCALIZAÇÃO</w:t>
      </w:r>
    </w:p>
    <w:p>
      <w:pPr>
        <w:numPr>
          <w:ilvl w:val="1"/>
          <w:numId w:val="26"/>
        </w:numPr>
        <w:spacing w:before="120" w:after="120" w:line="276" w:lineRule="auto"/>
        <w:ind w:left="425" w:firstLine="0"/>
        <w:jc w:val="both"/>
      </w:pPr>
      <w:r>
        <w:t>Os critérios de aceitação do objeto e de fiscalização estão previstos no Termo de Referência.</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OBRIGAÇÕES DA CONTRATANTE E DA CONTRATADA</w:t>
      </w:r>
    </w:p>
    <w:p>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PAGAMENTO</w:t>
      </w:r>
    </w:p>
    <w:p>
      <w:pPr>
        <w:numPr>
          <w:ilvl w:val="1"/>
          <w:numId w:val="26"/>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As regras acerca do pagamento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
        </w:rPr>
      </w:pPr>
      <w:r>
        <w:rPr>
          <w:b/>
          <w:i/>
        </w:rPr>
        <w:t>DA CONTA-DEPÓSITO VINCULADA</w:t>
      </w:r>
      <w:r>
        <w:rPr>
          <w:b/>
          <w:i/>
          <w:highlight w:val="white"/>
        </w:rPr>
        <w:t>― BLOQUEADA PARA MOVIMENTAÇÃO</w:t>
      </w:r>
    </w:p>
    <w:p>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SANÇÕES ADMINISTRATIVAS.</w:t>
      </w:r>
    </w:p>
    <w:p>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27"/>
        </w:numPr>
        <w:spacing w:before="120" w:after="120" w:line="276" w:lineRule="auto"/>
        <w:jc w:val="both"/>
        <w:rPr>
          <w:color w:val="000000"/>
        </w:rPr>
      </w:pPr>
      <w:r>
        <w:rPr>
          <w:color w:val="000000"/>
        </w:rPr>
        <w:t>não assinar a ata de registro de preços, quando cabível;</w:t>
      </w:r>
    </w:p>
    <w:p>
      <w:pPr>
        <w:numPr>
          <w:ilvl w:val="2"/>
          <w:numId w:val="27"/>
        </w:numPr>
        <w:spacing w:before="120" w:after="120" w:line="276" w:lineRule="auto"/>
        <w:jc w:val="both"/>
        <w:rPr>
          <w:color w:val="000000"/>
        </w:rPr>
      </w:pPr>
      <w:r>
        <w:rPr>
          <w:color w:val="000000"/>
        </w:rPr>
        <w:t>apresentar documentação falsa;</w:t>
      </w:r>
    </w:p>
    <w:p>
      <w:pPr>
        <w:numPr>
          <w:ilvl w:val="2"/>
          <w:numId w:val="27"/>
        </w:numPr>
        <w:spacing w:before="120" w:after="120" w:line="276" w:lineRule="auto"/>
        <w:jc w:val="both"/>
        <w:rPr>
          <w:color w:val="000000"/>
        </w:rPr>
      </w:pPr>
      <w:r>
        <w:rPr>
          <w:color w:val="000000"/>
        </w:rPr>
        <w:t>deixar de entregar os documentos exigidos no certame;</w:t>
      </w:r>
    </w:p>
    <w:p>
      <w:pPr>
        <w:numPr>
          <w:ilvl w:val="2"/>
          <w:numId w:val="27"/>
        </w:numPr>
        <w:spacing w:before="120" w:after="120" w:line="276" w:lineRule="auto"/>
        <w:jc w:val="both"/>
        <w:rPr>
          <w:color w:val="000000"/>
        </w:rPr>
      </w:pPr>
      <w:r>
        <w:rPr>
          <w:color w:val="000000"/>
        </w:rPr>
        <w:t>ensejar o retardamento da execução do objeto;</w:t>
      </w:r>
    </w:p>
    <w:p>
      <w:pPr>
        <w:numPr>
          <w:ilvl w:val="2"/>
          <w:numId w:val="27"/>
        </w:numPr>
        <w:spacing w:before="120" w:after="120" w:line="276" w:lineRule="auto"/>
        <w:jc w:val="both"/>
        <w:rPr>
          <w:color w:val="000000"/>
        </w:rPr>
      </w:pPr>
      <w:r>
        <w:rPr>
          <w:color w:val="000000"/>
        </w:rPr>
        <w:t>não mantiver a proposta;</w:t>
      </w:r>
    </w:p>
    <w:p>
      <w:pPr>
        <w:numPr>
          <w:ilvl w:val="2"/>
          <w:numId w:val="27"/>
        </w:numPr>
        <w:spacing w:before="120" w:after="120" w:line="276" w:lineRule="auto"/>
        <w:jc w:val="both"/>
        <w:rPr>
          <w:color w:val="000000"/>
        </w:rPr>
      </w:pPr>
      <w:r>
        <w:rPr>
          <w:color w:val="000000"/>
        </w:rPr>
        <w:t>cometer fraude fiscal;</w:t>
      </w:r>
    </w:p>
    <w:p>
      <w:pPr>
        <w:numPr>
          <w:ilvl w:val="2"/>
          <w:numId w:val="27"/>
        </w:numPr>
        <w:spacing w:before="120" w:after="120" w:line="276" w:lineRule="auto"/>
        <w:jc w:val="both"/>
        <w:rPr>
          <w:color w:val="000000"/>
        </w:rPr>
      </w:pPr>
      <w:r>
        <w:rPr>
          <w:color w:val="000000"/>
        </w:rPr>
        <w:t>comportar-se de modo inidôneo;</w:t>
      </w:r>
    </w:p>
    <w:p>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pPr>
        <w:numPr>
          <w:ilvl w:val="2"/>
          <w:numId w:val="27"/>
        </w:numPr>
        <w:pBdr>
          <w:top w:val="none" w:color="auto" w:sz="0" w:space="0"/>
          <w:left w:val="none" w:color="auto" w:sz="0" w:space="0"/>
          <w:bottom w:val="none" w:color="auto" w:sz="0" w:space="0"/>
          <w:right w:val="none" w:color="auto" w:sz="0" w:space="0"/>
          <w:between w:val="none" w:color="auto" w:sz="0" w:space="0"/>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7"/>
        </w:numPr>
        <w:spacing w:before="120" w:after="120" w:line="276" w:lineRule="auto"/>
        <w:ind w:left="425" w:firstLine="0"/>
        <w:jc w:val="both"/>
        <w:rPr>
          <w:color w:val="000000"/>
        </w:rPr>
      </w:pPr>
      <w:r>
        <w:rPr>
          <w:color w:val="000000"/>
        </w:rPr>
        <w:t>As penalidades serão obrigatoriamente registradas no SICAF.</w:t>
      </w:r>
    </w:p>
    <w:p>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IMPUGNAÇÃO AO EDITAL E DO PEDIDO DE ESCLARECIMENTO</w:t>
      </w:r>
    </w:p>
    <w:p>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27"/>
        </w:numPr>
        <w:tabs>
          <w:tab w:val="left" w:pos="284"/>
        </w:tabs>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 cpl@id.uff.br.</w:t>
      </w:r>
    </w:p>
    <w:p>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DISPOSIÇÕES GERAIS</w:t>
      </w:r>
    </w:p>
    <w:p>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27"/>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pPr>
        <w:numPr>
          <w:ilvl w:val="2"/>
          <w:numId w:val="27"/>
        </w:numPr>
        <w:spacing w:before="120" w:after="120" w:line="276" w:lineRule="auto"/>
        <w:jc w:val="both"/>
        <w:rPr>
          <w:rFonts w:hint="default" w:cs="Arial"/>
          <w:b w:val="0"/>
          <w:bCs/>
          <w:szCs w:val="20"/>
          <w:lang w:val="pt-BR"/>
        </w:rPr>
      </w:pPr>
      <w:r>
        <w:rPr>
          <w:rFonts w:cs="Arial"/>
          <w:b/>
          <w:szCs w:val="20"/>
        </w:rPr>
        <w:t>Anexo I</w:t>
      </w:r>
      <w:r>
        <w:rPr>
          <w:rFonts w:cs="Arial"/>
          <w:szCs w:val="20"/>
        </w:rPr>
        <w:t xml:space="preserve"> - Termo de Referência;</w:t>
      </w:r>
    </w:p>
    <w:p>
      <w:pPr>
        <w:numPr>
          <w:ilvl w:val="2"/>
          <w:numId w:val="27"/>
        </w:numPr>
        <w:spacing w:before="120" w:after="120" w:line="276" w:lineRule="auto"/>
        <w:jc w:val="both"/>
        <w:rPr>
          <w:rFonts w:cs="Arial"/>
          <w:szCs w:val="20"/>
        </w:rPr>
      </w:pPr>
      <w:r>
        <w:rPr>
          <w:rFonts w:cs="Arial"/>
          <w:b/>
          <w:szCs w:val="20"/>
        </w:rPr>
        <w:t>Anexo II</w:t>
      </w:r>
      <w:r>
        <w:rPr>
          <w:rFonts w:hint="default" w:cs="Arial"/>
          <w:b/>
          <w:szCs w:val="20"/>
          <w:lang w:val="pt-BR"/>
        </w:rPr>
        <w:t xml:space="preserve">, III e IV - </w:t>
      </w:r>
      <w:r>
        <w:rPr>
          <w:rFonts w:hint="default" w:cs="Arial"/>
          <w:b w:val="0"/>
          <w:bCs/>
          <w:szCs w:val="20"/>
          <w:lang w:val="pt-BR"/>
        </w:rPr>
        <w:t>Planilhas de Formação de Custos;</w:t>
      </w:r>
    </w:p>
    <w:p>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r>
        <w:rPr>
          <w:rFonts w:hint="default" w:cs="Arial"/>
          <w:szCs w:val="20"/>
          <w:lang w:val="pt-BR"/>
        </w:rPr>
        <w:t>;</w:t>
      </w:r>
    </w:p>
    <w:p>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Anexo VII</w:t>
      </w:r>
      <w:r>
        <w:rPr>
          <w:rFonts w:cs="Arial"/>
          <w:szCs w:val="20"/>
        </w:rPr>
        <w:t xml:space="preserve"> - Minuta do Termo de Contrato;</w:t>
      </w:r>
    </w:p>
    <w:p>
      <w:pPr>
        <w:numPr>
          <w:ilvl w:val="2"/>
          <w:numId w:val="27"/>
        </w:numPr>
        <w:spacing w:before="120" w:after="120" w:line="276" w:lineRule="auto"/>
        <w:jc w:val="both"/>
        <w:rPr>
          <w:rFonts w:hint="default" w:cs="Arial"/>
          <w:szCs w:val="20"/>
          <w:lang w:val="pt-BR"/>
        </w:rPr>
      </w:pPr>
      <w:r>
        <w:rPr>
          <w:rFonts w:cs="Arial"/>
          <w:b/>
          <w:szCs w:val="20"/>
        </w:rPr>
        <w:t xml:space="preserve">Anexo VIII </w:t>
      </w:r>
      <w:r>
        <w:rPr>
          <w:rFonts w:cs="Arial"/>
          <w:szCs w:val="20"/>
        </w:rPr>
        <w:t>- Instrumento de Medição de Resultados (IMR)</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 xml:space="preserve">Anexo IX - </w:t>
      </w:r>
      <w:r>
        <w:rPr>
          <w:rFonts w:hint="default" w:cs="Arial"/>
          <w:szCs w:val="20"/>
          <w:lang w:val="pt-BR"/>
        </w:rPr>
        <w:t>CCT RJ 000597/2022;</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w:t>
      </w:r>
      <w:r>
        <w:rPr>
          <w:rFonts w:hint="default" w:cs="Arial"/>
          <w:szCs w:val="20"/>
          <w:lang w:val="pt-BR"/>
        </w:rPr>
        <w:t xml:space="preserve"> - </w:t>
      </w:r>
      <w:r>
        <w:rPr>
          <w:rFonts w:cs="Arial"/>
          <w:szCs w:val="20"/>
        </w:rPr>
        <w:t>Memória de Cálculo da Planilha de Custos e Formação de Preço</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XI</w:t>
      </w:r>
      <w:r>
        <w:rPr>
          <w:rFonts w:hint="default" w:cs="Arial"/>
          <w:szCs w:val="20"/>
          <w:lang w:val="pt-BR"/>
        </w:rPr>
        <w:t xml:space="preserve"> - Modelo Termo de Cooperação Técnica.</w:t>
      </w:r>
    </w:p>
    <w:p>
      <w:pPr>
        <w:spacing w:before="120" w:after="120" w:line="276" w:lineRule="auto"/>
        <w:jc w:val="center"/>
        <w:rPr>
          <w:color w:val="000000"/>
        </w:rPr>
      </w:pPr>
    </w:p>
    <w:p>
      <w:pPr>
        <w:spacing w:before="120" w:after="120" w:line="276" w:lineRule="auto"/>
        <w:jc w:val="center"/>
        <w:rPr>
          <w:color w:val="000000"/>
        </w:rPr>
      </w:pPr>
      <w:r>
        <w:rPr>
          <w:color w:val="000000"/>
        </w:rPr>
        <w:t>Niterói,</w:t>
      </w:r>
      <w:r>
        <w:rPr>
          <w:rFonts w:hint="default"/>
          <w:color w:val="000000"/>
          <w:lang w:val="pt-BR"/>
        </w:rPr>
        <w:t xml:space="preserve"> 25 de maio de 2022</w:t>
      </w:r>
      <w:r>
        <w:rPr>
          <w:color w:val="000000"/>
        </w:rPr>
        <w:t>.</w:t>
      </w:r>
    </w:p>
    <w:p>
      <w:pPr>
        <w:spacing w:before="120" w:after="120" w:line="276" w:lineRule="auto"/>
        <w:jc w:val="center"/>
      </w:pPr>
    </w:p>
    <w:p>
      <w:pPr>
        <w:spacing w:before="120" w:after="120" w:line="276" w:lineRule="auto"/>
        <w:jc w:val="center"/>
      </w:pPr>
    </w:p>
    <w:p>
      <w:pPr>
        <w:spacing w:before="120" w:after="120" w:line="276" w:lineRule="auto"/>
        <w:jc w:val="center"/>
        <w:rPr>
          <w:rFonts w:hint="default"/>
          <w:color w:val="000000"/>
          <w:lang w:val="pt-BR"/>
        </w:rPr>
      </w:pPr>
      <w:bookmarkStart w:id="12" w:name="_GoBack"/>
      <w:bookmarkEnd w:id="12"/>
      <w:r>
        <w:rPr>
          <w:rFonts w:hint="default"/>
          <w:color w:val="000000"/>
          <w:lang w:val="pt-BR"/>
        </w:rPr>
        <w:t>CLI/PROAD/UFF</w:t>
      </w:r>
    </w:p>
    <w:sectPr>
      <w:headerReference r:id="rId3" w:type="default"/>
      <w:footerReference r:id="rId4" w:type="default"/>
      <w:pgSz w:w="11906" w:h="16838"/>
      <w:pgMar w:top="1418" w:right="1134"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hint="default"/>
        <w:color w:val="000000"/>
        <w:lang w:val="pt-BR"/>
      </w:rPr>
    </w:pPr>
    <w:bookmarkStart w:id="11" w:name="_heading=h.3znysh7" w:colFirst="0" w:colLast="0"/>
    <w:bookmarkEnd w:id="11"/>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 23069.161952/2022-23 </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Verdana" w:hAnsi="Verdana" w:eastAsia="Verdana" w:cs="Verdana"/>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61541"/>
    <w:multiLevelType w:val="multilevel"/>
    <w:tmpl w:val="00A61541"/>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0286043D"/>
    <w:multiLevelType w:val="multilevel"/>
    <w:tmpl w:val="0286043D"/>
    <w:lvl w:ilvl="0" w:tentative="0">
      <w:start w:val="8"/>
      <w:numFmt w:val="decimal"/>
      <w:lvlText w:val="%1"/>
      <w:lvlJc w:val="left"/>
      <w:pPr>
        <w:ind w:left="540" w:hanging="540"/>
      </w:pPr>
    </w:lvl>
    <w:lvl w:ilvl="1" w:tentative="0">
      <w:start w:val="6"/>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
    <w:nsid w:val="0523419A"/>
    <w:multiLevelType w:val="multilevel"/>
    <w:tmpl w:val="0523419A"/>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3">
    <w:nsid w:val="0AB56447"/>
    <w:multiLevelType w:val="multilevel"/>
    <w:tmpl w:val="0AB56447"/>
    <w:lvl w:ilvl="0" w:tentative="0">
      <w:start w:val="21"/>
      <w:numFmt w:val="decimal"/>
      <w:lvlText w:val="%1"/>
      <w:lvlJc w:val="left"/>
      <w:pPr>
        <w:ind w:left="375" w:hanging="375"/>
      </w:p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D390840"/>
    <w:multiLevelType w:val="multilevel"/>
    <w:tmpl w:val="0D390840"/>
    <w:lvl w:ilvl="0" w:tentative="0">
      <w:start w:val="1"/>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E017A58"/>
    <w:multiLevelType w:val="multilevel"/>
    <w:tmpl w:val="0E017A58"/>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6">
    <w:nsid w:val="11B742B1"/>
    <w:multiLevelType w:val="multilevel"/>
    <w:tmpl w:val="11B742B1"/>
    <w:lvl w:ilvl="0" w:tentative="0">
      <w:start w:val="1"/>
      <w:numFmt w:val="decimal"/>
      <w:lvlText w:val="%1."/>
      <w:lvlJc w:val="left"/>
      <w:pPr>
        <w:ind w:left="360" w:hanging="360"/>
      </w:pPr>
      <w:rPr>
        <w:rFonts w:ascii="Arial" w:hAnsi="Arial" w:eastAsia="Arial" w:cs="Arial"/>
        <w:b/>
      </w:rPr>
    </w:lvl>
    <w:lvl w:ilvl="1" w:tentative="0">
      <w:start w:val="13"/>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B6060CF"/>
    <w:multiLevelType w:val="multilevel"/>
    <w:tmpl w:val="1B6060CF"/>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8">
    <w:nsid w:val="24D07EBA"/>
    <w:multiLevelType w:val="multilevel"/>
    <w:tmpl w:val="24D07EBA"/>
    <w:lvl w:ilvl="0" w:tentative="0">
      <w:start w:val="4"/>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2EEE1BE3"/>
    <w:multiLevelType w:val="multilevel"/>
    <w:tmpl w:val="2EEE1BE3"/>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b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31153A8C"/>
    <w:multiLevelType w:val="multilevel"/>
    <w:tmpl w:val="31153A8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1">
    <w:nsid w:val="34573D8B"/>
    <w:multiLevelType w:val="multilevel"/>
    <w:tmpl w:val="34573D8B"/>
    <w:lvl w:ilvl="0" w:tentative="0">
      <w:start w:val="6"/>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38DA3220"/>
    <w:multiLevelType w:val="multilevel"/>
    <w:tmpl w:val="38DA3220"/>
    <w:lvl w:ilvl="0" w:tentative="0">
      <w:start w:val="10"/>
      <w:numFmt w:val="decimal"/>
      <w:lvlText w:val="%1"/>
      <w:lvlJc w:val="left"/>
      <w:pPr>
        <w:ind w:left="360" w:hanging="360"/>
      </w:pPr>
    </w:lvl>
    <w:lvl w:ilvl="1" w:tentative="0">
      <w:start w:val="1"/>
      <w:numFmt w:val="decimal"/>
      <w:lvlText w:val="%1.%2"/>
      <w:lvlJc w:val="left"/>
      <w:pPr>
        <w:ind w:left="785" w:hanging="360"/>
      </w:pPr>
      <w:rPr>
        <w:b w:val="0"/>
        <w:color w:val="00000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39390FA0"/>
    <w:multiLevelType w:val="multilevel"/>
    <w:tmpl w:val="39390FA0"/>
    <w:lvl w:ilvl="0" w:tentative="0">
      <w:start w:val="6"/>
      <w:numFmt w:val="decimal"/>
      <w:lvlText w:val="%1."/>
      <w:lvlJc w:val="left"/>
      <w:pPr>
        <w:ind w:left="360" w:hanging="360"/>
      </w:pPr>
      <w:rPr>
        <w:rFonts w:ascii="Arial" w:hAnsi="Arial" w:eastAsia="Arial" w:cs="Arial"/>
        <w:b/>
      </w:rPr>
    </w:lvl>
    <w:lvl w:ilvl="1" w:tentative="0">
      <w:start w:val="9"/>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3F3E6BAA"/>
    <w:multiLevelType w:val="multilevel"/>
    <w:tmpl w:val="3F3E6BAA"/>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5">
    <w:nsid w:val="47A26325"/>
    <w:multiLevelType w:val="multilevel"/>
    <w:tmpl w:val="47A26325"/>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16">
    <w:nsid w:val="48204390"/>
    <w:multiLevelType w:val="multilevel"/>
    <w:tmpl w:val="48204390"/>
    <w:lvl w:ilvl="0" w:tentative="0">
      <w:start w:val="9"/>
      <w:numFmt w:val="decimal"/>
      <w:lvlText w:val="%1"/>
      <w:lvlJc w:val="left"/>
      <w:pPr>
        <w:ind w:left="360" w:hanging="360"/>
      </w:pPr>
    </w:lvl>
    <w:lvl w:ilvl="1" w:tentative="0">
      <w:start w:val="8"/>
      <w:numFmt w:val="decimal"/>
      <w:lvlText w:val="%1.%2"/>
      <w:lvlJc w:val="left"/>
      <w:pPr>
        <w:ind w:left="927" w:hanging="360"/>
      </w:pPr>
      <w:rPr>
        <w:b w:val="0"/>
      </w:rPr>
    </w:lvl>
    <w:lvl w:ilvl="2" w:tentative="0">
      <w:start w:val="1"/>
      <w:numFmt w:val="decimal"/>
      <w:lvlText w:val="%1.%2.%3"/>
      <w:lvlJc w:val="left"/>
      <w:pPr>
        <w:ind w:left="2280" w:hanging="720"/>
      </w:pPr>
      <w:rPr>
        <w:b w:val="0"/>
        <w:i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7">
    <w:nsid w:val="4FFA6BD6"/>
    <w:multiLevelType w:val="multilevel"/>
    <w:tmpl w:val="4FFA6BD6"/>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color w:val="000000"/>
      </w:rPr>
    </w:lvl>
    <w:lvl w:ilvl="3" w:tentative="0">
      <w:start w:val="1"/>
      <w:numFmt w:val="decimal"/>
      <w:lvlText w:val="%1.%2.%3.%4"/>
      <w:lvlJc w:val="left"/>
      <w:pPr>
        <w:ind w:left="2208" w:hanging="720"/>
      </w:pPr>
      <w:rPr>
        <w:i w:val="0"/>
        <w:color w:val="000000"/>
      </w:rPr>
    </w:lvl>
    <w:lvl w:ilvl="4" w:tentative="0">
      <w:start w:val="1"/>
      <w:numFmt w:val="decimal"/>
      <w:lvlText w:val="%1.%2.%3.%4.%5"/>
      <w:lvlJc w:val="left"/>
      <w:pPr>
        <w:ind w:left="3064" w:hanging="1080"/>
      </w:pPr>
      <w:rPr>
        <w:color w:val="00000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8">
    <w:nsid w:val="504C48B7"/>
    <w:multiLevelType w:val="multilevel"/>
    <w:tmpl w:val="504C48B7"/>
    <w:lvl w:ilvl="0" w:tentative="0">
      <w:start w:val="2"/>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55F67492"/>
    <w:multiLevelType w:val="multilevel"/>
    <w:tmpl w:val="55F67492"/>
    <w:lvl w:ilvl="0" w:tentative="0">
      <w:start w:val="8"/>
      <w:numFmt w:val="decimal"/>
      <w:lvlText w:val="%1"/>
      <w:lvlJc w:val="left"/>
      <w:pPr>
        <w:ind w:left="540" w:hanging="540"/>
      </w:pPr>
    </w:lvl>
    <w:lvl w:ilvl="1" w:tentative="0">
      <w:start w:val="10"/>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0">
    <w:nsid w:val="587005BD"/>
    <w:multiLevelType w:val="multilevel"/>
    <w:tmpl w:val="587005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F2A140C"/>
    <w:multiLevelType w:val="multilevel"/>
    <w:tmpl w:val="5F2A140C"/>
    <w:lvl w:ilvl="0" w:tentative="0">
      <w:start w:val="7"/>
      <w:numFmt w:val="decimal"/>
      <w:lvlText w:val="%1"/>
      <w:lvlJc w:val="left"/>
      <w:pPr>
        <w:ind w:left="360" w:hanging="360"/>
      </w:pPr>
    </w:lvl>
    <w:lvl w:ilvl="1" w:tentative="0">
      <w:start w:val="1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5F742B83"/>
    <w:multiLevelType w:val="multilevel"/>
    <w:tmpl w:val="5F742B83"/>
    <w:lvl w:ilvl="0" w:tentative="0">
      <w:start w:val="3"/>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683E68EF"/>
    <w:multiLevelType w:val="multilevel"/>
    <w:tmpl w:val="683E68EF"/>
    <w:lvl w:ilvl="0" w:tentative="0">
      <w:start w:val="7"/>
      <w:numFmt w:val="decimal"/>
      <w:pStyle w:val="19"/>
      <w:lvlText w:val="%1"/>
      <w:lvlJc w:val="left"/>
      <w:pPr>
        <w:ind w:left="360" w:hanging="360"/>
      </w:pPr>
    </w:lvl>
    <w:lvl w:ilvl="1" w:tentative="0">
      <w:start w:val="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4">
    <w:nsid w:val="72F1526A"/>
    <w:multiLevelType w:val="multilevel"/>
    <w:tmpl w:val="72F1526A"/>
    <w:lvl w:ilvl="0" w:tentative="0">
      <w:start w:val="15"/>
      <w:numFmt w:val="decimal"/>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5">
    <w:nsid w:val="7A402EA0"/>
    <w:multiLevelType w:val="multilevel"/>
    <w:tmpl w:val="7A402EA0"/>
    <w:lvl w:ilvl="0" w:tentative="0">
      <w:start w:val="8"/>
      <w:numFmt w:val="decimal"/>
      <w:lvlText w:val="%1"/>
      <w:lvlJc w:val="left"/>
      <w:pPr>
        <w:ind w:left="540" w:hanging="540"/>
      </w:pPr>
    </w:lvl>
    <w:lvl w:ilvl="1" w:tentative="0">
      <w:start w:val="1"/>
      <w:numFmt w:val="decimal"/>
      <w:lvlText w:val="%1.%2"/>
      <w:lvlJc w:val="left"/>
      <w:pPr>
        <w:ind w:left="1036" w:hanging="540"/>
      </w:pPr>
      <w:rPr>
        <w:i w:val="0"/>
      </w:rPr>
    </w:lvl>
    <w:lvl w:ilvl="2" w:tentative="0">
      <w:start w:val="2"/>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6">
    <w:nsid w:val="7AB12D31"/>
    <w:multiLevelType w:val="multilevel"/>
    <w:tmpl w:val="7AB12D31"/>
    <w:lvl w:ilvl="0" w:tentative="0">
      <w:start w:val="4"/>
      <w:numFmt w:val="decimal"/>
      <w:pStyle w:val="46"/>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F87"/>
    <w:rsid w:val="000654EC"/>
    <w:rsid w:val="00065D28"/>
    <w:rsid w:val="000E64A7"/>
    <w:rsid w:val="00107E3A"/>
    <w:rsid w:val="00121CC0"/>
    <w:rsid w:val="00144EC8"/>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 w:val="014E0E49"/>
    <w:rsid w:val="03F05F2B"/>
    <w:rsid w:val="06DA7E21"/>
    <w:rsid w:val="0EDA4D70"/>
    <w:rsid w:val="138B0DAB"/>
    <w:rsid w:val="19690377"/>
    <w:rsid w:val="1C3E48F7"/>
    <w:rsid w:val="22926CC3"/>
    <w:rsid w:val="22A67A1A"/>
    <w:rsid w:val="2ABA24CE"/>
    <w:rsid w:val="2FD8197B"/>
    <w:rsid w:val="36E459A5"/>
    <w:rsid w:val="39606F4B"/>
    <w:rsid w:val="3C174D7E"/>
    <w:rsid w:val="415066C2"/>
    <w:rsid w:val="41A85BEC"/>
    <w:rsid w:val="452B028C"/>
    <w:rsid w:val="45C23D0B"/>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Arial" w:cs="Tahoma"/>
      <w:szCs w:val="24"/>
      <w:lang w:val="pt-BR" w:eastAsia="pt-BR" w:bidi="ar-SA"/>
    </w:rPr>
  </w:style>
  <w:style w:type="paragraph" w:styleId="2">
    <w:name w:val="heading 1"/>
    <w:basedOn w:val="1"/>
    <w:next w:val="1"/>
    <w:link w:val="4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0"/>
    <w:semiHidden/>
    <w:unhideWhenUsed/>
    <w:qFormat/>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Cs w:val="20"/>
    </w:rPr>
  </w:style>
  <w:style w:type="paragraph" w:styleId="8">
    <w:name w:val="heading 9"/>
    <w:basedOn w:val="1"/>
    <w:next w:val="1"/>
    <w:link w:val="7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annotation reference"/>
    <w:basedOn w:val="9"/>
    <w:unhideWhenUsed/>
    <w:qFormat/>
    <w:uiPriority w:val="99"/>
    <w:rPr>
      <w:sz w:val="16"/>
      <w:szCs w:val="16"/>
    </w:rPr>
  </w:style>
  <w:style w:type="character" w:styleId="13">
    <w:name w:val="Emphasis"/>
    <w:basedOn w:val="9"/>
    <w:qFormat/>
    <w:uiPriority w:val="20"/>
    <w:rPr>
      <w:i/>
      <w:iCs/>
    </w:rPr>
  </w:style>
  <w:style w:type="character" w:styleId="14">
    <w:name w:val="Hyperlink"/>
    <w:qFormat/>
    <w:uiPriority w:val="0"/>
    <w:rPr>
      <w:color w:val="000080"/>
      <w:u w:val="single"/>
    </w:rPr>
  </w:style>
  <w:style w:type="paragraph" w:styleId="15">
    <w:name w:val="Body Text"/>
    <w:basedOn w:val="1"/>
    <w:link w:val="65"/>
    <w:unhideWhenUsed/>
    <w:qFormat/>
    <w:uiPriority w:val="99"/>
    <w:pPr>
      <w:spacing w:before="100" w:beforeAutospacing="1" w:after="100" w:afterAutospacing="1"/>
    </w:pPr>
    <w:rPr>
      <w:rFonts w:ascii="Times New Roman" w:hAnsi="Times New Roman" w:cs="Times New Roman"/>
      <w:sz w:val="24"/>
    </w:rPr>
  </w:style>
  <w:style w:type="paragraph" w:styleId="16">
    <w:name w:val="annotation text"/>
    <w:basedOn w:val="1"/>
    <w:link w:val="43"/>
    <w:unhideWhenUsed/>
    <w:qFormat/>
    <w:uiPriority w:val="99"/>
    <w:rPr>
      <w:szCs w:val="20"/>
    </w:rPr>
  </w:style>
  <w:style w:type="paragraph" w:styleId="17">
    <w:name w:val="Body Text Indent 2"/>
    <w:basedOn w:val="1"/>
    <w:link w:val="74"/>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List Bullet 5"/>
    <w:basedOn w:val="1"/>
    <w:qFormat/>
    <w:uiPriority w:val="0"/>
    <w:pPr>
      <w:numPr>
        <w:ilvl w:val="0"/>
        <w:numId w:val="1"/>
      </w:numPr>
      <w:contextualSpacing/>
    </w:pPr>
  </w:style>
  <w:style w:type="paragraph" w:styleId="20">
    <w:name w:val="Normal (Web)"/>
    <w:basedOn w:val="1"/>
    <w:qFormat/>
    <w:uiPriority w:val="99"/>
    <w:pPr>
      <w:spacing w:before="100" w:beforeAutospacing="1" w:after="100" w:afterAutospacing="1"/>
    </w:pPr>
    <w:rPr>
      <w:rFonts w:ascii="Times New Roman" w:hAnsi="Times New Roman" w:cs="Times New Roman"/>
    </w:rPr>
  </w:style>
  <w:style w:type="paragraph" w:styleId="21">
    <w:name w:val="header"/>
    <w:basedOn w:val="1"/>
    <w:link w:val="38"/>
    <w:qFormat/>
    <w:uiPriority w:val="99"/>
    <w:pPr>
      <w:tabs>
        <w:tab w:val="center" w:pos="4252"/>
        <w:tab w:val="right" w:pos="8504"/>
      </w:tabs>
    </w:pPr>
  </w:style>
  <w:style w:type="paragraph" w:styleId="22">
    <w:name w:val="annotation subject"/>
    <w:basedOn w:val="16"/>
    <w:next w:val="16"/>
    <w:link w:val="44"/>
    <w:semiHidden/>
    <w:unhideWhenUsed/>
    <w:qFormat/>
    <w:uiPriority w:val="0"/>
    <w:rPr>
      <w:b/>
      <w:bCs/>
    </w:rPr>
  </w:style>
  <w:style w:type="paragraph" w:styleId="23">
    <w:name w:val="footer"/>
    <w:basedOn w:val="1"/>
    <w:link w:val="39"/>
    <w:qFormat/>
    <w:uiPriority w:val="99"/>
    <w:pPr>
      <w:tabs>
        <w:tab w:val="center" w:pos="4252"/>
        <w:tab w:val="right" w:pos="8504"/>
      </w:tabs>
    </w:pPr>
  </w:style>
  <w:style w:type="paragraph" w:styleId="24">
    <w:name w:val="Balloon Text"/>
    <w:basedOn w:val="1"/>
    <w:link w:val="29"/>
    <w:qFormat/>
    <w:uiPriority w:val="99"/>
    <w:rPr>
      <w:rFonts w:ascii="Tahoma" w:hAnsi="Tahoma"/>
      <w:sz w:val="16"/>
      <w:szCs w:val="16"/>
    </w:rPr>
  </w:style>
  <w:style w:type="paragraph" w:styleId="2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6">
    <w:name w:val="Table Grid"/>
    <w:basedOn w:val="10"/>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
    <w:qFormat/>
    <w:uiPriority w:val="0"/>
    <w:tblPr>
      <w:tblCellMar>
        <w:top w:w="0" w:type="dxa"/>
        <w:left w:w="0" w:type="dxa"/>
        <w:bottom w:w="0" w:type="dxa"/>
        <w:right w:w="0" w:type="dxa"/>
      </w:tblCellMar>
    </w:tblPr>
  </w:style>
  <w:style w:type="paragraph" w:styleId="28">
    <w:name w:val="List Paragraph"/>
    <w:basedOn w:val="1"/>
    <w:qFormat/>
    <w:uiPriority w:val="34"/>
    <w:pPr>
      <w:ind w:left="720"/>
      <w:contextualSpacing/>
    </w:pPr>
  </w:style>
  <w:style w:type="character" w:customStyle="1" w:styleId="29">
    <w:name w:val="Texto de balão Char"/>
    <w:link w:val="24"/>
    <w:qFormat/>
    <w:uiPriority w:val="99"/>
    <w:rPr>
      <w:rFonts w:ascii="Tahoma" w:hAnsi="Tahoma" w:cs="Tahoma"/>
      <w:sz w:val="16"/>
      <w:szCs w:val="16"/>
    </w:rPr>
  </w:style>
  <w:style w:type="character" w:customStyle="1" w:styleId="30">
    <w:name w:val="Título 2 Char"/>
    <w:link w:val="3"/>
    <w:qFormat/>
    <w:uiPriority w:val="0"/>
    <w:rPr>
      <w:b/>
      <w:color w:val="000000"/>
      <w:sz w:val="24"/>
    </w:rPr>
  </w:style>
  <w:style w:type="paragraph" w:customStyle="1" w:styleId="31">
    <w:name w:val="Nível 2"/>
    <w:basedOn w:val="1"/>
    <w:next w:val="1"/>
    <w:qFormat/>
    <w:uiPriority w:val="0"/>
    <w:pPr>
      <w:spacing w:after="120"/>
      <w:jc w:val="both"/>
    </w:pPr>
    <w:rPr>
      <w:rFonts w:cs="Times New Roman"/>
      <w:b/>
      <w:szCs w:val="20"/>
    </w:rPr>
  </w:style>
  <w:style w:type="character" w:customStyle="1" w:styleId="32">
    <w:name w:val="normal__char1"/>
    <w:qFormat/>
    <w:uiPriority w:val="0"/>
    <w:rPr>
      <w:rFonts w:hint="default" w:ascii="Arial" w:hAnsi="Arial" w:cs="Arial"/>
      <w:sz w:val="24"/>
      <w:szCs w:val="24"/>
      <w:u w:val="none"/>
    </w:rPr>
  </w:style>
  <w:style w:type="character" w:customStyle="1" w:styleId="33">
    <w:name w:val="apple-style-span"/>
    <w:basedOn w:val="9"/>
    <w:qFormat/>
    <w:uiPriority w:val="0"/>
  </w:style>
  <w:style w:type="paragraph" w:styleId="34">
    <w:name w:val="Quote"/>
    <w:basedOn w:val="1"/>
    <w:next w:val="1"/>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5">
    <w:name w:val="Citação Char"/>
    <w:link w:val="34"/>
    <w:qFormat/>
    <w:uiPriority w:val="0"/>
    <w:rPr>
      <w:rFonts w:ascii="Arial" w:hAnsi="Arial" w:eastAsia="Calibri" w:cs="Tahoma"/>
      <w:i/>
      <w:iCs/>
      <w:color w:val="000000"/>
      <w:szCs w:val="24"/>
      <w:shd w:val="clear" w:color="auto" w:fill="FFFFCC"/>
      <w:lang w:eastAsia="en-US"/>
    </w:rPr>
  </w:style>
  <w:style w:type="paragraph" w:customStyle="1" w:styleId="36">
    <w:name w:val="citação 2"/>
    <w:basedOn w:val="34"/>
    <w:link w:val="37"/>
    <w:qFormat/>
    <w:uiPriority w:val="0"/>
    <w:rPr>
      <w:szCs w:val="20"/>
    </w:rPr>
  </w:style>
  <w:style w:type="character" w:customStyle="1" w:styleId="37">
    <w:name w:val="citação 2 Char"/>
    <w:basedOn w:val="35"/>
    <w:link w:val="36"/>
    <w:qFormat/>
    <w:uiPriority w:val="0"/>
    <w:rPr>
      <w:rFonts w:ascii="Arial" w:hAnsi="Arial" w:eastAsia="Calibri" w:cs="Tahoma"/>
      <w:color w:val="000000"/>
      <w:szCs w:val="24"/>
      <w:shd w:val="clear" w:color="auto" w:fill="FFFFCC"/>
      <w:lang w:eastAsia="en-US"/>
    </w:rPr>
  </w:style>
  <w:style w:type="character" w:customStyle="1" w:styleId="38">
    <w:name w:val="Cabeçalho Char"/>
    <w:link w:val="21"/>
    <w:qFormat/>
    <w:uiPriority w:val="99"/>
    <w:rPr>
      <w:rFonts w:ascii="Ecofont_Spranq_eco_Sans" w:hAnsi="Ecofont_Spranq_eco_Sans" w:cs="Tahoma"/>
      <w:sz w:val="24"/>
      <w:szCs w:val="24"/>
    </w:rPr>
  </w:style>
  <w:style w:type="character" w:customStyle="1" w:styleId="39">
    <w:name w:val="Rodapé Char"/>
    <w:link w:val="23"/>
    <w:qFormat/>
    <w:uiPriority w:val="99"/>
    <w:rPr>
      <w:rFonts w:ascii="Ecofont_Spranq_eco_Sans" w:hAnsi="Ecofont_Spranq_eco_Sans" w:cs="Tahoma"/>
      <w:sz w:val="24"/>
      <w:szCs w:val="24"/>
    </w:rPr>
  </w:style>
  <w:style w:type="paragraph" w:customStyle="1" w:styleId="40">
    <w:name w:val="em_0020ementa"/>
    <w:basedOn w:val="1"/>
    <w:qFormat/>
    <w:uiPriority w:val="0"/>
    <w:pPr>
      <w:ind w:left="4160"/>
      <w:jc w:val="both"/>
    </w:pPr>
    <w:rPr>
      <w:rFonts w:ascii="Times New Roman" w:hAnsi="Times New Roman" w:cs="Times New Roman"/>
      <w:sz w:val="28"/>
      <w:szCs w:val="28"/>
    </w:rPr>
  </w:style>
  <w:style w:type="character" w:customStyle="1" w:styleId="41">
    <w:name w:val="cp_0020corpodespacho__char1"/>
    <w:qFormat/>
    <w:uiPriority w:val="0"/>
    <w:rPr>
      <w:rFonts w:hint="default" w:ascii="Times New Roman" w:hAnsi="Times New Roman" w:cs="Times New Roman"/>
      <w:sz w:val="26"/>
      <w:szCs w:val="26"/>
      <w:u w:val="none"/>
    </w:rPr>
  </w:style>
  <w:style w:type="character" w:customStyle="1" w:styleId="42">
    <w:name w:val="em_0020ementa__char1"/>
    <w:qFormat/>
    <w:uiPriority w:val="0"/>
    <w:rPr>
      <w:rFonts w:hint="default" w:ascii="Times New Roman" w:hAnsi="Times New Roman" w:cs="Times New Roman"/>
      <w:sz w:val="28"/>
      <w:szCs w:val="28"/>
      <w:u w:val="none"/>
    </w:rPr>
  </w:style>
  <w:style w:type="character" w:customStyle="1" w:styleId="43">
    <w:name w:val="Texto de comentário Char"/>
    <w:basedOn w:val="9"/>
    <w:link w:val="16"/>
    <w:qFormat/>
    <w:uiPriority w:val="99"/>
    <w:rPr>
      <w:rFonts w:ascii="Ecofont_Spranq_eco_Sans" w:hAnsi="Ecofont_Spranq_eco_Sans" w:cs="Tahoma"/>
    </w:rPr>
  </w:style>
  <w:style w:type="character" w:customStyle="1" w:styleId="44">
    <w:name w:val="Assunto do comentário Char"/>
    <w:basedOn w:val="43"/>
    <w:link w:val="22"/>
    <w:semiHidden/>
    <w:qFormat/>
    <w:uiPriority w:val="0"/>
    <w:rPr>
      <w:rFonts w:ascii="Ecofont_Spranq_eco_Sans" w:hAnsi="Ecofont_Spranq_eco_Sans" w:cs="Tahoma"/>
      <w:b/>
      <w:bCs/>
    </w:rPr>
  </w:style>
  <w:style w:type="paragraph" w:customStyle="1" w:styleId="45">
    <w:name w:val="Revision"/>
    <w:hidden/>
    <w:semiHidden/>
    <w:qFormat/>
    <w:uiPriority w:val="99"/>
    <w:rPr>
      <w:rFonts w:ascii="Ecofont_Spranq_eco_Sans" w:hAnsi="Ecofont_Spranq_eco_Sans" w:eastAsia="Arial" w:cs="Tahoma"/>
      <w:sz w:val="24"/>
      <w:szCs w:val="24"/>
      <w:lang w:val="pt-BR" w:eastAsia="pt-BR" w:bidi="ar-SA"/>
    </w:rPr>
  </w:style>
  <w:style w:type="paragraph" w:customStyle="1" w:styleId="46">
    <w:name w:val="Nivel 01"/>
    <w:basedOn w:val="2"/>
    <w:next w:val="1"/>
    <w:link w:val="48"/>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7">
    <w:name w:val="Título 1 Char"/>
    <w:basedOn w:val="9"/>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8">
    <w:name w:val="Nivel 01 Char"/>
    <w:basedOn w:val="47"/>
    <w:link w:val="46"/>
    <w:qFormat/>
    <w:uiPriority w:val="0"/>
    <w:rPr>
      <w:rFonts w:ascii="Arial" w:hAnsi="Arial" w:eastAsiaTheme="majorEastAsia" w:cstheme="majorBidi"/>
      <w:color w:val="000000"/>
      <w:sz w:val="28"/>
      <w:szCs w:val="28"/>
    </w:rPr>
  </w:style>
  <w:style w:type="paragraph" w:customStyle="1" w:styleId="49">
    <w:name w:val="Nivel1"/>
    <w:basedOn w:val="2"/>
    <w:link w:val="70"/>
    <w:qFormat/>
    <w:uiPriority w:val="0"/>
    <w:pPr>
      <w:spacing w:line="276" w:lineRule="auto"/>
      <w:ind w:left="357" w:hanging="357"/>
      <w:jc w:val="both"/>
    </w:pPr>
    <w:rPr>
      <w:rFonts w:ascii="Arial" w:hAnsi="Arial" w:cs="Arial"/>
      <w:bCs w:val="0"/>
      <w:color w:val="000000"/>
      <w:sz w:val="20"/>
      <w:szCs w:val="20"/>
    </w:rPr>
  </w:style>
  <w:style w:type="paragraph" w:customStyle="1" w:styleId="5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1">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52">
    <w:name w:val="normaltextrun"/>
    <w:basedOn w:val="9"/>
    <w:qFormat/>
    <w:uiPriority w:val="0"/>
  </w:style>
  <w:style w:type="character" w:customStyle="1" w:styleId="53">
    <w:name w:val="eop"/>
    <w:basedOn w:val="9"/>
    <w:qFormat/>
    <w:uiPriority w:val="0"/>
  </w:style>
  <w:style w:type="character" w:customStyle="1" w:styleId="54">
    <w:name w:val="spellingerror"/>
    <w:basedOn w:val="9"/>
    <w:qFormat/>
    <w:uiPriority w:val="0"/>
  </w:style>
  <w:style w:type="character" w:customStyle="1" w:styleId="55">
    <w:name w:val="Quote Char"/>
    <w:basedOn w:val="9"/>
    <w:link w:val="56"/>
    <w:qFormat/>
    <w:uiPriority w:val="0"/>
    <w:rPr>
      <w:rFonts w:ascii="Ecofont_Spranq_eco_Sans" w:hAnsi="Ecofont_Spranq_eco_Sans" w:eastAsia="Calibri" w:cs="Tahoma"/>
      <w:i/>
      <w:iCs/>
      <w:color w:val="000000"/>
      <w:shd w:val="clear" w:color="auto" w:fill="FFFFCC"/>
      <w:lang w:eastAsia="en-US"/>
    </w:rPr>
  </w:style>
  <w:style w:type="paragraph" w:customStyle="1" w:styleId="56">
    <w:name w:val="Citação1"/>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7">
    <w:name w:val="Manoel"/>
    <w:qFormat/>
    <w:uiPriority w:val="0"/>
    <w:rPr>
      <w:rFonts w:ascii="Arial" w:hAnsi="Arial" w:cs="Arial"/>
      <w:color w:val="7030A0"/>
      <w:sz w:val="20"/>
    </w:rPr>
  </w:style>
  <w:style w:type="character" w:customStyle="1" w:styleId="58">
    <w:name w:val="ListLabel 12"/>
    <w:qFormat/>
    <w:uiPriority w:val="0"/>
    <w:rPr>
      <w:b/>
    </w:rPr>
  </w:style>
  <w:style w:type="paragraph" w:customStyle="1" w:styleId="59">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60">
    <w:name w:val="Grade Colorida - Ênfase 11"/>
    <w:basedOn w:val="1"/>
    <w:next w:val="1"/>
    <w:link w:val="6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61">
    <w:name w:val="Grade Colorida - Ênfase 1 Char"/>
    <w:link w:val="60"/>
    <w:qFormat/>
    <w:uiPriority w:val="29"/>
    <w:rPr>
      <w:rFonts w:ascii="Arial" w:hAnsi="Arial" w:eastAsia="Calibri"/>
      <w:i/>
      <w:iCs/>
      <w:color w:val="000000"/>
      <w:szCs w:val="24"/>
      <w:shd w:val="clear" w:color="auto" w:fill="FFFFCC"/>
      <w:lang w:eastAsia="en-US"/>
    </w:rPr>
  </w:style>
  <w:style w:type="paragraph" w:customStyle="1" w:styleId="62">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63">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64">
    <w:name w:val="Normal_1"/>
    <w:qFormat/>
    <w:uiPriority w:val="0"/>
    <w:rPr>
      <w:rFonts w:ascii="Arial" w:hAnsi="Arial" w:eastAsia="Arial" w:cs="Arial"/>
      <w:sz w:val="24"/>
      <w:szCs w:val="22"/>
      <w:lang w:val="pt-BR" w:eastAsia="en-US" w:bidi="ar-SA"/>
    </w:rPr>
  </w:style>
  <w:style w:type="character" w:customStyle="1" w:styleId="65">
    <w:name w:val="Corpo de texto Char"/>
    <w:basedOn w:val="9"/>
    <w:link w:val="15"/>
    <w:qFormat/>
    <w:uiPriority w:val="99"/>
    <w:rPr>
      <w:sz w:val="24"/>
      <w:szCs w:val="24"/>
    </w:rPr>
  </w:style>
  <w:style w:type="paragraph" w:customStyle="1" w:styleId="66">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7">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8">
    <w:name w:val="highlight"/>
    <w:basedOn w:val="9"/>
    <w:qFormat/>
    <w:uiPriority w:val="0"/>
  </w:style>
  <w:style w:type="paragraph" w:customStyle="1" w:styleId="69">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70">
    <w:name w:val="Nivel1 Char"/>
    <w:basedOn w:val="47"/>
    <w:link w:val="49"/>
    <w:qFormat/>
    <w:uiPriority w:val="0"/>
    <w:rPr>
      <w:rFonts w:ascii="Arial" w:hAnsi="Arial" w:cs="Arial" w:eastAsiaTheme="majorEastAsia"/>
      <w:bCs w:val="0"/>
      <w:color w:val="000000"/>
      <w:sz w:val="28"/>
      <w:szCs w:val="28"/>
    </w:rPr>
  </w:style>
  <w:style w:type="paragraph" w:customStyle="1" w:styleId="71">
    <w:name w:val="Parágrafo da Lista1"/>
    <w:basedOn w:val="1"/>
    <w:qFormat/>
    <w:uiPriority w:val="0"/>
    <w:pPr>
      <w:ind w:left="720"/>
    </w:pPr>
    <w:rPr>
      <w:rFonts w:ascii="Ecofont_Spranq_eco_Sans" w:hAnsi="Ecofont_Spranq_eco_Sans" w:cs="Ecofont_Spranq_eco_Sans"/>
      <w:sz w:val="24"/>
    </w:rPr>
  </w:style>
  <w:style w:type="paragraph" w:customStyle="1" w:styleId="72">
    <w:name w:val="textbody"/>
    <w:basedOn w:val="1"/>
    <w:qFormat/>
    <w:uiPriority w:val="0"/>
    <w:pPr>
      <w:spacing w:before="100" w:beforeAutospacing="1" w:after="100" w:afterAutospacing="1"/>
    </w:pPr>
    <w:rPr>
      <w:rFonts w:ascii="Times New Roman" w:hAnsi="Times New Roman" w:cs="Times New Roman"/>
      <w:sz w:val="24"/>
    </w:rPr>
  </w:style>
  <w:style w:type="character" w:customStyle="1" w:styleId="73">
    <w:name w:val="Título 9 Char"/>
    <w:basedOn w:val="9"/>
    <w:link w:val="8"/>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74">
    <w:name w:val="Recuo de corpo de texto 2 Char"/>
    <w:basedOn w:val="9"/>
    <w:link w:val="17"/>
    <w:qFormat/>
    <w:uiPriority w:val="99"/>
    <w:rPr>
      <w:rFonts w:asciiTheme="minorHAnsi" w:hAnsiTheme="minorHAnsi" w:eastAsiaTheme="minorHAnsi" w:cstheme="minorBidi"/>
      <w:sz w:val="22"/>
      <w:szCs w:val="22"/>
      <w:lang w:eastAsia="en-US"/>
    </w:rPr>
  </w:style>
  <w:style w:type="table" w:customStyle="1" w:styleId="75">
    <w:name w:val="_Style 75"/>
    <w:basedOn w:val="27"/>
    <w:qFormat/>
    <w:uiPriority w:val="0"/>
    <w:tblPr>
      <w:tblCellMar>
        <w:left w:w="115" w:type="dxa"/>
        <w:right w:w="115" w:type="dxa"/>
      </w:tblCellMar>
    </w:tblPr>
  </w:style>
  <w:style w:type="table" w:customStyle="1" w:styleId="76">
    <w:name w:val="_Style 76"/>
    <w:basedOn w:val="27"/>
    <w:qFormat/>
    <w:uiPriority w:val="0"/>
    <w:tblPr>
      <w:tblCellMar>
        <w:left w:w="108" w:type="dxa"/>
        <w:right w:w="108" w:type="dxa"/>
      </w:tblCellMar>
    </w:tblPr>
  </w:style>
  <w:style w:type="table" w:customStyle="1" w:styleId="77">
    <w:name w:val="_Style 77"/>
    <w:basedOn w:val="27"/>
    <w:qFormat/>
    <w:uiPriority w:val="0"/>
    <w:tblPr>
      <w:tblCellMar>
        <w:left w:w="108" w:type="dxa"/>
        <w:right w:w="108" w:type="dxa"/>
      </w:tblCellMar>
    </w:tblPr>
  </w:style>
  <w:style w:type="table" w:customStyle="1" w:styleId="78">
    <w:name w:val="_Style 78"/>
    <w:basedOn w:val="27"/>
    <w:qFormat/>
    <w:uiPriority w:val="0"/>
    <w:tblPr>
      <w:tblCellMar>
        <w:left w:w="108" w:type="dxa"/>
        <w:right w:w="108" w:type="dxa"/>
      </w:tblCellMar>
    </w:tblPr>
  </w:style>
  <w:style w:type="paragraph" w:customStyle="1" w:styleId="79">
    <w:name w:val="LO-normal"/>
    <w:qFormat/>
    <w:uiPriority w:val="0"/>
    <w:rPr>
      <w:rFonts w:ascii="Arial" w:hAnsi="Arial" w:eastAsia="Arial" w:cs="Arial"/>
      <w:lang w:val="pt-BR" w:eastAsia="zh-CN" w:bidi="hi-IN"/>
    </w:rPr>
  </w:style>
  <w:style w:type="table" w:customStyle="1" w:styleId="80">
    <w:name w:val="_Style 80"/>
    <w:basedOn w:val="27"/>
    <w:qFormat/>
    <w:uiPriority w:val="0"/>
    <w:tblPr>
      <w:tblCellMar>
        <w:left w:w="108" w:type="dxa"/>
        <w:right w:w="108" w:type="dxa"/>
      </w:tblCellMar>
    </w:tblPr>
  </w:style>
  <w:style w:type="table" w:customStyle="1" w:styleId="81">
    <w:name w:val="_Style 81"/>
    <w:basedOn w:val="27"/>
    <w:qFormat/>
    <w:uiPriority w:val="0"/>
    <w:tblPr>
      <w:tblCellMar>
        <w:left w:w="108" w:type="dxa"/>
        <w:right w:w="108" w:type="dxa"/>
      </w:tblCellMar>
    </w:tblPr>
  </w:style>
  <w:style w:type="table" w:customStyle="1" w:styleId="82">
    <w:name w:val="_Style 82"/>
    <w:basedOn w:val="27"/>
    <w:qFormat/>
    <w:uiPriority w:val="0"/>
    <w:tblPr>
      <w:tblCellMar>
        <w:left w:w="108" w:type="dxa"/>
        <w:right w:w="108" w:type="dxa"/>
      </w:tblCellMar>
    </w:tblPr>
  </w:style>
  <w:style w:type="table" w:customStyle="1" w:styleId="83">
    <w:name w:val="_Style 83"/>
    <w:basedOn w:val="27"/>
    <w:qFormat/>
    <w:uiPriority w:val="0"/>
    <w:tblPr>
      <w:tblCellMar>
        <w:left w:w="108" w:type="dxa"/>
        <w:right w:w="108" w:type="dxa"/>
      </w:tblCellMar>
    </w:tblPr>
  </w:style>
  <w:style w:type="table" w:customStyle="1" w:styleId="84">
    <w:name w:val="_Style 84"/>
    <w:basedOn w:val="2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11441</Words>
  <Characters>61783</Characters>
  <Lines>514</Lines>
  <Paragraphs>146</Paragraphs>
  <TotalTime>204</TotalTime>
  <ScaleCrop>false</ScaleCrop>
  <LinksUpToDate>false</LinksUpToDate>
  <CharactersWithSpaces>73078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2021-08-17T17:05:00Z</dcterms:created>
  <dc:creator>Manoel Paz e Silva Filho</dc:creator>
  <cp:lastModifiedBy>Juliana Borsoi</cp:lastModifiedBy>
  <dcterms:modified xsi:type="dcterms:W3CDTF">2022-05-30T13:56:00Z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FB5072437A774443B40297DF349716B4</vt:lpwstr>
  </property>
</Properties>
</file>