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line="276" w:lineRule="auto"/>
        <w:rPr>
          <w:color w:val="000000"/>
          <w:sz w:val="22"/>
          <w:szCs w:val="22"/>
        </w:rPr>
      </w:pPr>
    </w:p>
    <w:tbl>
      <w:tblPr>
        <w:tblStyle w:val="11"/>
        <w:tblW w:w="9888" w:type="dxa"/>
        <w:jc w:val="center"/>
        <w:tblLayout w:type="autofit"/>
        <w:tblCellMar>
          <w:top w:w="0" w:type="dxa"/>
          <w:left w:w="108" w:type="dxa"/>
          <w:bottom w:w="0" w:type="dxa"/>
          <w:right w:w="108" w:type="dxa"/>
        </w:tblCellMar>
      </w:tblPr>
      <w:tblGrid>
        <w:gridCol w:w="2940"/>
        <w:gridCol w:w="6948"/>
      </w:tblGrid>
      <w:tr>
        <w:tblPrEx>
          <w:tblCellMar>
            <w:top w:w="0" w:type="dxa"/>
            <w:left w:w="108" w:type="dxa"/>
            <w:bottom w:w="0" w:type="dxa"/>
            <w:right w:w="108" w:type="dxa"/>
          </w:tblCellMar>
        </w:tblPrEx>
        <w:trPr>
          <w:trHeight w:val="2963" w:hRule="atLeast"/>
          <w:jc w:val="center"/>
        </w:trPr>
        <w:tc>
          <w:tcPr>
            <w:tcW w:w="988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FF0000"/>
                <w:szCs w:val="20"/>
              </w:rPr>
            </w:pPr>
            <w:r>
              <w:rPr>
                <w:rFonts w:ascii="Verdana" w:hAnsi="Verdana" w:eastAsia="Verdana" w:cs="Verdana"/>
                <w:b/>
                <w:color w:val="FF0000"/>
                <w:szCs w:val="20"/>
              </w:rPr>
              <w:t>EDITAL DE LICITAÇÃO</w:t>
            </w:r>
          </w:p>
          <w:p>
            <w:pPr>
              <w:pStyle w:val="2"/>
              <w:keepLines w:val="0"/>
              <w:numPr>
                <w:ilvl w:val="0"/>
                <w:numId w:val="1"/>
              </w:numPr>
              <w:spacing w:before="100" w:after="100"/>
              <w:jc w:val="center"/>
              <w:rPr>
                <w:b/>
              </w:rPr>
            </w:pPr>
            <w:r>
              <w:rPr>
                <w:rFonts w:ascii="Verdana" w:hAnsi="Verdana" w:eastAsia="Verdana" w:cs="Verdana"/>
                <w:b/>
                <w:sz w:val="20"/>
                <w:szCs w:val="20"/>
              </w:rPr>
              <w:t xml:space="preserve">PREGÃO ELETRÔNICO Nº </w:t>
            </w:r>
            <w:r>
              <w:rPr>
                <w:rFonts w:hint="default" w:ascii="Verdana" w:hAnsi="Verdana" w:eastAsia="Verdana" w:cs="Verdana"/>
                <w:b/>
                <w:sz w:val="20"/>
                <w:szCs w:val="20"/>
                <w:lang w:val="pt-BR"/>
              </w:rPr>
              <w:t>45/2022</w:t>
            </w:r>
            <w:r>
              <w:rPr>
                <w:rFonts w:ascii="Verdana" w:hAnsi="Verdana" w:eastAsia="Verdana" w:cs="Verdana"/>
                <w:b/>
                <w:sz w:val="20"/>
                <w:szCs w:val="20"/>
              </w:rPr>
              <w:t>/AD</w:t>
            </w:r>
          </w:p>
          <w:p>
            <w:pPr>
              <w:spacing w:before="100" w:after="100"/>
              <w:jc w:val="center"/>
              <w:rPr>
                <w:rFonts w:ascii="Verdana" w:hAnsi="Verdana" w:eastAsia="Verdana" w:cs="Verdana"/>
                <w:b/>
              </w:rPr>
            </w:pPr>
            <w:r>
              <w:rPr>
                <w:rFonts w:ascii="Verdana" w:hAnsi="Verdana" w:eastAsia="Verdana" w:cs="Verdana"/>
                <w:b/>
              </w:rPr>
              <w:t xml:space="preserve">SERVIÇOS CONTINUADOS </w:t>
            </w:r>
            <w:r>
              <w:rPr>
                <w:rFonts w:hint="default" w:ascii="Verdana" w:hAnsi="Verdana" w:eastAsia="Verdana" w:cs="Verdana"/>
                <w:b/>
                <w:lang w:val="pt-BR"/>
              </w:rPr>
              <w:t>COM</w:t>
            </w:r>
            <w:r>
              <w:rPr>
                <w:rFonts w:ascii="Verdana" w:hAnsi="Verdana" w:eastAsia="Verdana" w:cs="Verdana"/>
                <w:b/>
              </w:rPr>
              <w:t xml:space="preserve"> DEDICAÇÃO EXCLUSIVA DE MÃO DE OBRA </w:t>
            </w:r>
          </w:p>
          <w:p>
            <w:pPr>
              <w:pStyle w:val="4"/>
              <w:spacing w:before="120" w:after="120"/>
              <w:ind w:left="624" w:hanging="567"/>
              <w:jc w:val="center"/>
              <w:rPr>
                <w:rFonts w:ascii="Verdana" w:hAnsi="Verdana" w:eastAsia="Verdana" w:cs="Verdana"/>
                <w:b/>
                <w:sz w:val="18"/>
                <w:szCs w:val="18"/>
                <w:lang w:val="pt-BR"/>
              </w:rPr>
            </w:pPr>
            <w:r>
              <w:rPr>
                <w:rFonts w:ascii="Verdana" w:hAnsi="Verdana" w:eastAsia="Verdana" w:cs="Verdana"/>
                <w:b/>
                <w:sz w:val="18"/>
                <w:szCs w:val="18"/>
              </w:rPr>
              <w:t xml:space="preserve">PROCESSO Nº </w:t>
            </w:r>
            <w:r>
              <w:rPr>
                <w:rFonts w:ascii="Verdana" w:hAnsi="Verdana" w:eastAsia="Verdana" w:cs="Verdana"/>
                <w:b/>
                <w:sz w:val="18"/>
                <w:szCs w:val="18"/>
                <w:lang w:val="pt-BR"/>
              </w:rPr>
              <w:t xml:space="preserve">23069.154035/2022-92 </w:t>
            </w:r>
          </w:p>
          <w:p>
            <w:pPr>
              <w:pStyle w:val="4"/>
              <w:spacing w:before="120" w:after="120"/>
              <w:ind w:left="624" w:hanging="567"/>
              <w:jc w:val="center"/>
              <w:rPr>
                <w:rFonts w:hint="default" w:ascii="Verdana" w:hAnsi="Verdana" w:eastAsia="Verdana" w:cs="Verdana"/>
                <w:b/>
                <w:sz w:val="18"/>
                <w:szCs w:val="18"/>
                <w:lang w:val="pt-BR"/>
              </w:rPr>
            </w:pPr>
          </w:p>
        </w:tc>
      </w:tr>
      <w:tr>
        <w:tblPrEx>
          <w:tblCellMar>
            <w:top w:w="0" w:type="dxa"/>
            <w:left w:w="108" w:type="dxa"/>
            <w:bottom w:w="0" w:type="dxa"/>
            <w:right w:w="108" w:type="dxa"/>
          </w:tblCellMar>
        </w:tblPrEx>
        <w:trPr>
          <w:trHeight w:val="1176"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pPr>
            <w:r>
              <w:rPr>
                <w:b/>
              </w:rPr>
              <w:t>OBJETO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both"/>
              <w:rPr>
                <w:rFonts w:ascii="Ecofont_Spranq_eco_Sans" w:hAnsi="Ecofont_Spranq_eco_Sans" w:eastAsia="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rFonts w:hint="default"/>
                <w:b/>
                <w:bCs/>
                <w:color w:val="000000"/>
                <w:lang w:val="pt-BR"/>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para as unidades da Universidade Federal Fluminense no município de Oriximiná</w:t>
            </w:r>
            <w:r>
              <w:rPr>
                <w:color w:val="000000"/>
              </w:rPr>
              <w:t>, conforme condições, quantidades e exigências estabelecidas neste Edital e seus anexos.</w:t>
            </w:r>
          </w:p>
        </w:tc>
      </w:tr>
      <w:tr>
        <w:tblPrEx>
          <w:tblCellMar>
            <w:top w:w="0" w:type="dxa"/>
            <w:left w:w="108" w:type="dxa"/>
            <w:bottom w:w="0" w:type="dxa"/>
            <w:right w:w="108" w:type="dxa"/>
          </w:tblCellMar>
        </w:tblPrEx>
        <w:trPr>
          <w:trHeight w:val="903"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RECEBIMENTO DAS PROPOSTAS</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19"/>
              <w:jc w:val="both"/>
            </w:pPr>
            <w:r>
              <w:rPr>
                <w:rFonts w:ascii="Arial" w:hAnsi="Arial" w:eastAsia="SimSun" w:cs="Arial"/>
                <w:i w:val="0"/>
                <w:iCs w:val="0"/>
                <w:color w:val="000000"/>
                <w:sz w:val="20"/>
                <w:szCs w:val="20"/>
                <w:u w:val="none"/>
                <w:vertAlign w:val="baseline"/>
              </w:rPr>
              <w:t xml:space="preserve">A partir da data de divulgação do Edital no site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"https://www.gov.br/compras/pt-br" </w:instrText>
            </w:r>
            <w:r>
              <w:rPr>
                <w:rFonts w:ascii="SimSun" w:hAnsi="SimSun" w:eastAsia="SimSun" w:cs="SimSun"/>
                <w:b w:val="0"/>
                <w:bCs w:val="0"/>
                <w:sz w:val="24"/>
                <w:szCs w:val="24"/>
                <w:u w:val="none"/>
              </w:rPr>
              <w:fldChar w:fldCharType="separate"/>
            </w:r>
            <w:r>
              <w:rPr>
                <w:rStyle w:val="15"/>
                <w:rFonts w:hint="default" w:ascii="Arial" w:hAnsi="Arial" w:eastAsia="SimSun" w:cs="Arial"/>
                <w:i/>
                <w:iCs/>
                <w:color w:val="000000"/>
                <w:sz w:val="20"/>
                <w:szCs w:val="20"/>
                <w:u w:val="single"/>
                <w:vertAlign w:val="baseline"/>
              </w:rPr>
              <w:t>www.gov.br/compras</w:t>
            </w:r>
            <w:r>
              <w:rPr>
                <w:rFonts w:ascii="SimSun" w:hAnsi="SimSun" w:eastAsia="SimSun" w:cs="SimSun"/>
                <w:b w:val="0"/>
                <w:bCs w:val="0"/>
                <w:sz w:val="24"/>
                <w:szCs w:val="24"/>
                <w:u w:val="none"/>
              </w:rPr>
              <w:fldChar w:fldCharType="end"/>
            </w:r>
            <w:r>
              <w:rPr>
                <w:rFonts w:hint="default" w:ascii="Arial" w:hAnsi="Arial" w:eastAsia="SimSun" w:cs="Arial"/>
                <w:i w:val="0"/>
                <w:iCs w:val="0"/>
                <w:color w:val="000000"/>
                <w:sz w:val="20"/>
                <w:szCs w:val="20"/>
                <w:u w:val="none"/>
                <w:vertAlign w:val="baseline"/>
              </w:rPr>
              <w:t xml:space="preserve"> até a data e horário de realização da sessão pública</w:t>
            </w:r>
          </w:p>
        </w:tc>
      </w:tr>
      <w:tr>
        <w:tblPrEx>
          <w:tblCellMar>
            <w:top w:w="0" w:type="dxa"/>
            <w:left w:w="108" w:type="dxa"/>
            <w:bottom w:w="0" w:type="dxa"/>
            <w:right w:w="108" w:type="dxa"/>
          </w:tblCellMar>
        </w:tblPrEx>
        <w:trPr>
          <w:trHeight w:val="1104"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DATA ABERTURA DAS PROPOSTAS</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hanging="25"/>
              <w:jc w:val="both"/>
              <w:rPr>
                <w:rFonts w:hint="default"/>
                <w:lang w:val="pt-BR"/>
              </w:rPr>
            </w:pPr>
            <w:r>
              <w:rPr>
                <w:rFonts w:ascii="Arial" w:hAnsi="Arial" w:eastAsia="SimSun" w:cs="Arial"/>
                <w:i w:val="0"/>
                <w:iCs w:val="0"/>
                <w:color w:val="000000"/>
                <w:sz w:val="20"/>
                <w:szCs w:val="20"/>
                <w:u w:val="none"/>
                <w:vertAlign w:val="baseline"/>
              </w:rPr>
              <w:t xml:space="preserve">Sessão Pública a ser realizada no endereço eletrônico informado no edital, às </w:t>
            </w:r>
            <w:r>
              <w:rPr>
                <w:rFonts w:hint="default" w:eastAsia="SimSun" w:cs="Arial"/>
                <w:i w:val="0"/>
                <w:iCs w:val="0"/>
                <w:color w:val="000000"/>
                <w:sz w:val="20"/>
                <w:szCs w:val="20"/>
                <w:u w:val="none"/>
                <w:vertAlign w:val="baseline"/>
                <w:lang w:val="pt-BR"/>
              </w:rPr>
              <w:t>10</w:t>
            </w:r>
            <w:r>
              <w:rPr>
                <w:rFonts w:hint="default" w:eastAsia="SimSun" w:cs="Arial"/>
                <w:b/>
                <w:bCs/>
                <w:i w:val="0"/>
                <w:iCs w:val="0"/>
                <w:color w:val="000000"/>
                <w:sz w:val="20"/>
                <w:szCs w:val="20"/>
                <w:u w:val="none"/>
                <w:vertAlign w:val="baseline"/>
                <w:lang w:val="pt-BR"/>
              </w:rPr>
              <w:t xml:space="preserve">h </w:t>
            </w:r>
            <w:r>
              <w:rPr>
                <w:rFonts w:hint="default" w:ascii="Arial" w:hAnsi="Arial" w:eastAsia="SimSun" w:cs="Arial"/>
                <w:i w:val="0"/>
                <w:iCs w:val="0"/>
                <w:color w:val="000000"/>
                <w:sz w:val="20"/>
                <w:szCs w:val="20"/>
                <w:u w:val="none"/>
                <w:vertAlign w:val="baseline"/>
              </w:rPr>
              <w:t>do dia</w:t>
            </w:r>
            <w:r>
              <w:rPr>
                <w:rFonts w:hint="default" w:eastAsia="SimSun" w:cs="Arial"/>
                <w:i w:val="0"/>
                <w:iCs w:val="0"/>
                <w:color w:val="000000"/>
                <w:sz w:val="20"/>
                <w:szCs w:val="20"/>
                <w:u w:val="none"/>
                <w:vertAlign w:val="baseline"/>
                <w:lang w:val="pt-BR"/>
              </w:rPr>
              <w:t xml:space="preserve"> </w:t>
            </w:r>
            <w:r>
              <w:rPr>
                <w:rFonts w:hint="default" w:eastAsia="SimSun" w:cs="Arial"/>
                <w:b/>
                <w:bCs/>
                <w:i w:val="0"/>
                <w:iCs w:val="0"/>
                <w:color w:val="000000"/>
                <w:sz w:val="20"/>
                <w:szCs w:val="20"/>
                <w:u w:val="none"/>
                <w:vertAlign w:val="baseline"/>
                <w:lang w:val="pt-BR"/>
              </w:rPr>
              <w:t>26/MAI/2022</w:t>
            </w:r>
            <w:r>
              <w:rPr>
                <w:rFonts w:hint="default" w:eastAsia="SimSun" w:cs="Arial"/>
                <w:i w:val="0"/>
                <w:iCs w:val="0"/>
                <w:color w:val="000000"/>
                <w:sz w:val="20"/>
                <w:szCs w:val="20"/>
                <w:u w:val="none"/>
                <w:vertAlign w:val="baseline"/>
                <w:lang w:val="pt-BR"/>
              </w:rPr>
              <w:t>.</w:t>
            </w:r>
          </w:p>
        </w:tc>
      </w:tr>
      <w:tr>
        <w:tblPrEx>
          <w:tblCellMar>
            <w:top w:w="0" w:type="dxa"/>
            <w:left w:w="108" w:type="dxa"/>
            <w:bottom w:w="0" w:type="dxa"/>
            <w:right w:w="108" w:type="dxa"/>
          </w:tblCellMar>
        </w:tblPrEx>
        <w:trPr>
          <w:trHeight w:val="2042"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ENDEREÇO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ascii="Arial" w:hAnsi="Arial" w:cs="Arial"/>
                <w:i w:val="0"/>
                <w:iCs w:val="0"/>
                <w:color w:val="000000"/>
                <w:sz w:val="20"/>
                <w:szCs w:val="20"/>
                <w:u w:val="none"/>
                <w:vertAlign w:val="baseline"/>
              </w:rPr>
              <w:t>Universidade Federal Fluminense</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Pró-Reitoria de Administração</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Coordenação de Licitação</w:t>
            </w:r>
          </w:p>
          <w:p>
            <w:pPr>
              <w:pStyle w:val="22"/>
              <w:keepNext w:val="0"/>
              <w:keepLines w:val="0"/>
              <w:widowControl/>
              <w:suppressLineNumbers w:val="0"/>
              <w:bidi w:val="0"/>
              <w:spacing w:before="0" w:beforeAutospacing="0" w:after="0" w:afterAutospacing="0" w:line="15" w:lineRule="atLeast"/>
            </w:pPr>
            <w:r>
              <w:rPr>
                <w:rFonts w:hint="default" w:ascii="Arial" w:hAnsi="Arial" w:cs="Arial"/>
                <w:i w:val="0"/>
                <w:iCs w:val="0"/>
                <w:color w:val="000000"/>
                <w:sz w:val="20"/>
                <w:szCs w:val="20"/>
                <w:u w:val="none"/>
                <w:vertAlign w:val="baseline"/>
              </w:rPr>
              <w:t>UASG: 150182</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Rua Miguel de Frias n.º 09, Bairro Icaraí, Niterói - RJ</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CEP: 24.220-900</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p>
          <w:p>
            <w:pPr>
              <w:pStyle w:val="4"/>
              <w:spacing w:before="120" w:after="120"/>
              <w:ind w:hanging="25"/>
              <w:jc w:val="both"/>
            </w:pPr>
            <w:r>
              <w:rPr>
                <w:rFonts w:hint="default" w:ascii="Arial" w:hAnsi="Arial" w:eastAsia="SimSun" w:cs="Arial"/>
                <w:i w:val="0"/>
                <w:iCs w:val="0"/>
                <w:color w:val="000000"/>
                <w:sz w:val="20"/>
                <w:szCs w:val="20"/>
                <w:u w:val="none"/>
                <w:vertAlign w:val="baseline"/>
              </w:rPr>
              <w:t>E-mail:</w:t>
            </w:r>
            <w:r>
              <w:rPr>
                <w:rFonts w:hint="default" w:ascii="Arial" w:hAnsi="Arial" w:eastAsia="SimSun" w:cs="Arial"/>
                <w:b/>
                <w:bCs/>
                <w:i w:val="0"/>
                <w:iCs w:val="0"/>
                <w:color w:val="0000FF"/>
                <w:sz w:val="20"/>
                <w:szCs w:val="20"/>
                <w:u w:val="none"/>
                <w:vertAlign w:val="baseline"/>
              </w:rPr>
              <w:t xml:space="preserve">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0000FF"/>
                <w:sz w:val="20"/>
                <w:szCs w:val="20"/>
                <w:u w:val="single"/>
                <w:vertAlign w:val="baseline"/>
              </w:rPr>
              <w:t>cpl@id.uff.br</w:t>
            </w:r>
            <w:r>
              <w:rPr>
                <w:rFonts w:ascii="SimSun" w:hAnsi="SimSun" w:eastAsia="SimSun" w:cs="SimSun"/>
                <w:b w:val="0"/>
                <w:bCs w:val="0"/>
                <w:sz w:val="24"/>
                <w:szCs w:val="24"/>
                <w:u w:val="none"/>
              </w:rPr>
              <w:fldChar w:fldCharType="end"/>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TIPO DE LICITAÇÃO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rPr>
                <w:color w:val="000000"/>
                <w:sz w:val="21"/>
                <w:szCs w:val="21"/>
                <w:highlight w:val="yellow"/>
              </w:rPr>
            </w:pPr>
            <w:r>
              <w:rPr>
                <w:color w:val="000000"/>
                <w:sz w:val="21"/>
                <w:szCs w:val="21"/>
              </w:rPr>
              <w:t>Menor preço unitário.</w:t>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ACESSO ELETRÔNICO AO EDITAL</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pP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"https://www.gov.br/compras/pt-br" </w:instrText>
            </w:r>
            <w:r>
              <w:rPr>
                <w:rFonts w:ascii="SimSun" w:hAnsi="SimSun" w:eastAsia="SimSun" w:cs="SimSun"/>
                <w:b w:val="0"/>
                <w:bCs w:val="0"/>
                <w:sz w:val="24"/>
                <w:szCs w:val="24"/>
                <w:u w:val="none"/>
              </w:rPr>
              <w:fldChar w:fldCharType="separate"/>
            </w:r>
            <w:r>
              <w:rPr>
                <w:rStyle w:val="15"/>
                <w:rFonts w:ascii="Cambria" w:hAnsi="Cambria" w:eastAsia="Cambria" w:cs="Cambria"/>
                <w:b/>
                <w:bCs/>
                <w:i/>
                <w:iCs/>
                <w:color w:val="0000FF"/>
                <w:sz w:val="20"/>
                <w:szCs w:val="20"/>
                <w:u w:val="single"/>
                <w:vertAlign w:val="baseline"/>
              </w:rPr>
              <w:t>www.gov.br/compras</w:t>
            </w:r>
            <w:r>
              <w:rPr>
                <w:rFonts w:ascii="SimSun" w:hAnsi="SimSun" w:eastAsia="SimSun" w:cs="SimSun"/>
                <w:b w:val="0"/>
                <w:bCs w:val="0"/>
                <w:sz w:val="24"/>
                <w:szCs w:val="24"/>
                <w:u w:val="none"/>
              </w:rPr>
              <w:fldChar w:fldCharType="end"/>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PREGOEIRO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rPr>
                <w:rFonts w:hint="default"/>
                <w:color w:val="000000"/>
                <w:sz w:val="21"/>
                <w:szCs w:val="21"/>
                <w:lang w:val="pt-BR"/>
              </w:rPr>
            </w:pPr>
            <w:r>
              <w:rPr>
                <w:rFonts w:hint="default"/>
                <w:color w:val="000000"/>
                <w:sz w:val="21"/>
                <w:szCs w:val="21"/>
                <w:lang w:val="pt-BR"/>
              </w:rPr>
              <w:t>Hellen de Lima Medeiros da Silva</w:t>
            </w:r>
          </w:p>
        </w:tc>
      </w:tr>
    </w:tbl>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tabs>
          <w:tab w:val="center" w:pos="4252"/>
          <w:tab w:val="left" w:pos="8340"/>
          <w:tab w:val="right" w:pos="8504"/>
        </w:tabs>
        <w:rPr>
          <w:rFonts w:ascii="Verdana" w:hAnsi="Verdana" w:eastAsia="Verdana" w:cs="Verdana"/>
          <w:color w:val="000000"/>
          <w:sz w:val="18"/>
          <w:szCs w:val="18"/>
        </w:rPr>
      </w:pPr>
      <w:r>
        <w:rPr>
          <w:rFonts w:ascii="Verdana" w:hAnsi="Verdana" w:eastAsia="Verdana" w:cs="Verdana"/>
          <w:color w:val="000000"/>
          <w:sz w:val="18"/>
          <w:szCs w:val="18"/>
          <w:lang w:eastAsia="pt-BR" w:bidi="ar-SA"/>
        </w:rPr>
        <w:drawing>
          <wp:anchor distT="0" distB="0" distL="0" distR="0" simplePos="0" relativeHeight="251659264" behindDoc="0" locked="0" layoutInCell="1" allowOverlap="1">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6"/>
                    <a:stretch>
                      <a:fillRect/>
                    </a:stretch>
                  </pic:blipFill>
                  <pic:spPr>
                    <a:xfrm>
                      <a:off x="0" y="0"/>
                      <a:ext cx="1200150" cy="409575"/>
                    </a:xfrm>
                    <a:prstGeom prst="rect">
                      <a:avLst/>
                    </a:prstGeom>
                  </pic:spPr>
                </pic:pic>
              </a:graphicData>
            </a:graphic>
          </wp:anchor>
        </w:drawing>
      </w:r>
      <w:r>
        <w:rPr>
          <w:rFonts w:ascii="Verdana" w:hAnsi="Verdana" w:eastAsia="Verdana" w:cs="Verdana"/>
          <w:color w:val="000000"/>
          <w:sz w:val="18"/>
          <w:szCs w:val="18"/>
          <w:lang w:eastAsia="pt-BR" w:bidi="ar-SA"/>
        </w:rPr>
        <w:drawing>
          <wp:anchor distT="0" distB="0" distL="0" distR="0" simplePos="0" relativeHeight="251659264" behindDoc="0" locked="0" layoutInCell="1" allowOverlap="1">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7"/>
                    <a:stretch>
                      <a:fillRect/>
                    </a:stretch>
                  </pic:blipFill>
                  <pic:spPr>
                    <a:xfrm>
                      <a:off x="0" y="0"/>
                      <a:ext cx="898525" cy="483870"/>
                    </a:xfrm>
                    <a:prstGeom prst="rect">
                      <a:avLst/>
                    </a:prstGeom>
                  </pic:spPr>
                </pic:pic>
              </a:graphicData>
            </a:graphic>
          </wp:anchor>
        </w:drawing>
      </w:r>
      <w:r>
        <w:rPr>
          <w:rFonts w:ascii="Verdana" w:hAnsi="Verdana" w:eastAsia="Verdana" w:cs="Verdana"/>
          <w:color w:val="000000"/>
          <w:sz w:val="18"/>
          <w:szCs w:val="18"/>
        </w:rPr>
        <w:tab/>
      </w:r>
    </w:p>
    <w:p>
      <w:pPr>
        <w:pStyle w:val="4"/>
        <w:rPr>
          <w:rFonts w:ascii="Verdana" w:hAnsi="Verdana" w:eastAsia="Verdana" w:cs="Verdana"/>
          <w:sz w:val="18"/>
          <w:szCs w:val="18"/>
        </w:rPr>
      </w:pPr>
    </w:p>
    <w:p>
      <w:pPr>
        <w:pStyle w:val="4"/>
        <w:rPr>
          <w:rFonts w:ascii="Verdana" w:hAnsi="Verdana" w:eastAsia="Verdana" w:cs="Verdana"/>
          <w:sz w:val="18"/>
          <w:szCs w:val="18"/>
        </w:rPr>
      </w:pPr>
    </w:p>
    <w:p>
      <w:pPr>
        <w:pStyle w:val="4"/>
        <w:rPr>
          <w:rFonts w:ascii="Verdana" w:hAnsi="Verdana" w:eastAsia="Verdana" w:cs="Verdana"/>
          <w:sz w:val="18"/>
          <w:szCs w:val="18"/>
        </w:rPr>
      </w:pPr>
    </w:p>
    <w:p>
      <w:pPr>
        <w:pStyle w:val="4"/>
        <w:tabs>
          <w:tab w:val="left" w:pos="6284"/>
        </w:tabs>
        <w:jc w:val="center"/>
        <w:rPr>
          <w:rFonts w:ascii="Verdana" w:hAnsi="Verdana" w:eastAsia="Verdana" w:cs="Verdana"/>
          <w:b/>
          <w:sz w:val="18"/>
          <w:szCs w:val="18"/>
        </w:rPr>
      </w:pPr>
      <w:r>
        <w:rPr>
          <w:rFonts w:ascii="Verdana" w:hAnsi="Verdana" w:eastAsia="Verdana" w:cs="Verdana"/>
          <w:b/>
          <w:sz w:val="18"/>
          <w:szCs w:val="18"/>
        </w:rPr>
        <w:t>MINISTÉRIO DA EDUCAÇÃO</w:t>
      </w:r>
    </w:p>
    <w:p>
      <w:pPr>
        <w:pStyle w:val="4"/>
        <w:tabs>
          <w:tab w:val="left" w:pos="6284"/>
        </w:tabs>
        <w:jc w:val="center"/>
        <w:rPr>
          <w:rFonts w:ascii="Verdana" w:hAnsi="Verdana" w:eastAsia="Verdana" w:cs="Verdana"/>
          <w:b/>
          <w:sz w:val="18"/>
          <w:szCs w:val="18"/>
        </w:rPr>
      </w:pPr>
      <w:r>
        <w:rPr>
          <w:rFonts w:ascii="Verdana" w:hAnsi="Verdana" w:eastAsia="Verdana" w:cs="Verdana"/>
          <w:sz w:val="18"/>
          <w:szCs w:val="18"/>
        </w:rPr>
        <w:t>UNIVERSIDADE FEDERAL FLUMINENSE</w:t>
      </w:r>
    </w:p>
    <w:p>
      <w:pPr>
        <w:pStyle w:val="4"/>
        <w:jc w:val="center"/>
        <w:rPr>
          <w:rFonts w:ascii="Verdana" w:hAnsi="Verdana" w:eastAsia="Verdana" w:cs="Verdana"/>
          <w:sz w:val="18"/>
          <w:szCs w:val="18"/>
        </w:rPr>
      </w:pPr>
      <w:r>
        <w:rPr>
          <w:rFonts w:ascii="Verdana" w:hAnsi="Verdana" w:eastAsia="Verdana" w:cs="Verdana"/>
          <w:sz w:val="18"/>
          <w:szCs w:val="18"/>
        </w:rPr>
        <w:t>PRÓ-REITORIA DE ADMINISTRAÇÃO</w:t>
      </w:r>
    </w:p>
    <w:p>
      <w:pPr>
        <w:pStyle w:val="4"/>
      </w:pPr>
    </w:p>
    <w:p>
      <w:pPr>
        <w:pStyle w:val="4"/>
        <w:jc w:val="center"/>
      </w:pPr>
      <w:r>
        <w:rPr>
          <w:b/>
        </w:rPr>
        <w:t xml:space="preserve">PREGÃO ELETRÔNICO Nº </w:t>
      </w:r>
      <w:r>
        <w:rPr>
          <w:b/>
          <w:lang w:val="pt-BR"/>
        </w:rPr>
        <w:t>45/2022</w:t>
      </w:r>
      <w:r>
        <w:rPr>
          <w:b/>
        </w:rPr>
        <w:t>/AD</w:t>
      </w:r>
    </w:p>
    <w:p>
      <w:pPr>
        <w:pStyle w:val="4"/>
        <w:jc w:val="center"/>
        <w:rPr>
          <w:rFonts w:hint="default"/>
          <w:lang w:val="pt-BR"/>
        </w:rPr>
      </w:pPr>
      <w:r>
        <w:rPr>
          <w:b/>
        </w:rPr>
        <w:t xml:space="preserve">(Processo Administrativo n.° </w:t>
      </w:r>
      <w:r>
        <w:rPr>
          <w:b/>
          <w:lang w:val="pt-BR"/>
        </w:rPr>
        <w:t xml:space="preserve">23069.154035/2022-92 </w:t>
      </w:r>
    </w:p>
    <w:p>
      <w:pPr>
        <w:pStyle w:val="4"/>
        <w:spacing w:after="120" w:line="276" w:lineRule="auto"/>
        <w:ind w:right="-17"/>
        <w:jc w:val="both"/>
        <w:rPr>
          <w:b/>
          <w:color w:val="000000"/>
        </w:rPr>
      </w:pPr>
    </w:p>
    <w:p>
      <w:pPr>
        <w:pStyle w:val="4"/>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 xml:space="preserve">preço </w:t>
      </w:r>
      <w:r>
        <w:rPr>
          <w:rFonts w:hint="default"/>
          <w:color w:val="000000"/>
          <w:lang w:val="pt-BR"/>
        </w:rPr>
        <w:t>unitário</w:t>
      </w:r>
      <w: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pStyle w:val="4"/>
        <w:spacing w:line="276" w:lineRule="auto"/>
        <w:jc w:val="both"/>
        <w:rPr>
          <w:color w:val="000000"/>
        </w:rPr>
      </w:pPr>
    </w:p>
    <w:p>
      <w:pPr>
        <w:pStyle w:val="22"/>
        <w:keepNext w:val="0"/>
        <w:keepLines w:val="0"/>
        <w:widowControl/>
        <w:suppressLineNumbers w:val="0"/>
        <w:bidi w:val="0"/>
        <w:spacing w:before="0" w:beforeAutospacing="0" w:after="0" w:afterAutospacing="0" w:line="15" w:lineRule="atLeast"/>
        <w:jc w:val="both"/>
        <w:rPr>
          <w:rFonts w:hint="default"/>
          <w:lang w:val="pt-BR"/>
        </w:rPr>
      </w:pPr>
      <w:r>
        <w:rPr>
          <w:rFonts w:ascii="Arial" w:hAnsi="Arial" w:cs="Arial"/>
          <w:i w:val="0"/>
          <w:iCs w:val="0"/>
          <w:color w:val="000000"/>
          <w:sz w:val="20"/>
          <w:szCs w:val="20"/>
          <w:u w:val="none"/>
          <w:vertAlign w:val="baseline"/>
        </w:rPr>
        <w:t>Data da sessão:</w:t>
      </w:r>
      <w:r>
        <w:rPr>
          <w:rFonts w:hint="default" w:ascii="Arial" w:hAnsi="Arial" w:cs="Arial"/>
          <w:i w:val="0"/>
          <w:iCs w:val="0"/>
          <w:color w:val="000000"/>
          <w:sz w:val="20"/>
          <w:szCs w:val="20"/>
          <w:u w:val="none"/>
          <w:vertAlign w:val="baseline"/>
          <w:lang w:val="pt-BR"/>
        </w:rPr>
        <w:t xml:space="preserve"> </w:t>
      </w:r>
      <w:r>
        <w:rPr>
          <w:rFonts w:hint="default" w:ascii="Arial" w:hAnsi="Arial" w:cs="Arial"/>
          <w:b/>
          <w:bCs/>
          <w:i w:val="0"/>
          <w:iCs w:val="0"/>
          <w:color w:val="000000"/>
          <w:sz w:val="20"/>
          <w:szCs w:val="20"/>
          <w:u w:val="none"/>
          <w:vertAlign w:val="baseline"/>
          <w:lang w:val="pt-BR"/>
        </w:rPr>
        <w:t>26</w:t>
      </w:r>
      <w:bookmarkStart w:id="9" w:name="_GoBack"/>
      <w:bookmarkEnd w:id="9"/>
      <w:r>
        <w:rPr>
          <w:rFonts w:hint="default" w:ascii="Arial" w:hAnsi="Arial" w:cs="Arial"/>
          <w:b/>
          <w:bCs/>
          <w:i w:val="0"/>
          <w:iCs w:val="0"/>
          <w:color w:val="000000"/>
          <w:sz w:val="20"/>
          <w:szCs w:val="20"/>
          <w:u w:val="none"/>
          <w:vertAlign w:val="baseline"/>
          <w:lang w:val="pt-BR"/>
        </w:rPr>
        <w:t>/MAI/2022</w:t>
      </w:r>
    </w:p>
    <w:p>
      <w:pPr>
        <w:pStyle w:val="22"/>
        <w:keepNext w:val="0"/>
        <w:keepLines w:val="0"/>
        <w:widowControl/>
        <w:suppressLineNumbers w:val="0"/>
        <w:bidi w:val="0"/>
        <w:spacing w:before="0" w:beforeAutospacing="0" w:after="0" w:afterAutospacing="0" w:line="15" w:lineRule="atLeast"/>
        <w:jc w:val="both"/>
        <w:rPr>
          <w:rFonts w:hint="default" w:ascii="Arial" w:hAnsi="Arial" w:cs="Arial"/>
          <w:i w:val="0"/>
          <w:iCs w:val="0"/>
          <w:color w:val="000000"/>
          <w:sz w:val="20"/>
          <w:szCs w:val="20"/>
          <w:u w:val="none"/>
          <w:vertAlign w:val="baseline"/>
          <w:lang w:val="pt-BR"/>
        </w:rPr>
      </w:pPr>
      <w:r>
        <w:rPr>
          <w:rFonts w:hint="default" w:ascii="Arial" w:hAnsi="Arial" w:cs="Arial"/>
          <w:i w:val="0"/>
          <w:iCs w:val="0"/>
          <w:color w:val="000000"/>
          <w:sz w:val="20"/>
          <w:szCs w:val="20"/>
          <w:u w:val="none"/>
          <w:vertAlign w:val="baseline"/>
        </w:rPr>
        <w:t>Horário: </w:t>
      </w:r>
      <w:r>
        <w:rPr>
          <w:rFonts w:hint="default" w:ascii="Arial" w:hAnsi="Arial" w:cs="Arial"/>
          <w:i w:val="0"/>
          <w:iCs w:val="0"/>
          <w:color w:val="000000"/>
          <w:sz w:val="20"/>
          <w:szCs w:val="20"/>
          <w:u w:val="none"/>
          <w:vertAlign w:val="baseline"/>
          <w:lang w:val="pt-BR"/>
        </w:rPr>
        <w:t>10h</w:t>
      </w:r>
    </w:p>
    <w:p>
      <w:pPr>
        <w:pStyle w:val="22"/>
        <w:keepNext w:val="0"/>
        <w:keepLines w:val="0"/>
        <w:widowControl/>
        <w:suppressLineNumbers w:val="0"/>
        <w:bidi w:val="0"/>
        <w:spacing w:before="0" w:beforeAutospacing="0" w:after="0" w:afterAutospacing="0" w:line="15" w:lineRule="atLeast"/>
        <w:jc w:val="both"/>
        <w:rPr>
          <w:b/>
          <w:color w:val="000000"/>
        </w:rPr>
      </w:pPr>
      <w:r>
        <w:rPr>
          <w:rFonts w:hint="default" w:ascii="Arial" w:hAnsi="Arial" w:eastAsia="SimSun" w:cs="Arial"/>
          <w:i w:val="0"/>
          <w:iCs w:val="0"/>
          <w:color w:val="000000"/>
          <w:sz w:val="20"/>
          <w:szCs w:val="20"/>
          <w:u w:val="none"/>
          <w:vertAlign w:val="baseline"/>
        </w:rPr>
        <w:t xml:space="preserve">Local: Portal de Compras do Governo Federal –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"http://www.gov.br/compras"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0000FF"/>
          <w:sz w:val="20"/>
          <w:szCs w:val="20"/>
          <w:u w:val="single"/>
          <w:vertAlign w:val="baseline"/>
        </w:rPr>
        <w:t>www.gov.br/compras</w:t>
      </w:r>
      <w:r>
        <w:rPr>
          <w:rFonts w:ascii="SimSun" w:hAnsi="SimSun" w:eastAsia="SimSun" w:cs="SimSun"/>
          <w:b w:val="0"/>
          <w:bCs w:val="0"/>
          <w:sz w:val="24"/>
          <w:szCs w:val="24"/>
          <w:u w:val="none"/>
        </w:rPr>
        <w:fldChar w:fldCharType="end"/>
      </w:r>
    </w:p>
    <w:p>
      <w:pPr>
        <w:pStyle w:val="4"/>
        <w:keepNext/>
        <w:keepLines/>
        <w:numPr>
          <w:ilvl w:val="0"/>
          <w:numId w:val="2"/>
        </w:numPr>
        <w:spacing w:before="480" w:after="120" w:line="276" w:lineRule="auto"/>
        <w:ind w:right="-15"/>
        <w:jc w:val="both"/>
        <w:rPr>
          <w:b/>
          <w:color w:val="000000"/>
        </w:rPr>
      </w:pPr>
      <w:r>
        <w:rPr>
          <w:b/>
          <w:color w:val="000000"/>
        </w:rPr>
        <w:t>DO OBJETO</w:t>
      </w:r>
    </w:p>
    <w:p>
      <w:pPr>
        <w:pStyle w:val="4"/>
        <w:numPr>
          <w:ilvl w:val="1"/>
          <w:numId w:val="3"/>
        </w:numPr>
        <w:spacing w:before="120" w:after="120" w:line="276" w:lineRule="auto"/>
        <w:jc w:val="both"/>
        <w:rPr>
          <w:color w:val="000000"/>
        </w:rPr>
      </w:pPr>
      <w:r>
        <w:rPr>
          <w:color w:val="000000"/>
        </w:rPr>
        <w:t xml:space="preserve">O objeto da presente licitação é a escolha da proposta mais vantajosa para a </w:t>
      </w:r>
      <w:r>
        <w:rPr>
          <w:rFonts w:hint="default"/>
          <w:b/>
          <w:bCs/>
          <w:color w:val="000000"/>
          <w:lang w:val="pt-BR"/>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para as unidades da Universidade Federal Fluminense no município de Oriximiná</w:t>
      </w:r>
      <w:r>
        <w:rPr>
          <w:color w:val="000000"/>
        </w:rPr>
        <w:t>, conforme condições, quantidades e exigências estabelecidas neste Edital e seus anexos.</w:t>
      </w:r>
    </w:p>
    <w:p>
      <w:pPr>
        <w:pStyle w:val="4"/>
        <w:tabs>
          <w:tab w:val="left" w:pos="709"/>
        </w:tabs>
        <w:spacing w:before="120" w:after="120" w:line="276" w:lineRule="auto"/>
        <w:ind w:left="1134" w:hanging="425"/>
        <w:jc w:val="both"/>
        <w:rPr>
          <w:rFonts w:hint="default"/>
          <w:color w:val="000000"/>
          <w:lang w:val="pt-BR"/>
        </w:rPr>
      </w:pPr>
      <w:r>
        <w:rPr>
          <w:color w:val="000000"/>
        </w:rPr>
        <w:t>1.2. 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w:t>
      </w:r>
      <w:r>
        <w:rPr>
          <w:rFonts w:hint="default" w:eastAsia="SimSun" w:cs="Arial"/>
          <w:i w:val="0"/>
          <w:iCs w:val="0"/>
          <w:color w:val="auto"/>
          <w:sz w:val="20"/>
          <w:szCs w:val="20"/>
          <w:u w:val="none"/>
          <w:vertAlign w:val="baseline"/>
          <w:lang w:val="pt-BR"/>
        </w:rPr>
        <w:t>único item.</w:t>
      </w:r>
    </w:p>
    <w:p>
      <w:pPr>
        <w:pStyle w:val="4"/>
        <w:tabs>
          <w:tab w:val="left" w:pos="709"/>
        </w:tabs>
        <w:spacing w:before="120" w:after="120" w:line="276" w:lineRule="auto"/>
        <w:ind w:left="1134" w:hanging="425"/>
        <w:jc w:val="both"/>
        <w:rPr>
          <w:color w:val="000000"/>
        </w:rPr>
      </w:pPr>
      <w:r>
        <w:rPr>
          <w:color w:val="000000"/>
        </w:rPr>
        <w:t>1.3. O critério de julgamento adotado será o menor preço, observadas as exigências contidas neste Edital e seus Anexos quanto às especificações do objeto.</w:t>
      </w:r>
    </w:p>
    <w:p>
      <w:pPr>
        <w:pStyle w:val="4"/>
        <w:keepNext/>
        <w:keepLines/>
        <w:numPr>
          <w:ilvl w:val="0"/>
          <w:numId w:val="2"/>
        </w:numPr>
        <w:spacing w:before="480" w:after="120" w:line="276" w:lineRule="auto"/>
        <w:ind w:right="-15"/>
        <w:jc w:val="both"/>
        <w:rPr>
          <w:b/>
        </w:rPr>
      </w:pPr>
      <w:r>
        <w:rPr>
          <w:b/>
        </w:rPr>
        <w:t>DOS RECURSOS ORÇAMENTÁRIOS</w:t>
      </w:r>
    </w:p>
    <w:p>
      <w:pPr>
        <w:pStyle w:val="4"/>
        <w:ind w:left="360"/>
        <w:rPr>
          <w:color w:val="FF0000"/>
        </w:rPr>
      </w:pPr>
    </w:p>
    <w:p>
      <w:pPr>
        <w:pStyle w:val="4"/>
        <w:numPr>
          <w:ilvl w:val="1"/>
          <w:numId w:val="2"/>
        </w:numPr>
        <w:spacing w:before="120" w:after="120" w:line="276" w:lineRule="auto"/>
        <w:ind w:left="737" w:firstLine="0"/>
        <w:jc w:val="both"/>
        <w:rPr>
          <w:rFonts w:hint="default"/>
          <w:lang w:val="pt-BR"/>
        </w:rPr>
      </w:pPr>
      <w:r>
        <w:t xml:space="preserve">As despesas para atender a esta licitação </w:t>
      </w:r>
      <w:r>
        <w:rPr>
          <w:rFonts w:hint="default"/>
          <w:lang w:val="pt-BR"/>
        </w:rPr>
        <w:t>serão indicadas quando da homologação do procedimento licitatório, conforme despacho PLOR/PLAN SEI nº 0730562 (https://sei.uff.br/sei/controlador.php?acao=procedimento_trabalhar&amp;id_procedimento=782404&amp;id_documento=796191).</w:t>
      </w:r>
    </w:p>
    <w:p>
      <w:pPr>
        <w:pStyle w:val="4"/>
        <w:spacing w:before="120" w:after="120" w:line="276" w:lineRule="auto"/>
        <w:jc w:val="both"/>
        <w:rPr>
          <w:color w:val="FF0000"/>
        </w:rPr>
      </w:pPr>
    </w:p>
    <w:p>
      <w:pPr>
        <w:pStyle w:val="4"/>
        <w:spacing w:before="120" w:after="120" w:line="276" w:lineRule="auto"/>
        <w:jc w:val="both"/>
        <w:rPr>
          <w:highlight w:val="yellow"/>
        </w:rPr>
      </w:pPr>
    </w:p>
    <w:p>
      <w:pPr>
        <w:pStyle w:val="4"/>
        <w:keepNext/>
        <w:keepLines/>
        <w:numPr>
          <w:ilvl w:val="0"/>
          <w:numId w:val="2"/>
        </w:numPr>
        <w:spacing w:before="480" w:after="120" w:line="276" w:lineRule="auto"/>
        <w:ind w:right="-15"/>
        <w:jc w:val="both"/>
        <w:rPr>
          <w:b/>
          <w:color w:val="000000"/>
        </w:rPr>
      </w:pPr>
      <w:r>
        <w:rPr>
          <w:b/>
          <w:color w:val="000000"/>
        </w:rPr>
        <w:t>DO CREDENCIAMENTO</w:t>
      </w:r>
    </w:p>
    <w:p>
      <w:pPr>
        <w:pStyle w:val="4"/>
        <w:numPr>
          <w:ilvl w:val="1"/>
          <w:numId w:val="4"/>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pPr>
        <w:pStyle w:val="4"/>
        <w:numPr>
          <w:ilvl w:val="1"/>
          <w:numId w:val="2"/>
        </w:numPr>
        <w:spacing w:before="120" w:after="120" w:line="276" w:lineRule="auto"/>
        <w:ind w:left="425" w:firstLine="0"/>
        <w:jc w:val="both"/>
      </w:pPr>
      <w:r>
        <w:rPr>
          <w:color w:val="000000"/>
        </w:rPr>
        <w:t xml:space="preserve">O cadastro no SICAF deverá ser feito no Portal de Compras do Governo Federal, no sítio </w:t>
      </w:r>
      <w:r>
        <w:fldChar w:fldCharType="begin"/>
      </w:r>
      <w:r>
        <w:instrText xml:space="preserve"> HYPERLINK "https://imsva91-ctp.trendmicro.com/wis/clicktime/v1/query?url=http%3A%2F%2Fwww.comprasgovernamentais.gov.br&amp;umid=430E31AC-70A7-6B05-9AA8-F59BA4DC8B50&amp;auth=14cd2a61769b426d6a6f0362faa35895243d54fa-6e2197056396482feb6896ce169217ee94d7ae2f" \h </w:instrText>
      </w:r>
      <w:r>
        <w:fldChar w:fldCharType="separate"/>
      </w:r>
      <w:r>
        <w:rPr>
          <w:rStyle w:val="176"/>
        </w:rPr>
        <w:t>www.comprasgovernamentais.gov.br</w:t>
      </w:r>
      <w:r>
        <w:rPr>
          <w:rStyle w:val="176"/>
        </w:rPr>
        <w:fldChar w:fldCharType="end"/>
      </w:r>
      <w:r>
        <w:rPr>
          <w:color w:val="000000"/>
        </w:rPr>
        <w:t>, por meio de certificado digital conferido pela Infraestrutura de Chaves Públicas Brasileira – ICP - Brasil.</w:t>
      </w:r>
    </w:p>
    <w:p>
      <w:pPr>
        <w:pStyle w:val="4"/>
        <w:numPr>
          <w:ilvl w:val="1"/>
          <w:numId w:val="2"/>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pStyle w:val="4"/>
        <w:numPr>
          <w:ilvl w:val="1"/>
          <w:numId w:val="2"/>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4"/>
        <w:numPr>
          <w:ilvl w:val="1"/>
          <w:numId w:val="2"/>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4"/>
        <w:numPr>
          <w:ilvl w:val="2"/>
          <w:numId w:val="2"/>
        </w:numPr>
        <w:spacing w:before="120" w:after="120" w:line="276" w:lineRule="auto"/>
        <w:jc w:val="both"/>
        <w:rPr>
          <w:color w:val="000000"/>
        </w:rPr>
      </w:pPr>
      <w:r>
        <w:rPr>
          <w:color w:val="000000"/>
        </w:rPr>
        <w:t>A não observância do disposto no subitem anterior poderá ensejar desclassificação no momento da habilitação</w:t>
      </w:r>
    </w:p>
    <w:p>
      <w:pPr>
        <w:pStyle w:val="4"/>
        <w:keepNext/>
        <w:keepLines/>
        <w:numPr>
          <w:ilvl w:val="0"/>
          <w:numId w:val="2"/>
        </w:numPr>
        <w:spacing w:before="480" w:after="120" w:line="276" w:lineRule="auto"/>
        <w:ind w:right="-15"/>
        <w:jc w:val="both"/>
        <w:rPr>
          <w:b/>
          <w:color w:val="000000"/>
        </w:rPr>
      </w:pPr>
      <w:r>
        <w:rPr>
          <w:b/>
          <w:color w:val="000000"/>
        </w:rPr>
        <w:t xml:space="preserve"> DA PARTICIPAÇÃO NO PREGÃO.</w:t>
      </w:r>
    </w:p>
    <w:p>
      <w:pPr>
        <w:pStyle w:val="4"/>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4"/>
        <w:rPr>
          <w:color w:val="000000"/>
        </w:rPr>
      </w:pPr>
    </w:p>
    <w:p>
      <w:pPr>
        <w:pStyle w:val="4"/>
        <w:numPr>
          <w:ilvl w:val="2"/>
          <w:numId w:val="2"/>
        </w:numPr>
        <w:spacing w:before="120" w:after="120" w:line="276" w:lineRule="auto"/>
        <w:jc w:val="both"/>
        <w:rPr>
          <w:color w:val="000000"/>
        </w:rPr>
      </w:pPr>
      <w:r>
        <w:rPr>
          <w:color w:val="000000"/>
        </w:rPr>
        <w:t>Os licitantes deverão utilizar o certificado digital para acesso ao Sistema</w:t>
      </w:r>
    </w:p>
    <w:p>
      <w:pPr>
        <w:pStyle w:val="4"/>
        <w:numPr>
          <w:ilvl w:val="1"/>
          <w:numId w:val="2"/>
        </w:numPr>
        <w:spacing w:before="120" w:after="120" w:line="276" w:lineRule="auto"/>
        <w:ind w:left="425" w:firstLine="0"/>
        <w:jc w:val="both"/>
        <w:rPr>
          <w:color w:val="000000"/>
        </w:rPr>
      </w:pPr>
      <w:r>
        <w:rPr>
          <w:color w:val="000000"/>
        </w:rPr>
        <w:t>Não poderão participar desta licitação os interessados:</w:t>
      </w:r>
    </w:p>
    <w:p>
      <w:pPr>
        <w:pStyle w:val="4"/>
        <w:numPr>
          <w:ilvl w:val="2"/>
          <w:numId w:val="6"/>
        </w:numPr>
        <w:shd w:val="clear" w:color="auto" w:fill="FFFFFF"/>
        <w:spacing w:before="120" w:after="120" w:line="276" w:lineRule="auto"/>
        <w:jc w:val="both"/>
      </w:pPr>
      <w:r>
        <w:rPr>
          <w:color w:val="000000"/>
        </w:rPr>
        <w:t>proibidos de participar de licitações e celebrar contratos administrativos, na forma da legislação vigente;</w:t>
      </w:r>
    </w:p>
    <w:p>
      <w:pPr>
        <w:pStyle w:val="4"/>
        <w:numPr>
          <w:ilvl w:val="2"/>
          <w:numId w:val="6"/>
        </w:numPr>
        <w:shd w:val="clear" w:color="auto" w:fill="FFFFFF"/>
        <w:spacing w:before="120" w:after="120" w:line="276" w:lineRule="auto"/>
        <w:jc w:val="both"/>
      </w:pPr>
      <w:r>
        <w:rPr>
          <w:color w:val="000000"/>
        </w:rPr>
        <w:t>que não atendam às condições deste Edital e seu(s) anexo(s);</w:t>
      </w:r>
    </w:p>
    <w:p>
      <w:pPr>
        <w:pStyle w:val="4"/>
        <w:numPr>
          <w:ilvl w:val="2"/>
          <w:numId w:val="6"/>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pPr>
        <w:pStyle w:val="4"/>
        <w:numPr>
          <w:ilvl w:val="2"/>
          <w:numId w:val="6"/>
        </w:numPr>
        <w:shd w:val="clear" w:color="auto" w:fill="FFFFFF"/>
        <w:spacing w:before="120" w:after="120" w:line="276" w:lineRule="auto"/>
        <w:jc w:val="both"/>
      </w:pPr>
      <w:r>
        <w:rPr>
          <w:color w:val="000000"/>
        </w:rPr>
        <w:t>que se enquadrem nas vedações previstas no artigo 9º da Lei nº 8.666, de 1993;</w:t>
      </w:r>
    </w:p>
    <w:p>
      <w:pPr>
        <w:pStyle w:val="4"/>
        <w:keepNext/>
        <w:widowControl w:val="0"/>
        <w:numPr>
          <w:ilvl w:val="2"/>
          <w:numId w:val="6"/>
        </w:numPr>
        <w:shd w:val="clear" w:color="auto" w:fill="FFFFFF"/>
        <w:spacing w:before="119" w:after="119" w:line="276" w:lineRule="auto"/>
        <w:jc w:val="both"/>
      </w:pPr>
      <w:bookmarkStart w:id="1" w:name="_heading=h.30j0zll"/>
      <w:bookmarkEnd w:id="1"/>
      <w:r>
        <w:rPr>
          <w:color w:val="000000"/>
        </w:rPr>
        <w:t>que estejam sob falência, recuperação judicial ou extrajudicial, ou concurso de credores ou insolvência, em processo de dissolução ou liquidação, observado o disposto no item 9.10.1.1 deste Edital;</w:t>
      </w:r>
    </w:p>
    <w:p>
      <w:pPr>
        <w:pStyle w:val="4"/>
        <w:numPr>
          <w:ilvl w:val="2"/>
          <w:numId w:val="6"/>
        </w:numPr>
        <w:spacing w:line="276" w:lineRule="auto"/>
      </w:pPr>
      <w:r>
        <w:rPr>
          <w:color w:val="000000"/>
        </w:rPr>
        <w:t>entidades empresariais que estejam reunidas em consórcio;</w:t>
      </w:r>
    </w:p>
    <w:p>
      <w:pPr>
        <w:pStyle w:val="4"/>
        <w:spacing w:line="276" w:lineRule="auto"/>
        <w:rPr>
          <w:color w:val="000000"/>
        </w:rPr>
      </w:pPr>
    </w:p>
    <w:p>
      <w:pPr>
        <w:pStyle w:val="4"/>
        <w:numPr>
          <w:ilvl w:val="2"/>
          <w:numId w:val="6"/>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pPr>
        <w:pStyle w:val="4"/>
        <w:numPr>
          <w:ilvl w:val="2"/>
          <w:numId w:val="6"/>
        </w:numPr>
        <w:tabs>
          <w:tab w:val="left" w:pos="1440"/>
        </w:tabs>
        <w:spacing w:before="120" w:after="120" w:line="276" w:lineRule="auto"/>
        <w:jc w:val="both"/>
      </w:pPr>
      <w:r>
        <w:rPr>
          <w:color w:val="000000"/>
        </w:rPr>
        <w:t>instituições sem fins lucrativos (parágrafo único do art. 12 da Instrução Normativa SEGES/MP nº 05/2017);</w:t>
      </w:r>
    </w:p>
    <w:p>
      <w:pPr>
        <w:pStyle w:val="4"/>
        <w:numPr>
          <w:ilvl w:val="3"/>
          <w:numId w:val="6"/>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4"/>
        <w:numPr>
          <w:ilvl w:val="2"/>
          <w:numId w:val="6"/>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pPr>
        <w:pStyle w:val="4"/>
        <w:numPr>
          <w:ilvl w:val="1"/>
          <w:numId w:val="2"/>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pStyle w:val="4"/>
        <w:numPr>
          <w:ilvl w:val="0"/>
          <w:numId w:val="7"/>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pStyle w:val="4"/>
        <w:numPr>
          <w:ilvl w:val="0"/>
          <w:numId w:val="7"/>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pStyle w:val="4"/>
        <w:numPr>
          <w:ilvl w:val="2"/>
          <w:numId w:val="8"/>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4"/>
        <w:numPr>
          <w:ilvl w:val="1"/>
          <w:numId w:val="2"/>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4"/>
        <w:numPr>
          <w:ilvl w:val="1"/>
          <w:numId w:val="2"/>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pPr>
        <w:pStyle w:val="4"/>
        <w:numPr>
          <w:ilvl w:val="2"/>
          <w:numId w:val="2"/>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pStyle w:val="4"/>
        <w:numPr>
          <w:ilvl w:val="3"/>
          <w:numId w:val="2"/>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pStyle w:val="4"/>
        <w:numPr>
          <w:ilvl w:val="3"/>
          <w:numId w:val="2"/>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4"/>
        <w:numPr>
          <w:ilvl w:val="2"/>
          <w:numId w:val="2"/>
        </w:numPr>
        <w:tabs>
          <w:tab w:val="left" w:pos="1440"/>
        </w:tabs>
        <w:spacing w:line="276" w:lineRule="auto"/>
        <w:jc w:val="both"/>
        <w:rPr>
          <w:color w:val="000000"/>
        </w:rPr>
      </w:pPr>
      <w:r>
        <w:rPr>
          <w:color w:val="000000"/>
        </w:rPr>
        <w:t>que está ciente e concorda com as condições contidas no Edital e seus anexos;</w:t>
      </w:r>
    </w:p>
    <w:p>
      <w:pPr>
        <w:pStyle w:val="4"/>
        <w:numPr>
          <w:ilvl w:val="2"/>
          <w:numId w:val="2"/>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pStyle w:val="4"/>
        <w:numPr>
          <w:ilvl w:val="2"/>
          <w:numId w:val="2"/>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pStyle w:val="4"/>
        <w:numPr>
          <w:ilvl w:val="2"/>
          <w:numId w:val="2"/>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pStyle w:val="4"/>
        <w:numPr>
          <w:ilvl w:val="2"/>
          <w:numId w:val="2"/>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pStyle w:val="4"/>
        <w:numPr>
          <w:ilvl w:val="2"/>
          <w:numId w:val="2"/>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pStyle w:val="4"/>
        <w:numPr>
          <w:ilvl w:val="2"/>
          <w:numId w:val="2"/>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4"/>
        <w:numPr>
          <w:ilvl w:val="1"/>
          <w:numId w:val="2"/>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pPr>
        <w:pStyle w:val="4"/>
        <w:spacing w:before="120" w:after="120" w:line="276" w:lineRule="auto"/>
        <w:ind w:left="425"/>
        <w:jc w:val="both"/>
      </w:pPr>
    </w:p>
    <w:p>
      <w:pPr>
        <w:pStyle w:val="4"/>
        <w:keepNext/>
        <w:keepLines/>
        <w:spacing w:before="120" w:after="120" w:line="276" w:lineRule="auto"/>
        <w:ind w:left="425" w:right="-15"/>
        <w:jc w:val="both"/>
        <w:rPr>
          <w:b/>
          <w:color w:val="000000"/>
        </w:rPr>
      </w:pPr>
      <w:r>
        <w:rPr>
          <w:b/>
          <w:color w:val="000000"/>
        </w:rPr>
        <w:t>5.</w:t>
      </w:r>
      <w:r>
        <w:rPr>
          <w:b/>
          <w:color w:val="000000"/>
        </w:rPr>
        <w:tab/>
      </w:r>
      <w:r>
        <w:rPr>
          <w:b/>
          <w:color w:val="000000"/>
        </w:rPr>
        <w:t xml:space="preserve"> DA APRESENTAÇÃO DA PROPOSTA E DOS DOCUMENTOS DE HABILITAÇÃO</w:t>
      </w:r>
    </w:p>
    <w:p>
      <w:pPr>
        <w:pStyle w:val="4"/>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4"/>
        <w:spacing w:before="120" w:after="120" w:line="276" w:lineRule="auto"/>
        <w:ind w:left="425"/>
        <w:jc w:val="both"/>
      </w:pPr>
      <w:r>
        <w:t>5.2.</w:t>
      </w:r>
      <w:r>
        <w:tab/>
      </w:r>
      <w:r>
        <w:t>O envio da proposta, acompanhada dos documentos de habilitação exigidos neste Edital, ocorrerá por meio de chave de acesso e senha.</w:t>
      </w:r>
    </w:p>
    <w:p>
      <w:pPr>
        <w:pStyle w:val="4"/>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pStyle w:val="4"/>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pStyle w:val="4"/>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4"/>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pStyle w:val="4"/>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pStyle w:val="4"/>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pStyle w:val="4"/>
        <w:keepNext/>
        <w:keepLines/>
        <w:numPr>
          <w:ilvl w:val="0"/>
          <w:numId w:val="9"/>
        </w:numPr>
        <w:spacing w:before="480" w:after="120" w:line="276" w:lineRule="auto"/>
        <w:ind w:right="-15" w:firstLine="66"/>
        <w:jc w:val="both"/>
        <w:rPr>
          <w:b/>
          <w:color w:val="000000"/>
        </w:rPr>
      </w:pPr>
      <w:r>
        <w:rPr>
          <w:b/>
          <w:color w:val="000000"/>
        </w:rPr>
        <w:t>DO PREENCHIMENTO DA PROPOSTA</w:t>
      </w:r>
    </w:p>
    <w:p>
      <w:pPr>
        <w:pStyle w:val="4"/>
        <w:ind w:left="340"/>
        <w:jc w:val="both"/>
      </w:pPr>
      <w:r>
        <w:t>6.1  licitante deverá enviar sua proposta mediante o preenchimento, no sistema eletrônico, dos seguintes campos:</w:t>
      </w:r>
    </w:p>
    <w:p>
      <w:pPr>
        <w:pStyle w:val="4"/>
        <w:tabs>
          <w:tab w:val="left" w:pos="1440"/>
        </w:tabs>
        <w:spacing w:before="120" w:line="276" w:lineRule="auto"/>
        <w:ind w:left="2886"/>
        <w:jc w:val="both"/>
        <w:rPr>
          <w:color w:val="000000"/>
        </w:rPr>
      </w:pPr>
      <w:r>
        <w:rPr>
          <w:color w:val="000000"/>
        </w:rPr>
        <w:t>6.1.1  valor</w:t>
      </w:r>
      <w:r>
        <w:rPr>
          <w:rFonts w:hint="default"/>
          <w:color w:val="000000"/>
          <w:lang w:val="pt-BR"/>
        </w:rPr>
        <w:t xml:space="preserve"> mensal e</w:t>
      </w:r>
      <w:r>
        <w:rPr>
          <w:color w:val="000000"/>
        </w:rPr>
        <w:t xml:space="preserve"> anual do item;</w:t>
      </w:r>
    </w:p>
    <w:p>
      <w:pPr>
        <w:pStyle w:val="4"/>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pPr>
        <w:pStyle w:val="4"/>
        <w:tabs>
          <w:tab w:val="left" w:pos="1440"/>
        </w:tabs>
        <w:spacing w:line="276" w:lineRule="auto"/>
        <w:ind w:left="2886"/>
        <w:jc w:val="both"/>
        <w:rPr>
          <w:color w:val="000000"/>
        </w:rPr>
      </w:pPr>
    </w:p>
    <w:p>
      <w:pPr>
        <w:pStyle w:val="4"/>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4"/>
        <w:tabs>
          <w:tab w:val="left" w:pos="1440"/>
        </w:tabs>
        <w:spacing w:line="276" w:lineRule="auto"/>
        <w:ind w:left="2448"/>
        <w:jc w:val="both"/>
        <w:rPr>
          <w:color w:val="000000"/>
        </w:rPr>
      </w:pPr>
      <w:bookmarkStart w:id="2" w:name="_heading=h.1fob9te"/>
      <w:bookmarkEnd w:id="2"/>
      <w:r>
        <w:rPr>
          <w:color w:val="000000"/>
        </w:rPr>
        <w:t>6.1.2.2 Produtividade adotada e, se esta for diferente daquela utilizada pela Administração como referência, ou não estiver contida na faixa referencial de produtividade, mas admitida pelo ato convocatório, a respectiva comprovação de exequibilidade;</w:t>
      </w:r>
    </w:p>
    <w:p>
      <w:pPr>
        <w:pStyle w:val="4"/>
        <w:tabs>
          <w:tab w:val="left" w:pos="1440"/>
        </w:tabs>
        <w:spacing w:after="120" w:line="276" w:lineRule="auto"/>
        <w:ind w:left="2448"/>
        <w:jc w:val="both"/>
        <w:rPr>
          <w:i/>
          <w:color w:val="FF0000"/>
        </w:rPr>
      </w:pPr>
      <w:r>
        <w:rPr>
          <w:color w:val="000000"/>
        </w:rPr>
        <w:t xml:space="preserve">6.1.2.3 A quantidade de pessoal que será alocado na execução contratual; </w:t>
      </w:r>
    </w:p>
    <w:p>
      <w:pPr>
        <w:pStyle w:val="4"/>
        <w:spacing w:before="120" w:after="120" w:line="276" w:lineRule="auto"/>
        <w:ind w:left="1566"/>
        <w:jc w:val="both"/>
        <w:rPr>
          <w:i/>
          <w:color w:val="FF0000"/>
        </w:rPr>
      </w:pPr>
      <w:r>
        <w:rPr>
          <w:color w:val="000000"/>
        </w:rPr>
        <w:t>6.2 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pPr>
        <w:pStyle w:val="4"/>
        <w:spacing w:before="120" w:after="120" w:line="276" w:lineRule="auto"/>
        <w:ind w:left="1566"/>
        <w:jc w:val="both"/>
        <w:rPr>
          <w:i/>
          <w:color w:val="FF0000"/>
        </w:rPr>
      </w:pPr>
      <w:r>
        <w:rPr>
          <w:color w:val="000000"/>
        </w:rPr>
        <w:t xml:space="preserve">6.3 Para efeito do subitem anterior, admite-se a adequação técnica da metodologia empregada pela contratada, visando assegurar a execução do objeto, desde que mantidas as condições para a justa remuneração do serviço. </w:t>
      </w:r>
    </w:p>
    <w:p>
      <w:pPr>
        <w:pStyle w:val="4"/>
        <w:spacing w:before="120" w:after="120" w:line="276" w:lineRule="auto"/>
        <w:ind w:left="1566"/>
        <w:jc w:val="both"/>
      </w:pPr>
      <w:r>
        <w:t>6.4 Todas as especificações do objeto contidas na proposta vinculam a Contratada.</w:t>
      </w:r>
    </w:p>
    <w:p>
      <w:pPr>
        <w:pStyle w:val="4"/>
        <w:spacing w:before="120" w:after="120" w:line="276" w:lineRule="auto"/>
        <w:ind w:left="1566"/>
        <w:jc w:val="both"/>
      </w:pPr>
      <w:r>
        <w:rPr>
          <w:color w:val="000000"/>
        </w:rPr>
        <w:t xml:space="preserve">6.5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pStyle w:val="4"/>
        <w:tabs>
          <w:tab w:val="left" w:pos="1440"/>
        </w:tabs>
        <w:spacing w:before="120" w:line="276" w:lineRule="auto"/>
        <w:ind w:left="2642"/>
        <w:jc w:val="both"/>
        <w:rPr>
          <w:color w:val="000000"/>
        </w:rPr>
      </w:pPr>
      <w:r>
        <w:rPr>
          <w:color w:val="000000"/>
        </w:rPr>
        <w:t>6.5.1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4"/>
        <w:tabs>
          <w:tab w:val="left" w:pos="1440"/>
        </w:tabs>
        <w:spacing w:line="276" w:lineRule="auto"/>
        <w:ind w:left="2642"/>
        <w:jc w:val="both"/>
        <w:rPr>
          <w:color w:val="000000"/>
        </w:rPr>
      </w:pPr>
      <w:r>
        <w:rPr>
          <w:color w:val="000000"/>
        </w:rPr>
        <w:t xml:space="preserve">6.5.2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4"/>
        <w:spacing w:before="120" w:after="120" w:line="276" w:lineRule="auto"/>
        <w:ind w:left="1637"/>
        <w:jc w:val="both"/>
      </w:pPr>
      <w:r>
        <w:t>6.6  A empresa é a única responsável pela cotação correta dos encargos tributários. Em caso de erro ou cotação incompatível com o regime tributário a que se submete, serão adotadas as orientações a seguir:</w:t>
      </w:r>
    </w:p>
    <w:p>
      <w:pPr>
        <w:pStyle w:val="4"/>
        <w:spacing w:before="120" w:after="120" w:line="276" w:lineRule="auto"/>
        <w:ind w:left="1922"/>
        <w:jc w:val="both"/>
      </w:pPr>
      <w:r>
        <w:t xml:space="preserve"> 6.6.1 cotação de percentual menor que o adequado: o percentual será mantido durante toda a execução contratual;</w:t>
      </w:r>
    </w:p>
    <w:p>
      <w:pPr>
        <w:pStyle w:val="4"/>
        <w:spacing w:before="120" w:after="120" w:line="276" w:lineRule="auto"/>
        <w:ind w:left="1922"/>
        <w:jc w:val="both"/>
      </w:pPr>
      <w:r>
        <w:t xml:space="preserve"> 6.6.2 cotação de percentual maior que o adequado: o excesso será suprimido, unilateralmente, da planilha e haverá glosa, quando do pagamento, e/ou redução, quando da repactuação, para fins de total ressarcimento do débito.</w:t>
      </w:r>
    </w:p>
    <w:p>
      <w:pPr>
        <w:pStyle w:val="4"/>
        <w:spacing w:before="120" w:after="120" w:line="276" w:lineRule="auto"/>
        <w:ind w:left="1637"/>
        <w:jc w:val="both"/>
      </w:pPr>
      <w:r>
        <w:t xml:space="preserve">6.7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4"/>
        <w:spacing w:before="120" w:after="120" w:line="276" w:lineRule="auto"/>
        <w:ind w:left="1637"/>
        <w:jc w:val="both"/>
      </w:pPr>
      <w:r>
        <w:t>6.8 Independentemente do percentual de tributo inserido na planilha, no pagamento dos serviços, serão retidos na fonte os percentuais estabelecidos na legislação vigente.</w:t>
      </w:r>
    </w:p>
    <w:p>
      <w:pPr>
        <w:pStyle w:val="4"/>
        <w:spacing w:before="120" w:after="120" w:line="276" w:lineRule="auto"/>
        <w:ind w:left="1197"/>
        <w:jc w:val="both"/>
      </w:pPr>
      <w:r>
        <w:rPr>
          <w:color w:val="000000"/>
        </w:rPr>
        <w:t>6.9 Na presente licitação, a Microempresa e a Empresa de Pequeno Porte poderão se beneficiar do regime de tributação pelo Simples Nacional.</w:t>
      </w:r>
      <w:r>
        <w:rPr>
          <w:i/>
          <w:color w:val="FF0000"/>
        </w:rPr>
        <w:t xml:space="preserve"> </w:t>
      </w:r>
    </w:p>
    <w:p>
      <w:pPr>
        <w:pStyle w:val="4"/>
        <w:spacing w:before="120" w:after="120" w:line="276" w:lineRule="auto"/>
        <w:ind w:left="1637"/>
        <w:jc w:val="both"/>
      </w:pPr>
      <w:r>
        <w:t>6.10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4"/>
        <w:spacing w:before="120" w:after="120" w:line="276" w:lineRule="auto"/>
        <w:ind w:left="1637"/>
        <w:jc w:val="both"/>
      </w:pPr>
      <w:r>
        <w:t>6.11 Os preços ofertados, tanto na proposta inicial, quanto na etapa de lances, serão de exclusiva responsabilidade do licitante, não lhe assistindo o direito de pleitear qualquer alteração, sob alegação de erro, omissão ou qualquer outro pretexto.</w:t>
      </w:r>
    </w:p>
    <w:p>
      <w:pPr>
        <w:pStyle w:val="4"/>
        <w:spacing w:before="120" w:after="120" w:line="276" w:lineRule="auto"/>
        <w:ind w:left="1637"/>
        <w:jc w:val="both"/>
      </w:pPr>
      <w:r>
        <w:rPr>
          <w:color w:val="000000"/>
        </w:rPr>
        <w:t>6.12 O prazo de validade da proposta não será inferior a 60 (sessenta) dias</w:t>
      </w:r>
      <w:r>
        <w:rPr>
          <w:b/>
          <w:color w:val="000000"/>
        </w:rPr>
        <w:t>,</w:t>
      </w:r>
      <w:r>
        <w:rPr>
          <w:color w:val="000000"/>
        </w:rPr>
        <w:t xml:space="preserve"> a contar da data de sua apresentação.</w:t>
      </w:r>
    </w:p>
    <w:p>
      <w:pPr>
        <w:pStyle w:val="4"/>
        <w:spacing w:before="120" w:after="120" w:line="276" w:lineRule="auto"/>
        <w:ind w:left="1637"/>
        <w:jc w:val="both"/>
      </w:pPr>
      <w:r>
        <w:rPr>
          <w:color w:val="000000"/>
        </w:rPr>
        <w:t>6.13 Os licitantes devem respeitar os preços máximos estabelecidos nas normas de regência de contratações públicas federais, quando participarem de licitações públicas;</w:t>
      </w:r>
    </w:p>
    <w:p>
      <w:pPr>
        <w:pStyle w:val="4"/>
        <w:spacing w:before="120" w:after="120" w:line="276" w:lineRule="auto"/>
        <w:ind w:left="1922"/>
        <w:jc w:val="both"/>
      </w:pPr>
      <w:r>
        <w:rPr>
          <w:color w:val="000000"/>
        </w:rPr>
        <w:t>6.13.1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4"/>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pPr>
        <w:pStyle w:val="4"/>
        <w:numPr>
          <w:ilvl w:val="1"/>
          <w:numId w:val="10"/>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pStyle w:val="4"/>
        <w:numPr>
          <w:ilvl w:val="1"/>
          <w:numId w:val="10"/>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4"/>
        <w:numPr>
          <w:ilvl w:val="2"/>
          <w:numId w:val="10"/>
        </w:numPr>
        <w:shd w:val="clear" w:color="auto" w:fill="FFFFFF"/>
        <w:spacing w:before="120" w:after="120" w:line="276" w:lineRule="auto"/>
        <w:jc w:val="both"/>
        <w:rPr>
          <w:color w:val="000000"/>
        </w:rPr>
      </w:pPr>
      <w:r>
        <w:rPr>
          <w:color w:val="000000"/>
        </w:rPr>
        <w:t>Também será desclassificada a proposta que identifique o licitante.</w:t>
      </w:r>
    </w:p>
    <w:p>
      <w:pPr>
        <w:pStyle w:val="4"/>
        <w:numPr>
          <w:ilvl w:val="2"/>
          <w:numId w:val="10"/>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pStyle w:val="4"/>
        <w:numPr>
          <w:ilvl w:val="2"/>
          <w:numId w:val="10"/>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pStyle w:val="4"/>
        <w:numPr>
          <w:ilvl w:val="1"/>
          <w:numId w:val="10"/>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pStyle w:val="4"/>
        <w:numPr>
          <w:ilvl w:val="1"/>
          <w:numId w:val="10"/>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pStyle w:val="4"/>
        <w:numPr>
          <w:ilvl w:val="1"/>
          <w:numId w:val="10"/>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pPr>
        <w:pStyle w:val="4"/>
        <w:numPr>
          <w:ilvl w:val="2"/>
          <w:numId w:val="10"/>
        </w:numPr>
        <w:tabs>
          <w:tab w:val="left" w:pos="1440"/>
        </w:tabs>
        <w:spacing w:before="120" w:after="120" w:line="276" w:lineRule="auto"/>
        <w:ind w:left="1134" w:firstLine="0"/>
        <w:jc w:val="both"/>
        <w:rPr>
          <w:color w:val="000000"/>
        </w:rPr>
      </w:pPr>
      <w:r>
        <w:rPr>
          <w:color w:val="000000"/>
        </w:rPr>
        <w:t>O lance deverá ser ofertado pelo valor anual do item.</w:t>
      </w:r>
    </w:p>
    <w:p>
      <w:pPr>
        <w:pStyle w:val="4"/>
        <w:numPr>
          <w:ilvl w:val="1"/>
          <w:numId w:val="10"/>
        </w:numPr>
        <w:spacing w:before="120" w:after="120" w:line="276" w:lineRule="auto"/>
        <w:jc w:val="both"/>
      </w:pPr>
      <w:r>
        <w:t>Os licitantes poderão oferecer lances sucessivos, observando o horário fixado para abertura da sessão e as regras estabelecidas no Edital.</w:t>
      </w:r>
    </w:p>
    <w:p>
      <w:pPr>
        <w:pStyle w:val="4"/>
        <w:numPr>
          <w:ilvl w:val="1"/>
          <w:numId w:val="10"/>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pPr>
        <w:pStyle w:val="4"/>
        <w:numPr>
          <w:ilvl w:val="1"/>
          <w:numId w:val="11"/>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pPr>
        <w:pStyle w:val="4"/>
        <w:numPr>
          <w:ilvl w:val="1"/>
          <w:numId w:val="11"/>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4"/>
        <w:numPr>
          <w:ilvl w:val="1"/>
          <w:numId w:val="11"/>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4"/>
        <w:numPr>
          <w:ilvl w:val="2"/>
          <w:numId w:val="11"/>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4"/>
        <w:numPr>
          <w:ilvl w:val="1"/>
          <w:numId w:val="11"/>
        </w:numPr>
        <w:spacing w:before="120" w:after="120" w:line="276" w:lineRule="auto"/>
        <w:jc w:val="both"/>
      </w:pPr>
      <w:r>
        <w:rPr>
          <w:color w:val="000000"/>
        </w:rPr>
        <w:t>Após o término dos prazos estabelecidos nos itens anteriores, o sistema ordenará os lances segundo a ordem crescente de valores.</w:t>
      </w:r>
    </w:p>
    <w:p>
      <w:pPr>
        <w:pStyle w:val="4"/>
        <w:numPr>
          <w:ilvl w:val="2"/>
          <w:numId w:val="11"/>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4"/>
        <w:numPr>
          <w:ilvl w:val="1"/>
          <w:numId w:val="11"/>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pPr>
        <w:pStyle w:val="4"/>
        <w:numPr>
          <w:ilvl w:val="1"/>
          <w:numId w:val="11"/>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pPr>
        <w:pStyle w:val="4"/>
        <w:numPr>
          <w:ilvl w:val="1"/>
          <w:numId w:val="1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pStyle w:val="4"/>
        <w:numPr>
          <w:ilvl w:val="1"/>
          <w:numId w:val="11"/>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pPr>
        <w:pStyle w:val="4"/>
        <w:numPr>
          <w:ilvl w:val="1"/>
          <w:numId w:val="11"/>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4"/>
        <w:numPr>
          <w:ilvl w:val="1"/>
          <w:numId w:val="11"/>
        </w:numPr>
        <w:spacing w:before="120" w:after="120" w:line="276" w:lineRule="auto"/>
        <w:ind w:left="425" w:firstLine="0"/>
        <w:jc w:val="both"/>
      </w:pPr>
      <w:r>
        <w:rPr>
          <w:color w:val="000000"/>
        </w:rPr>
        <w:t>O critério de julgamento adotado será o menor preço, conforme definido neste Edital e seus anexos.</w:t>
      </w:r>
    </w:p>
    <w:p>
      <w:pPr>
        <w:pStyle w:val="4"/>
        <w:numPr>
          <w:ilvl w:val="1"/>
          <w:numId w:val="11"/>
        </w:numPr>
        <w:spacing w:before="120" w:after="120" w:line="276" w:lineRule="auto"/>
        <w:jc w:val="both"/>
      </w:pPr>
      <w:r>
        <w:rPr>
          <w:color w:val="000000"/>
        </w:rPr>
        <w:t>Caso o licitante não apresente lances, concorrerá com o valor de sua proposta.</w:t>
      </w:r>
    </w:p>
    <w:p>
      <w:pPr>
        <w:pStyle w:val="4"/>
        <w:numPr>
          <w:ilvl w:val="1"/>
          <w:numId w:val="11"/>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4"/>
        <w:numPr>
          <w:ilvl w:val="1"/>
          <w:numId w:val="11"/>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pStyle w:val="4"/>
        <w:numPr>
          <w:ilvl w:val="1"/>
          <w:numId w:val="11"/>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4"/>
        <w:numPr>
          <w:ilvl w:val="1"/>
          <w:numId w:val="11"/>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4"/>
        <w:numPr>
          <w:ilvl w:val="1"/>
          <w:numId w:val="11"/>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4"/>
        <w:numPr>
          <w:ilvl w:val="1"/>
          <w:numId w:val="11"/>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pPr>
        <w:pStyle w:val="4"/>
        <w:numPr>
          <w:ilvl w:val="2"/>
          <w:numId w:val="11"/>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pStyle w:val="4"/>
        <w:numPr>
          <w:ilvl w:val="3"/>
          <w:numId w:val="11"/>
        </w:numPr>
        <w:tabs>
          <w:tab w:val="left" w:pos="-12"/>
        </w:tabs>
        <w:spacing w:line="276" w:lineRule="auto"/>
        <w:jc w:val="both"/>
        <w:rPr>
          <w:color w:val="000000"/>
        </w:rPr>
      </w:pPr>
      <w:r>
        <w:rPr>
          <w:color w:val="000000"/>
        </w:rPr>
        <w:t xml:space="preserve">prestados por empresas brasileiras; </w:t>
      </w:r>
    </w:p>
    <w:p>
      <w:pPr>
        <w:pStyle w:val="4"/>
        <w:numPr>
          <w:ilvl w:val="3"/>
          <w:numId w:val="11"/>
        </w:numPr>
        <w:tabs>
          <w:tab w:val="left" w:pos="-12"/>
        </w:tabs>
        <w:spacing w:line="276" w:lineRule="auto"/>
        <w:jc w:val="both"/>
        <w:rPr>
          <w:color w:val="000000"/>
        </w:rPr>
      </w:pPr>
      <w:r>
        <w:rPr>
          <w:color w:val="000000"/>
        </w:rPr>
        <w:t>prestados por empresas que invistam em pesquisa e no desenvolvimento de tecnologia no País;</w:t>
      </w:r>
    </w:p>
    <w:p>
      <w:pPr>
        <w:pStyle w:val="4"/>
        <w:numPr>
          <w:ilvl w:val="3"/>
          <w:numId w:val="11"/>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pStyle w:val="4"/>
        <w:numPr>
          <w:ilvl w:val="1"/>
          <w:numId w:val="11"/>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pPr>
        <w:pStyle w:val="4"/>
        <w:numPr>
          <w:ilvl w:val="1"/>
          <w:numId w:val="11"/>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4"/>
        <w:numPr>
          <w:ilvl w:val="2"/>
          <w:numId w:val="11"/>
        </w:numPr>
        <w:tabs>
          <w:tab w:val="left" w:pos="-12"/>
        </w:tabs>
        <w:spacing w:line="276" w:lineRule="auto"/>
        <w:jc w:val="both"/>
        <w:rPr>
          <w:color w:val="000000"/>
        </w:rPr>
      </w:pPr>
      <w:r>
        <w:rPr>
          <w:color w:val="000000"/>
        </w:rPr>
        <w:t>A negociação será realizada por meio do sistema, podendo ser acompanhada pelos demais licitantes.</w:t>
      </w:r>
    </w:p>
    <w:p>
      <w:pPr>
        <w:pStyle w:val="4"/>
        <w:numPr>
          <w:ilvl w:val="2"/>
          <w:numId w:val="11"/>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4"/>
        <w:numPr>
          <w:ilvl w:val="1"/>
          <w:numId w:val="11"/>
        </w:numPr>
        <w:tabs>
          <w:tab w:val="left" w:pos="-12"/>
        </w:tabs>
        <w:spacing w:after="120" w:line="276" w:lineRule="auto"/>
        <w:jc w:val="both"/>
        <w:rPr>
          <w:color w:val="000000"/>
        </w:rPr>
      </w:pPr>
      <w:r>
        <w:rPr>
          <w:color w:val="000000"/>
        </w:rPr>
        <w:t>Após a negociação do preço, o Pregoeiro iniciará a fase de aceitação e julgamento da proposta.</w:t>
      </w:r>
    </w:p>
    <w:p>
      <w:pPr>
        <w:pStyle w:val="4"/>
        <w:keepNext/>
        <w:keepLines/>
        <w:numPr>
          <w:ilvl w:val="0"/>
          <w:numId w:val="11"/>
        </w:numPr>
        <w:spacing w:before="480" w:after="120" w:line="276" w:lineRule="auto"/>
        <w:ind w:right="-15"/>
        <w:jc w:val="both"/>
        <w:rPr>
          <w:b/>
          <w:color w:val="000000"/>
        </w:rPr>
      </w:pPr>
      <w:r>
        <w:rPr>
          <w:b/>
          <w:color w:val="000000"/>
        </w:rPr>
        <w:t>DA ACEITABILIDADE DA PROPOSTA VENCEDORA.</w:t>
      </w:r>
      <w:bookmarkStart w:id="3" w:name="bookmark=id.3znysh7"/>
      <w:bookmarkEnd w:id="3"/>
    </w:p>
    <w:p>
      <w:pPr>
        <w:pStyle w:val="4"/>
        <w:numPr>
          <w:ilvl w:val="1"/>
          <w:numId w:val="11"/>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4"/>
        <w:numPr>
          <w:ilvl w:val="1"/>
          <w:numId w:val="11"/>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pStyle w:val="4"/>
        <w:numPr>
          <w:ilvl w:val="1"/>
          <w:numId w:val="11"/>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pPr>
        <w:pStyle w:val="4"/>
        <w:numPr>
          <w:ilvl w:val="1"/>
          <w:numId w:val="11"/>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pPr>
        <w:pStyle w:val="4"/>
        <w:numPr>
          <w:ilvl w:val="2"/>
          <w:numId w:val="12"/>
        </w:numPr>
        <w:spacing w:before="120" w:line="276" w:lineRule="auto"/>
        <w:ind w:right="-15"/>
        <w:jc w:val="both"/>
        <w:rPr>
          <w:color w:val="000000"/>
        </w:rPr>
      </w:pPr>
      <w:r>
        <w:rPr>
          <w:color w:val="000000"/>
        </w:rPr>
        <w:t>não estiver em conformidade com os requisitos estabelecidos neste edital;</w:t>
      </w:r>
    </w:p>
    <w:p>
      <w:pPr>
        <w:pStyle w:val="4"/>
        <w:numPr>
          <w:ilvl w:val="2"/>
          <w:numId w:val="12"/>
        </w:numPr>
        <w:spacing w:line="276" w:lineRule="auto"/>
        <w:ind w:right="-15"/>
        <w:jc w:val="both"/>
        <w:rPr>
          <w:color w:val="000000"/>
        </w:rPr>
      </w:pPr>
      <w:r>
        <w:rPr>
          <w:color w:val="000000"/>
        </w:rPr>
        <w:t>contenha vício insanável ou ilegalidade;</w:t>
      </w:r>
    </w:p>
    <w:p>
      <w:pPr>
        <w:pStyle w:val="4"/>
        <w:numPr>
          <w:ilvl w:val="2"/>
          <w:numId w:val="12"/>
        </w:numPr>
        <w:spacing w:line="276" w:lineRule="auto"/>
        <w:ind w:right="-15"/>
        <w:jc w:val="both"/>
        <w:rPr>
          <w:color w:val="000000"/>
        </w:rPr>
      </w:pPr>
      <w:r>
        <w:rPr>
          <w:color w:val="000000"/>
        </w:rPr>
        <w:t>não apresente as especificações técnicas exigidas pelo Termo de Referência;</w:t>
      </w:r>
    </w:p>
    <w:p>
      <w:pPr>
        <w:pStyle w:val="4"/>
        <w:numPr>
          <w:ilvl w:val="2"/>
          <w:numId w:val="12"/>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pStyle w:val="4"/>
        <w:numPr>
          <w:ilvl w:val="3"/>
          <w:numId w:val="12"/>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pPr>
        <w:pStyle w:val="4"/>
        <w:numPr>
          <w:ilvl w:val="4"/>
          <w:numId w:val="12"/>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4"/>
        <w:numPr>
          <w:ilvl w:val="4"/>
          <w:numId w:val="12"/>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pStyle w:val="4"/>
        <w:numPr>
          <w:ilvl w:val="3"/>
          <w:numId w:val="12"/>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4"/>
        <w:numPr>
          <w:ilvl w:val="4"/>
          <w:numId w:val="12"/>
        </w:numPr>
        <w:spacing w:line="276" w:lineRule="auto"/>
        <w:jc w:val="both"/>
        <w:rPr>
          <w:b/>
        </w:rPr>
      </w:pPr>
      <w:r>
        <w:rPr>
          <w:b/>
        </w:rPr>
        <w:t xml:space="preserve">CCT </w:t>
      </w:r>
      <w:r>
        <w:rPr>
          <w:rFonts w:hint="default"/>
          <w:b/>
          <w:lang w:val="pt-BR"/>
        </w:rPr>
        <w:t>2021/2022</w:t>
      </w:r>
      <w:r>
        <w:rPr>
          <w:b/>
        </w:rPr>
        <w:t xml:space="preserve"> - </w:t>
      </w:r>
      <w:r>
        <w:rPr>
          <w:rFonts w:hint="default"/>
          <w:b/>
          <w:lang w:val="pt-BR"/>
        </w:rPr>
        <w:t>PA0000672021.</w:t>
      </w:r>
    </w:p>
    <w:p>
      <w:pPr>
        <w:pStyle w:val="4"/>
        <w:numPr>
          <w:ilvl w:val="4"/>
          <w:numId w:val="12"/>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pPr>
        <w:pStyle w:val="4"/>
        <w:numPr>
          <w:ilvl w:val="1"/>
          <w:numId w:val="12"/>
        </w:numPr>
        <w:spacing w:before="120" w:after="120" w:line="276" w:lineRule="auto"/>
        <w:ind w:left="1036" w:right="-15" w:hanging="540"/>
        <w:jc w:val="both"/>
        <w:rPr>
          <w:color w:val="000000"/>
        </w:rPr>
      </w:pPr>
      <w:r>
        <w:rPr>
          <w:color w:val="000000"/>
        </w:rPr>
        <w:t>É vedado à proponente incluir na Planilha de Custos e Formação de Preços:</w:t>
      </w:r>
    </w:p>
    <w:p>
      <w:pPr>
        <w:pStyle w:val="4"/>
        <w:numPr>
          <w:ilvl w:val="2"/>
          <w:numId w:val="13"/>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4"/>
        <w:numPr>
          <w:ilvl w:val="2"/>
          <w:numId w:val="13"/>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4"/>
        <w:numPr>
          <w:ilvl w:val="2"/>
          <w:numId w:val="13"/>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pStyle w:val="4"/>
        <w:numPr>
          <w:ilvl w:val="2"/>
          <w:numId w:val="13"/>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4"/>
        <w:numPr>
          <w:ilvl w:val="2"/>
          <w:numId w:val="13"/>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pStyle w:val="4"/>
        <w:numPr>
          <w:ilvl w:val="2"/>
          <w:numId w:val="13"/>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pStyle w:val="4"/>
        <w:numPr>
          <w:ilvl w:val="1"/>
          <w:numId w:val="13"/>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pStyle w:val="4"/>
        <w:numPr>
          <w:ilvl w:val="2"/>
          <w:numId w:val="13"/>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pPr>
        <w:pStyle w:val="4"/>
        <w:numPr>
          <w:ilvl w:val="1"/>
          <w:numId w:val="14"/>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pStyle w:val="4"/>
        <w:numPr>
          <w:ilvl w:val="1"/>
          <w:numId w:val="14"/>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4"/>
        <w:numPr>
          <w:ilvl w:val="1"/>
          <w:numId w:val="14"/>
        </w:numPr>
        <w:spacing w:before="120" w:after="120" w:line="276" w:lineRule="auto"/>
        <w:ind w:right="-15"/>
        <w:jc w:val="both"/>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4"/>
        <w:numPr>
          <w:ilvl w:val="2"/>
          <w:numId w:val="15"/>
        </w:numPr>
        <w:spacing w:before="120" w:after="120" w:line="276" w:lineRule="auto"/>
        <w:ind w:right="-15"/>
        <w:jc w:val="both"/>
      </w:pPr>
      <w:r>
        <w:t>As propostas com preços próximos ou inferiores ao mínimo estabelecido pelo Ministério da Economia, disponibilizado em meio eletrônico, no Portal de Compras do Governo Federal (</w:t>
      </w:r>
      <w:r>
        <w:rPr>
          <w:u w:val="single"/>
        </w:rPr>
        <w:t>http://www.comprasgovernamentais.gov.br</w:t>
      </w:r>
      <w:r>
        <w:t>), deverão comprovar sua exequibilidade, de forma inequívoca, sob pena de desclassificação, sem prejuízo do disposto nos itens 9.2 a 9.6 do Anexo VII-A, da Instrução Normativa/SEGES/MP n.º 5/2017 (Portaria SEGES/MP n. 213, de 25 de setembro de 2017).</w:t>
      </w:r>
    </w:p>
    <w:p>
      <w:pPr>
        <w:pStyle w:val="4"/>
        <w:numPr>
          <w:ilvl w:val="1"/>
          <w:numId w:val="14"/>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pPr>
        <w:pStyle w:val="4"/>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4"/>
        <w:numPr>
          <w:ilvl w:val="1"/>
          <w:numId w:val="14"/>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pPr>
        <w:pStyle w:val="4"/>
        <w:numPr>
          <w:ilvl w:val="2"/>
          <w:numId w:val="16"/>
        </w:numPr>
        <w:spacing w:before="120" w:after="120" w:line="276" w:lineRule="auto"/>
        <w:ind w:right="-15"/>
        <w:jc w:val="both"/>
      </w:pPr>
      <w:r>
        <w:rPr>
          <w:color w:val="000000"/>
        </w:rPr>
        <w:t xml:space="preserve">É facultado ao pregoeiro prorrogar o prazo estabelecido a partir de solicitação fundamentada feita no chat </w:t>
      </w:r>
      <w:r>
        <w:rPr>
          <w:rFonts w:ascii="Arial" w:hAnsi="Arial" w:eastAsia="SimSun" w:cs="Arial"/>
          <w:b/>
          <w:bCs/>
          <w:i w:val="0"/>
          <w:iCs w:val="0"/>
          <w:color w:val="000000"/>
          <w:sz w:val="20"/>
          <w:szCs w:val="20"/>
          <w:u w:val="none"/>
          <w:shd w:val="clear" w:fill="FFFFFF"/>
          <w:vertAlign w:val="baseline"/>
        </w:rPr>
        <w:t xml:space="preserve">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1155CC"/>
          <w:sz w:val="20"/>
          <w:szCs w:val="20"/>
          <w:u w:val="single"/>
          <w:shd w:val="clear" w:fill="FFFFFF"/>
          <w:vertAlign w:val="baseline"/>
        </w:rPr>
        <w:t>cpl@id.uff.b</w:t>
      </w:r>
      <w:r>
        <w:rPr>
          <w:rStyle w:val="15"/>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Arial" w:hAnsi="Arial" w:eastAsia="SimSun" w:cs="Arial"/>
          <w:i w:val="0"/>
          <w:iCs w:val="0"/>
          <w:color w:val="000000"/>
          <w:sz w:val="20"/>
          <w:szCs w:val="20"/>
          <w:u w:val="none"/>
          <w:shd w:val="clear" w:fill="FFFFFF"/>
          <w:vertAlign w:val="baseline"/>
        </w:rPr>
        <w:t xml:space="preserve"> pelo licitante</w:t>
      </w:r>
      <w:r>
        <w:rPr>
          <w:rFonts w:hint="default" w:eastAsia="SimSun" w:cs="Arial"/>
          <w:i w:val="0"/>
          <w:iCs w:val="0"/>
          <w:color w:val="000000"/>
          <w:sz w:val="20"/>
          <w:szCs w:val="20"/>
          <w:u w:val="none"/>
          <w:shd w:val="clear" w:fill="FFFFFF"/>
          <w:vertAlign w:val="baseline"/>
          <w:lang w:val="pt-BR"/>
        </w:rPr>
        <w:t>,</w:t>
      </w:r>
      <w:r>
        <w:rPr>
          <w:color w:val="000000"/>
        </w:rPr>
        <w:t xml:space="preserve"> antes de findo o prazo.</w:t>
      </w:r>
    </w:p>
    <w:p>
      <w:pPr>
        <w:pStyle w:val="4"/>
        <w:numPr>
          <w:ilvl w:val="2"/>
          <w:numId w:val="16"/>
        </w:numPr>
        <w:spacing w:before="120" w:after="120" w:line="276" w:lineRule="auto"/>
        <w:ind w:right="-15"/>
        <w:jc w:val="both"/>
      </w:pPr>
      <w:r>
        <w:rPr>
          <w:color w:val="000000"/>
        </w:rPr>
        <w:t>Dentre os documentos passíveis de solicitação pelo Pregoeiro, destacam-se as planilhas de custo readequadas com o valor final ofertado.</w:t>
      </w:r>
    </w:p>
    <w:p>
      <w:pPr>
        <w:pStyle w:val="4"/>
        <w:numPr>
          <w:ilvl w:val="1"/>
          <w:numId w:val="16"/>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pStyle w:val="4"/>
        <w:numPr>
          <w:ilvl w:val="1"/>
          <w:numId w:val="16"/>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4"/>
        <w:numPr>
          <w:ilvl w:val="1"/>
          <w:numId w:val="16"/>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pStyle w:val="4"/>
        <w:numPr>
          <w:ilvl w:val="2"/>
          <w:numId w:val="16"/>
        </w:numPr>
        <w:spacing w:before="120" w:after="120" w:line="276" w:lineRule="auto"/>
        <w:ind w:right="-15"/>
        <w:jc w:val="both"/>
      </w:pPr>
      <w:r>
        <w:rPr>
          <w:color w:val="000000"/>
        </w:rPr>
        <w:t>O ajuste de que trata este dispositivo se limita a sanar erros ou falhas que não alterem a substância das propostas;</w:t>
      </w:r>
    </w:p>
    <w:p>
      <w:pPr>
        <w:pStyle w:val="4"/>
        <w:numPr>
          <w:ilvl w:val="2"/>
          <w:numId w:val="16"/>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pPr>
        <w:pStyle w:val="4"/>
        <w:numPr>
          <w:ilvl w:val="1"/>
          <w:numId w:val="16"/>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pStyle w:val="4"/>
        <w:numPr>
          <w:ilvl w:val="1"/>
          <w:numId w:val="16"/>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pStyle w:val="4"/>
        <w:numPr>
          <w:ilvl w:val="1"/>
          <w:numId w:val="16"/>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pStyle w:val="4"/>
        <w:numPr>
          <w:ilvl w:val="1"/>
          <w:numId w:val="16"/>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4"/>
        <w:numPr>
          <w:ilvl w:val="1"/>
          <w:numId w:val="16"/>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pStyle w:val="4"/>
        <w:keepNext/>
        <w:keepLines/>
        <w:numPr>
          <w:ilvl w:val="0"/>
          <w:numId w:val="17"/>
        </w:numPr>
        <w:spacing w:before="480" w:after="120" w:line="276" w:lineRule="auto"/>
        <w:ind w:right="-15"/>
        <w:jc w:val="both"/>
        <w:rPr>
          <w:b/>
          <w:color w:val="000000"/>
        </w:rPr>
      </w:pPr>
      <w:r>
        <w:rPr>
          <w:b/>
          <w:color w:val="000000"/>
        </w:rPr>
        <w:t xml:space="preserve">DA HABILITAÇÃO </w:t>
      </w:r>
    </w:p>
    <w:p>
      <w:pPr>
        <w:pStyle w:val="4"/>
        <w:numPr>
          <w:ilvl w:val="1"/>
          <w:numId w:val="18"/>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4"/>
        <w:spacing w:after="120" w:line="276" w:lineRule="auto"/>
        <w:ind w:left="1134"/>
        <w:jc w:val="both"/>
        <w:rPr>
          <w:color w:val="000000"/>
        </w:rPr>
      </w:pPr>
      <w:r>
        <w:rPr>
          <w:color w:val="000000"/>
        </w:rPr>
        <w:t>a) SICAF;</w:t>
      </w:r>
    </w:p>
    <w:p>
      <w:pPr>
        <w:pStyle w:val="4"/>
        <w:spacing w:before="120" w:after="120" w:line="276" w:lineRule="auto"/>
        <w:ind w:left="1134" w:hanging="1134"/>
        <w:jc w:val="both"/>
      </w:pPr>
      <w:r>
        <w:t xml:space="preserve">                    b) Cadastro Nacional de Empresas Inidôneas e Suspensas - CEIS, mantido pela   Controladoria-Geral da União (</w:t>
      </w:r>
      <w:r>
        <w:fldChar w:fldCharType="begin"/>
      </w:r>
      <w:r>
        <w:instrText xml:space="preserve"> HYPERLINK "http://www.portaldatransparencia.gov.br/ceis" \h </w:instrText>
      </w:r>
      <w:r>
        <w:fldChar w:fldCharType="separate"/>
      </w:r>
      <w:r>
        <w:rPr>
          <w:rStyle w:val="176"/>
        </w:rPr>
        <w:t>www.portaldatransparencia.gov.br/ceis</w:t>
      </w:r>
      <w:r>
        <w:rPr>
          <w:rStyle w:val="176"/>
        </w:rPr>
        <w:fldChar w:fldCharType="end"/>
      </w:r>
      <w:r>
        <w:t>);</w:t>
      </w:r>
    </w:p>
    <w:p>
      <w:pPr>
        <w:pStyle w:val="4"/>
        <w:spacing w:before="120" w:after="120" w:line="276" w:lineRule="auto"/>
        <w:ind w:left="1134" w:hanging="1134"/>
        <w:jc w:val="both"/>
      </w:pPr>
      <w:r>
        <w:t xml:space="preserve">                    c) Cadastro Nacional de Condenações Cíveis por Atos de Improbidade Administrativa,                     mantido pelo Conselho Nacional de justiça(</w:t>
      </w:r>
      <w:r>
        <w:fldChar w:fldCharType="begin"/>
      </w:r>
      <w:r>
        <w:instrText xml:space="preserve"> HYPERLINK "http://www.cnj.jus.br/improbidade_adm/consultar_requerido.php" \h </w:instrText>
      </w:r>
      <w:r>
        <w:fldChar w:fldCharType="separate"/>
      </w:r>
      <w:r>
        <w:rPr>
          <w:rStyle w:val="176"/>
        </w:rPr>
        <w:t>www.cnj.jus.br/improbidade_adm/consultar_requerido.php</w:t>
      </w:r>
      <w:r>
        <w:rPr>
          <w:rStyle w:val="176"/>
        </w:rPr>
        <w:fldChar w:fldCharType="end"/>
      </w:r>
      <w:r>
        <w:t>);</w:t>
      </w:r>
    </w:p>
    <w:p>
      <w:pPr>
        <w:pStyle w:val="4"/>
        <w:ind w:left="1134" w:hanging="1134"/>
      </w:pPr>
      <w:r>
        <w:t xml:space="preserve">                    d) Lista de Inidôneos e o Cadastro Integrado de Condenações por Ilícitos Administrativos            - CADICON, mantidos pelo Tribunal de Contas da União - TCU;</w:t>
      </w:r>
    </w:p>
    <w:p>
      <w:pPr>
        <w:pStyle w:val="4"/>
        <w:numPr>
          <w:ilvl w:val="2"/>
          <w:numId w:val="18"/>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r>
        <w:fldChar w:fldCharType="begin"/>
      </w:r>
      <w:r>
        <w:instrText xml:space="preserve"> HYPERLINK "https://certidoesapf.apps.tcu.gov.br/" \h </w:instrText>
      </w:r>
      <w:r>
        <w:fldChar w:fldCharType="separate"/>
      </w:r>
      <w:r>
        <w:rPr>
          <w:rStyle w:val="177"/>
        </w:rPr>
        <w:t>https://certidoesapf.apps.tcu.gov.br/</w:t>
      </w:r>
      <w:r>
        <w:rPr>
          <w:rStyle w:val="177"/>
        </w:rPr>
        <w:fldChar w:fldCharType="end"/>
      </w:r>
      <w:r>
        <w:rPr>
          <w:color w:val="000000"/>
        </w:rPr>
        <w:t>).</w:t>
      </w:r>
    </w:p>
    <w:p>
      <w:pPr>
        <w:pStyle w:val="4"/>
        <w:numPr>
          <w:ilvl w:val="2"/>
          <w:numId w:val="18"/>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4"/>
        <w:numPr>
          <w:ilvl w:val="3"/>
          <w:numId w:val="18"/>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
        <w:numPr>
          <w:ilvl w:val="4"/>
          <w:numId w:val="18"/>
        </w:numPr>
        <w:spacing w:line="276" w:lineRule="auto"/>
        <w:jc w:val="both"/>
        <w:rPr>
          <w:color w:val="000000"/>
        </w:rPr>
      </w:pPr>
      <w:r>
        <w:rPr>
          <w:color w:val="000000"/>
        </w:rPr>
        <w:t>A tentativa de burla será verificada por meio dos vínculos societários, linhas de fornecimento similares, dentre outros.</w:t>
      </w:r>
    </w:p>
    <w:p>
      <w:pPr>
        <w:pStyle w:val="4"/>
        <w:numPr>
          <w:ilvl w:val="4"/>
          <w:numId w:val="18"/>
        </w:numPr>
        <w:spacing w:line="276" w:lineRule="auto"/>
        <w:jc w:val="both"/>
        <w:rPr>
          <w:color w:val="000000"/>
        </w:rPr>
      </w:pPr>
      <w:r>
        <w:rPr>
          <w:color w:val="000000"/>
        </w:rPr>
        <w:t>O licitante será convocado para manifestação previamente à sua desclassificação.</w:t>
      </w:r>
    </w:p>
    <w:p>
      <w:pPr>
        <w:pStyle w:val="4"/>
        <w:numPr>
          <w:ilvl w:val="2"/>
          <w:numId w:val="18"/>
        </w:numPr>
        <w:spacing w:line="276" w:lineRule="auto"/>
        <w:ind w:left="1134" w:firstLine="0"/>
        <w:jc w:val="both"/>
      </w:pPr>
      <w:r>
        <w:rPr>
          <w:color w:val="000000"/>
        </w:rPr>
        <w:t>Constatada a existência de sanção, o Pregoeiro reputará o licitante inabilitado, por falta de condição de participação.</w:t>
      </w:r>
    </w:p>
    <w:p>
      <w:pPr>
        <w:pStyle w:val="4"/>
        <w:numPr>
          <w:ilvl w:val="2"/>
          <w:numId w:val="18"/>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4"/>
        <w:numPr>
          <w:ilvl w:val="1"/>
          <w:numId w:val="18"/>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4"/>
        <w:numPr>
          <w:ilvl w:val="2"/>
          <w:numId w:val="18"/>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4"/>
        <w:numPr>
          <w:ilvl w:val="2"/>
          <w:numId w:val="18"/>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4"/>
        <w:numPr>
          <w:ilvl w:val="2"/>
          <w:numId w:val="18"/>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4"/>
        <w:numPr>
          <w:ilvl w:val="1"/>
          <w:numId w:val="18"/>
        </w:numPr>
        <w:shd w:val="clear" w:color="auto" w:fill="FFFFFF"/>
        <w:spacing w:before="120" w:after="120" w:line="276" w:lineRule="auto"/>
        <w:jc w:val="both"/>
        <w:rPr>
          <w:rFonts w:ascii="Ecofont_Spranq_eco_Sans" w:hAnsi="Ecofont_Spranq_eco_Sans" w:eastAsia="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pPr>
        <w:pStyle w:val="4"/>
        <w:numPr>
          <w:ilvl w:val="1"/>
          <w:numId w:val="18"/>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pStyle w:val="4"/>
        <w:numPr>
          <w:ilvl w:val="1"/>
          <w:numId w:val="1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pStyle w:val="4"/>
        <w:numPr>
          <w:ilvl w:val="1"/>
          <w:numId w:val="18"/>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
        <w:numPr>
          <w:ilvl w:val="2"/>
          <w:numId w:val="18"/>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pPr>
        <w:pStyle w:val="4"/>
        <w:numPr>
          <w:ilvl w:val="1"/>
          <w:numId w:val="18"/>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pStyle w:val="4"/>
        <w:numPr>
          <w:ilvl w:val="1"/>
          <w:numId w:val="19"/>
        </w:numPr>
        <w:spacing w:before="120" w:after="120" w:line="276" w:lineRule="auto"/>
        <w:ind w:left="785"/>
        <w:jc w:val="both"/>
        <w:rPr>
          <w:b/>
          <w:color w:val="000000"/>
        </w:rPr>
      </w:pPr>
      <w:r>
        <w:rPr>
          <w:b/>
          <w:color w:val="000000"/>
        </w:rPr>
        <w:t xml:space="preserve">Habilitação jurídica: </w:t>
      </w:r>
    </w:p>
    <w:p>
      <w:pPr>
        <w:pStyle w:val="4"/>
        <w:numPr>
          <w:ilvl w:val="2"/>
          <w:numId w:val="1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
        <w:numPr>
          <w:ilvl w:val="2"/>
          <w:numId w:val="1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pStyle w:val="4"/>
        <w:numPr>
          <w:ilvl w:val="2"/>
          <w:numId w:val="1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pStyle w:val="4"/>
        <w:numPr>
          <w:ilvl w:val="2"/>
          <w:numId w:val="1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pStyle w:val="4"/>
        <w:numPr>
          <w:ilvl w:val="2"/>
          <w:numId w:val="19"/>
        </w:numPr>
        <w:spacing w:before="120" w:line="276" w:lineRule="auto"/>
        <w:ind w:left="1134" w:firstLine="0"/>
        <w:jc w:val="both"/>
        <w:rPr>
          <w:color w:val="000000"/>
        </w:rPr>
      </w:pPr>
      <w:r>
        <w:rPr>
          <w:color w:val="000000"/>
        </w:rPr>
        <w:t>Os documentos acima deverão estar acompanhados de todas as alterações ou da consolidação respectiva.</w:t>
      </w:r>
    </w:p>
    <w:p>
      <w:pPr>
        <w:pStyle w:val="4"/>
        <w:spacing w:after="120" w:line="276" w:lineRule="auto"/>
        <w:ind w:left="1134"/>
        <w:jc w:val="both"/>
        <w:rPr>
          <w:color w:val="000000"/>
        </w:rPr>
      </w:pPr>
    </w:p>
    <w:p>
      <w:pPr>
        <w:pStyle w:val="4"/>
        <w:numPr>
          <w:ilvl w:val="1"/>
          <w:numId w:val="19"/>
        </w:numPr>
        <w:spacing w:before="120" w:after="120" w:line="276" w:lineRule="auto"/>
        <w:ind w:left="425" w:firstLine="0"/>
        <w:jc w:val="both"/>
        <w:rPr>
          <w:b/>
          <w:color w:val="000000"/>
        </w:rPr>
      </w:pPr>
      <w:r>
        <w:rPr>
          <w:b/>
          <w:color w:val="000000"/>
        </w:rPr>
        <w:t xml:space="preserve">  Regularidade fiscal e trabalhista:</w:t>
      </w:r>
    </w:p>
    <w:p>
      <w:pPr>
        <w:pStyle w:val="4"/>
        <w:numPr>
          <w:ilvl w:val="2"/>
          <w:numId w:val="19"/>
        </w:numPr>
        <w:tabs>
          <w:tab w:val="left" w:pos="1440"/>
        </w:tabs>
        <w:spacing w:before="120" w:after="120" w:line="276" w:lineRule="auto"/>
        <w:ind w:left="1134" w:firstLine="0"/>
        <w:jc w:val="both"/>
      </w:pPr>
      <w:r>
        <w:t>prova de inscrição no Cadastro Nacional de Pessoas Jurídicas;</w:t>
      </w:r>
    </w:p>
    <w:p>
      <w:pPr>
        <w:pStyle w:val="4"/>
        <w:numPr>
          <w:ilvl w:val="2"/>
          <w:numId w:val="1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4"/>
        <w:numPr>
          <w:ilvl w:val="2"/>
          <w:numId w:val="1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pStyle w:val="4"/>
        <w:numPr>
          <w:ilvl w:val="2"/>
          <w:numId w:val="1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4"/>
        <w:numPr>
          <w:ilvl w:val="2"/>
          <w:numId w:val="1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pStyle w:val="4"/>
        <w:numPr>
          <w:ilvl w:val="2"/>
          <w:numId w:val="1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pStyle w:val="4"/>
        <w:numPr>
          <w:ilvl w:val="2"/>
          <w:numId w:val="1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4"/>
        <w:spacing w:before="120" w:after="120" w:line="276" w:lineRule="auto"/>
        <w:ind w:left="425"/>
        <w:jc w:val="both"/>
        <w:rPr>
          <w:b/>
          <w:color w:val="000000"/>
          <w:highlight w:val="yellow"/>
        </w:rPr>
      </w:pPr>
    </w:p>
    <w:p>
      <w:pPr>
        <w:pStyle w:val="4"/>
        <w:numPr>
          <w:ilvl w:val="1"/>
          <w:numId w:val="19"/>
        </w:numPr>
        <w:spacing w:before="120" w:after="120" w:line="276" w:lineRule="auto"/>
        <w:ind w:left="425" w:firstLine="0"/>
        <w:jc w:val="both"/>
        <w:rPr>
          <w:b/>
          <w:color w:val="000000"/>
        </w:rPr>
      </w:pPr>
      <w:r>
        <w:rPr>
          <w:b/>
          <w:color w:val="000000"/>
        </w:rPr>
        <w:t xml:space="preserve"> Qualificação Econômico-Financeira: </w:t>
      </w:r>
    </w:p>
    <w:p>
      <w:pPr>
        <w:pStyle w:val="4"/>
        <w:tabs>
          <w:tab w:val="left" w:pos="1440"/>
        </w:tabs>
        <w:spacing w:before="120" w:line="276" w:lineRule="auto"/>
        <w:ind w:left="1854"/>
        <w:jc w:val="both"/>
        <w:rPr>
          <w:color w:val="000000"/>
          <w:highlight w:val="yellow"/>
        </w:rPr>
      </w:pPr>
    </w:p>
    <w:p>
      <w:pPr>
        <w:pStyle w:val="4"/>
        <w:numPr>
          <w:ilvl w:val="2"/>
          <w:numId w:val="19"/>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pPr>
        <w:pStyle w:val="4"/>
        <w:tabs>
          <w:tab w:val="left" w:pos="1440"/>
        </w:tabs>
        <w:spacing w:line="276" w:lineRule="auto"/>
        <w:ind w:left="1854"/>
        <w:jc w:val="both"/>
        <w:rPr>
          <w:color w:val="000000"/>
        </w:rPr>
      </w:pPr>
      <w:bookmarkStart w:id="4" w:name="_heading=h.2et92p0"/>
      <w:bookmarkEnd w:id="4"/>
    </w:p>
    <w:p>
      <w:pPr>
        <w:pStyle w:val="4"/>
        <w:numPr>
          <w:ilvl w:val="3"/>
          <w:numId w:val="19"/>
        </w:numPr>
        <w:tabs>
          <w:tab w:val="left" w:pos="1440"/>
        </w:tabs>
        <w:spacing w:after="120" w:line="276" w:lineRule="auto"/>
        <w:ind w:left="1854"/>
        <w:jc w:val="both"/>
        <w:rPr>
          <w:color w:val="000000"/>
        </w:rPr>
      </w:pPr>
      <w:bookmarkStart w:id="5" w:name="_heading=h.tyjcwt"/>
      <w:bookmarkEnd w:id="5"/>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4"/>
        <w:numPr>
          <w:ilvl w:val="2"/>
          <w:numId w:val="1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4"/>
        <w:numPr>
          <w:ilvl w:val="3"/>
          <w:numId w:val="19"/>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pStyle w:val="4"/>
        <w:numPr>
          <w:ilvl w:val="3"/>
          <w:numId w:val="19"/>
        </w:numPr>
        <w:spacing w:before="120" w:after="120" w:line="276" w:lineRule="auto"/>
        <w:ind w:left="1701" w:firstLine="0"/>
        <w:jc w:val="both"/>
        <w:rPr>
          <w:color w:val="000000"/>
        </w:rPr>
      </w:pPr>
      <w:r>
        <w:rPr>
          <w:color w:val="000000"/>
        </w:rPr>
        <w:t>é admissível o balanço intermediário, se decorrer de lei ou contrato/estatuto social.</w:t>
      </w:r>
    </w:p>
    <w:p>
      <w:pPr>
        <w:pStyle w:val="4"/>
        <w:numPr>
          <w:ilvl w:val="2"/>
          <w:numId w:val="1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11"/>
        <w:tblW w:w="6486" w:type="dxa"/>
        <w:tblInd w:w="1134" w:type="dxa"/>
        <w:tblLayout w:type="autofit"/>
        <w:tblCellMar>
          <w:top w:w="0" w:type="dxa"/>
          <w:left w:w="108" w:type="dxa"/>
          <w:bottom w:w="0" w:type="dxa"/>
          <w:right w:w="108" w:type="dxa"/>
        </w:tblCellMar>
      </w:tblPr>
      <w:tblGrid>
        <w:gridCol w:w="2233"/>
        <w:gridCol w:w="4253"/>
      </w:tblGrid>
      <w:tr>
        <w:tblPrEx>
          <w:tblCellMar>
            <w:top w:w="0" w:type="dxa"/>
            <w:left w:w="108" w:type="dxa"/>
            <w:bottom w:w="0" w:type="dxa"/>
            <w:right w:w="108" w:type="dxa"/>
          </w:tblCellMar>
        </w:tblPrEx>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LG =</w:t>
            </w:r>
          </w:p>
        </w:tc>
        <w:tc>
          <w:tcPr>
            <w:tcW w:w="4252"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Circulante + Realizável a Longo Prazo</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4252"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 + Passivo Não Circulante</w:t>
            </w:r>
          </w:p>
        </w:tc>
      </w:tr>
    </w:tbl>
    <w:p>
      <w:pPr>
        <w:pStyle w:val="4"/>
        <w:tabs>
          <w:tab w:val="left" w:pos="1440"/>
        </w:tabs>
        <w:spacing w:line="276" w:lineRule="auto"/>
        <w:ind w:left="1134"/>
        <w:jc w:val="both"/>
        <w:rPr>
          <w:color w:val="000000"/>
        </w:rPr>
      </w:pPr>
    </w:p>
    <w:tbl>
      <w:tblPr>
        <w:tblStyle w:val="11"/>
        <w:tblW w:w="6628" w:type="dxa"/>
        <w:tblInd w:w="1134" w:type="dxa"/>
        <w:tblLayout w:type="autofit"/>
        <w:tblCellMar>
          <w:top w:w="0" w:type="dxa"/>
          <w:left w:w="108" w:type="dxa"/>
          <w:bottom w:w="0" w:type="dxa"/>
          <w:right w:w="108" w:type="dxa"/>
        </w:tblCellMar>
      </w:tblPr>
      <w:tblGrid>
        <w:gridCol w:w="2233"/>
        <w:gridCol w:w="4395"/>
      </w:tblGrid>
      <w:tr>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SG =</w:t>
            </w:r>
          </w:p>
        </w:tc>
        <w:tc>
          <w:tcPr>
            <w:tcW w:w="4394"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Total</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4394"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 + Passivo Não Circulante</w:t>
            </w:r>
          </w:p>
        </w:tc>
      </w:tr>
    </w:tbl>
    <w:p>
      <w:pPr>
        <w:pStyle w:val="4"/>
        <w:tabs>
          <w:tab w:val="left" w:pos="1440"/>
        </w:tabs>
        <w:spacing w:line="276" w:lineRule="auto"/>
        <w:ind w:left="1134"/>
        <w:jc w:val="both"/>
        <w:rPr>
          <w:color w:val="000000"/>
        </w:rPr>
      </w:pPr>
    </w:p>
    <w:tbl>
      <w:tblPr>
        <w:tblStyle w:val="11"/>
        <w:tblW w:w="4785" w:type="dxa"/>
        <w:tblInd w:w="1134" w:type="dxa"/>
        <w:tblLayout w:type="autofit"/>
        <w:tblCellMar>
          <w:top w:w="0" w:type="dxa"/>
          <w:left w:w="108" w:type="dxa"/>
          <w:bottom w:w="0" w:type="dxa"/>
          <w:right w:w="108" w:type="dxa"/>
        </w:tblCellMar>
      </w:tblPr>
      <w:tblGrid>
        <w:gridCol w:w="2233"/>
        <w:gridCol w:w="2552"/>
      </w:tblGrid>
      <w:tr>
        <w:tblPrEx>
          <w:tblCellMar>
            <w:top w:w="0" w:type="dxa"/>
            <w:left w:w="108" w:type="dxa"/>
            <w:bottom w:w="0" w:type="dxa"/>
            <w:right w:w="108" w:type="dxa"/>
          </w:tblCellMar>
        </w:tblPrEx>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LC =</w:t>
            </w:r>
          </w:p>
        </w:tc>
        <w:tc>
          <w:tcPr>
            <w:tcW w:w="2551"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Circulante</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2551"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w:t>
            </w:r>
          </w:p>
        </w:tc>
      </w:tr>
    </w:tbl>
    <w:p>
      <w:pPr>
        <w:pStyle w:val="4"/>
        <w:numPr>
          <w:ilvl w:val="2"/>
          <w:numId w:val="19"/>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pStyle w:val="4"/>
        <w:numPr>
          <w:ilvl w:val="2"/>
          <w:numId w:val="19"/>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pStyle w:val="4"/>
        <w:numPr>
          <w:ilvl w:val="3"/>
          <w:numId w:val="19"/>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4"/>
        <w:numPr>
          <w:ilvl w:val="3"/>
          <w:numId w:val="19"/>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4"/>
        <w:numPr>
          <w:ilvl w:val="3"/>
          <w:numId w:val="19"/>
        </w:numPr>
        <w:spacing w:line="276" w:lineRule="auto"/>
        <w:ind w:left="1701" w:firstLine="0"/>
        <w:jc w:val="both"/>
      </w:pPr>
      <w:r>
        <w:t>Comprovação, por meio de declaração, da relação de compromissos assumidos, conforme modelo constante do Anexo V-A,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4"/>
        <w:numPr>
          <w:ilvl w:val="3"/>
          <w:numId w:val="19"/>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pStyle w:val="4"/>
        <w:numPr>
          <w:ilvl w:val="3"/>
          <w:numId w:val="19"/>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4"/>
        <w:numPr>
          <w:ilvl w:val="3"/>
          <w:numId w:val="19"/>
        </w:numPr>
        <w:spacing w:line="276" w:lineRule="auto"/>
        <w:ind w:left="1701" w:firstLine="0"/>
        <w:jc w:val="both"/>
      </w:pPr>
      <w:r>
        <w:rPr>
          <w:rFonts w:hint="default"/>
          <w:lang w:val="pt-BR"/>
        </w:rPr>
        <w:t xml:space="preserve">As </w:t>
      </w:r>
      <w:r>
        <w:rPr>
          <w:rFonts w:cs="Arial"/>
          <w:color w:val="auto"/>
          <w:szCs w:val="20"/>
          <w:shd w:val="clear" w:color="auto" w:fill="FFFFFF"/>
        </w:rPr>
        <w:t>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r>
        <w:rPr>
          <w:rFonts w:hint="default" w:cs="Arial"/>
          <w:color w:val="auto"/>
          <w:szCs w:val="20"/>
          <w:shd w:val="clear" w:color="auto" w:fill="FFFFFF"/>
          <w:lang w:val="pt-BR"/>
        </w:rPr>
        <w:t>.</w:t>
      </w:r>
    </w:p>
    <w:p>
      <w:pPr>
        <w:pStyle w:val="4"/>
        <w:spacing w:line="276" w:lineRule="auto"/>
        <w:jc w:val="both"/>
      </w:pPr>
    </w:p>
    <w:p>
      <w:pPr>
        <w:pStyle w:val="4"/>
        <w:numPr>
          <w:ilvl w:val="1"/>
          <w:numId w:val="19"/>
        </w:numPr>
        <w:spacing w:before="120" w:after="120" w:line="276" w:lineRule="auto"/>
        <w:ind w:left="425" w:firstLine="0"/>
        <w:jc w:val="both"/>
        <w:rPr>
          <w:b/>
          <w:color w:val="000000"/>
        </w:rPr>
      </w:pPr>
      <w:r>
        <w:rPr>
          <w:b/>
          <w:color w:val="000000"/>
        </w:rPr>
        <w:t xml:space="preserve"> Qualificação Técnica: </w:t>
      </w:r>
    </w:p>
    <w:p>
      <w:pPr>
        <w:pStyle w:val="4"/>
        <w:numPr>
          <w:ilvl w:val="0"/>
          <w:numId w:val="0"/>
        </w:numPr>
        <w:spacing w:line="276" w:lineRule="auto"/>
        <w:ind w:left="1560" w:leftChars="0"/>
        <w:jc w:val="both"/>
        <w:rPr>
          <w:rFonts w:hint="default"/>
          <w:color w:val="000000"/>
          <w:lang w:val="pt-BR" w:eastAsia="zh-CN"/>
        </w:rPr>
      </w:pPr>
      <w:bookmarkStart w:id="6" w:name="_heading=h.3dy6vkm"/>
      <w:bookmarkEnd w:id="6"/>
    </w:p>
    <w:p>
      <w:pPr>
        <w:pStyle w:val="4"/>
        <w:numPr>
          <w:ilvl w:val="2"/>
          <w:numId w:val="19"/>
        </w:numPr>
        <w:spacing w:line="276" w:lineRule="auto"/>
        <w:jc w:val="both"/>
      </w:pPr>
      <w:r>
        <w:rPr>
          <w:rFonts w:hint="default"/>
          <w:color w:val="000000"/>
          <w:lang w:val="pt-BR"/>
        </w:rPr>
        <w:t xml:space="preserve">  Comprovação de</w:t>
      </w:r>
      <w:r>
        <w:rPr>
          <w:color w:val="000000"/>
        </w:rPr>
        <w:t xml:space="preserve"> aptidão para a prestação dos serviços em características, quantidades e prazos compatíveis com o objeto desta licitação, ou com o item pertinente, mediante a apresentação de atestado(s) fornecido(s) por pessoas jurídicas de direito público ou privado</w:t>
      </w:r>
      <w:r>
        <w:rPr>
          <w:rFonts w:hint="default"/>
          <w:color w:val="000000"/>
          <w:lang w:val="en-US" w:eastAsia="zh-CN"/>
        </w:rPr>
        <w:t xml:space="preserve">. </w:t>
      </w:r>
    </w:p>
    <w:p>
      <w:pPr>
        <w:pStyle w:val="4"/>
        <w:numPr>
          <w:ilvl w:val="3"/>
          <w:numId w:val="19"/>
        </w:numPr>
        <w:spacing w:line="276" w:lineRule="auto"/>
        <w:jc w:val="both"/>
        <w:rPr>
          <w:color w:val="000000"/>
        </w:rPr>
      </w:pPr>
      <w:r>
        <w:rPr>
          <w:rFonts w:hint="default"/>
          <w:b/>
          <w:bCs/>
          <w:lang w:val="pt-BR"/>
        </w:rPr>
        <w:t xml:space="preserve"> </w:t>
      </w:r>
      <w:r>
        <w:rPr>
          <w:color w:val="000000"/>
        </w:rPr>
        <w:t>Para fins da comprovação de que trata este subitem, os atestados deverão dizer respeito a serviços executados com as seguintes características mínimas:</w:t>
      </w:r>
    </w:p>
    <w:p>
      <w:pPr>
        <w:pStyle w:val="4"/>
        <w:numPr>
          <w:ilvl w:val="0"/>
          <w:numId w:val="0"/>
        </w:numPr>
        <w:tabs>
          <w:tab w:val="left" w:pos="1440"/>
        </w:tabs>
        <w:spacing w:before="120" w:after="120" w:line="276" w:lineRule="auto"/>
        <w:ind w:left="1702" w:leftChars="0" w:firstLine="700" w:firstLineChars="350"/>
        <w:jc w:val="both"/>
        <w:rPr>
          <w:rFonts w:hint="default"/>
          <w:b/>
          <w:bCs/>
          <w:color w:val="000000"/>
          <w:lang w:val="en-US" w:eastAsia="zh-CN"/>
        </w:rPr>
      </w:pPr>
      <w:r>
        <w:rPr>
          <w:rFonts w:hint="default"/>
          <w:b w:val="0"/>
          <w:bCs/>
          <w:lang w:val="pt-BR"/>
        </w:rPr>
        <w:t xml:space="preserve">9.11.1.1.1 </w:t>
      </w:r>
      <w:r>
        <w:rPr>
          <w:b/>
        </w:rPr>
        <w:t>Comprovação que a licitante atuou com gestão de mão de obra de qualquer categoria.</w:t>
      </w:r>
    </w:p>
    <w:p>
      <w:pPr>
        <w:pStyle w:val="4"/>
        <w:numPr>
          <w:ilvl w:val="0"/>
          <w:numId w:val="0"/>
        </w:numPr>
        <w:spacing w:line="276" w:lineRule="auto"/>
        <w:ind w:left="1702" w:leftChars="0" w:firstLine="700" w:firstLineChars="350"/>
        <w:jc w:val="both"/>
        <w:rPr>
          <w:rFonts w:hint="default"/>
          <w:color w:val="000000"/>
          <w:lang w:val="pt-BR" w:eastAsia="zh-CN"/>
        </w:rPr>
      </w:pPr>
      <w:r>
        <w:rPr>
          <w:rFonts w:hint="default"/>
          <w:b w:val="0"/>
          <w:bCs w:val="0"/>
          <w:color w:val="000000"/>
          <w:lang w:val="pt-BR"/>
        </w:rPr>
        <w:t>9.11.1.1.2</w:t>
      </w:r>
      <w:r>
        <w:rPr>
          <w:rFonts w:hint="default"/>
          <w:b/>
          <w:bCs/>
          <w:color w:val="000000"/>
          <w:lang w:val="pt-BR"/>
        </w:rPr>
        <w:t xml:space="preserve"> </w:t>
      </w:r>
      <w:r>
        <w:rPr>
          <w:rFonts w:hint="default"/>
          <w:b/>
          <w:bCs/>
          <w:color w:val="000000"/>
          <w:lang w:val="en-US" w:eastAsia="zh-CN"/>
        </w:rPr>
        <w:t xml:space="preserve">Comprovação que já executou contrato(s) com </w:t>
      </w:r>
      <w:r>
        <w:rPr>
          <w:rFonts w:hint="default"/>
          <w:b/>
          <w:bCs/>
          <w:color w:val="000000"/>
          <w:lang w:val="pt-BR" w:eastAsia="zh-CN"/>
        </w:rPr>
        <w:t xml:space="preserve">o </w:t>
      </w:r>
      <w:r>
        <w:rPr>
          <w:b/>
          <w:bCs/>
        </w:rPr>
        <w:t>número de postos equivalentes ao da contratação</w:t>
      </w:r>
      <w:r>
        <w:rPr>
          <w:rFonts w:hint="default"/>
          <w:color w:val="000000"/>
          <w:lang w:val="pt-BR" w:eastAsia="zh-CN"/>
        </w:rPr>
        <w:t>.</w:t>
      </w:r>
    </w:p>
    <w:p>
      <w:pPr>
        <w:pStyle w:val="4"/>
        <w:numPr>
          <w:ilvl w:val="0"/>
          <w:numId w:val="0"/>
        </w:numPr>
        <w:spacing w:line="276" w:lineRule="auto"/>
        <w:jc w:val="both"/>
        <w:rPr>
          <w:rFonts w:hint="default"/>
          <w:color w:val="000000"/>
          <w:lang w:val="en-US" w:eastAsia="zh-CN"/>
        </w:rPr>
      </w:pPr>
    </w:p>
    <w:p>
      <w:pPr>
        <w:pStyle w:val="4"/>
        <w:numPr>
          <w:ilvl w:val="3"/>
          <w:numId w:val="19"/>
        </w:numPr>
        <w:spacing w:line="276" w:lineRule="auto"/>
        <w:jc w:val="both"/>
        <w:rPr>
          <w:rFonts w:hint="default"/>
          <w:color w:val="000000"/>
          <w:lang w:val="en-US" w:eastAsia="zh-CN"/>
        </w:rPr>
      </w:pPr>
      <w:r>
        <w:rPr>
          <w:rFonts w:hint="default"/>
          <w:color w:val="000000"/>
          <w:lang w:val="en-US" w:eastAsia="zh-CN"/>
        </w:rPr>
        <w:t xml:space="preserve">Os atestados </w:t>
      </w:r>
      <w:bookmarkStart w:id="7" w:name="_heading=h.1t3h5sf"/>
      <w:bookmarkEnd w:id="7"/>
      <w:r>
        <w:rPr>
          <w:rFonts w:hint="default"/>
          <w:color w:val="000000"/>
          <w:lang w:val="en-US" w:eastAsia="zh-CN"/>
        </w:rPr>
        <w:t>ou declarações de capacidade técnica deverão se referir a serviços prestados no âmbito de sua atividade econômica principal e/ou secundaria especificadas no contrato social registrado na junta comercial competente, bem como no cadastro de pessoas Jurídicas da Receita Federal do Brasil — RFB</w:t>
      </w:r>
      <w:r>
        <w:rPr>
          <w:rFonts w:hint="default"/>
          <w:color w:val="000000"/>
          <w:lang w:val="pt-BR" w:eastAsia="zh-CN"/>
        </w:rPr>
        <w:t>.</w:t>
      </w:r>
    </w:p>
    <w:p>
      <w:pPr>
        <w:pStyle w:val="4"/>
        <w:numPr>
          <w:ilvl w:val="3"/>
          <w:numId w:val="19"/>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4"/>
        <w:numPr>
          <w:ilvl w:val="3"/>
          <w:numId w:val="19"/>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4"/>
        <w:numPr>
          <w:ilvl w:val="3"/>
          <w:numId w:val="19"/>
        </w:numPr>
        <w:spacing w:before="120" w:after="120" w:line="276" w:lineRule="auto"/>
        <w:ind w:left="1701" w:firstLine="0"/>
        <w:jc w:val="both"/>
      </w:pPr>
      <w:r>
        <w:t xml:space="preserve">Deverá haver a comprovação da experiência mínima de </w:t>
      </w:r>
      <w:r>
        <w:rPr>
          <w:rFonts w:hint="default"/>
          <w:lang w:val="pt-BR"/>
        </w:rPr>
        <w:t>2</w:t>
      </w:r>
      <w:r>
        <w:t xml:space="preserve"> (</w:t>
      </w:r>
      <w:r>
        <w:rPr>
          <w:rFonts w:hint="default"/>
          <w:lang w:val="pt-BR"/>
        </w:rPr>
        <w:t>dois</w:t>
      </w:r>
      <w:r>
        <w:t xml:space="preserve">) anos na prestação dos serviços, sendo aceito o somatório de atestados de períodos diferentes, não havendo obrigatoriedade de os </w:t>
      </w:r>
      <w:r>
        <w:rPr>
          <w:rFonts w:hint="default"/>
          <w:lang w:val="pt-BR"/>
        </w:rPr>
        <w:t>2</w:t>
      </w:r>
      <w:r>
        <w:t xml:space="preserve"> (</w:t>
      </w:r>
      <w:r>
        <w:rPr>
          <w:rFonts w:hint="default"/>
          <w:lang w:val="pt-BR"/>
        </w:rPr>
        <w:t>dois</w:t>
      </w:r>
      <w:r>
        <w:t>) anos serem ininterruptos, conforme item 10.7.1 do Anexo VII-A da IN SEGES/MPDG n. 5/2017.</w:t>
      </w:r>
      <w:r>
        <w:tab/>
      </w:r>
    </w:p>
    <w:p>
      <w:pPr>
        <w:pStyle w:val="4"/>
        <w:numPr>
          <w:ilvl w:val="3"/>
          <w:numId w:val="19"/>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4"/>
        <w:numPr>
          <w:ilvl w:val="3"/>
          <w:numId w:val="19"/>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pStyle w:val="4"/>
        <w:numPr>
          <w:ilvl w:val="3"/>
          <w:numId w:val="19"/>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pStyle w:val="4"/>
        <w:numPr>
          <w:ilvl w:val="3"/>
          <w:numId w:val="19"/>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pStyle w:val="4"/>
        <w:numPr>
          <w:ilvl w:val="2"/>
          <w:numId w:val="19"/>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pPr>
        <w:pStyle w:val="4"/>
        <w:spacing w:before="120" w:line="276" w:lineRule="auto"/>
        <w:ind w:left="2421"/>
        <w:jc w:val="both"/>
      </w:pPr>
    </w:p>
    <w:p>
      <w:pPr>
        <w:pStyle w:val="4"/>
        <w:numPr>
          <w:ilvl w:val="3"/>
          <w:numId w:val="19"/>
        </w:numPr>
        <w:spacing w:after="120" w:line="276" w:lineRule="auto"/>
        <w:jc w:val="both"/>
      </w:pPr>
      <w:bookmarkStart w:id="8" w:name="_heading=h.2s8eyo1"/>
      <w:bookmarkEnd w:id="8"/>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4"/>
        <w:numPr>
          <w:ilvl w:val="1"/>
          <w:numId w:val="19"/>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4"/>
        <w:numPr>
          <w:ilvl w:val="2"/>
          <w:numId w:val="19"/>
        </w:numPr>
        <w:spacing w:before="120" w:after="120" w:line="276" w:lineRule="auto"/>
        <w:jc w:val="both"/>
        <w:rPr>
          <w:color w:val="000000"/>
        </w:rPr>
      </w:pPr>
      <w:r>
        <w:rPr>
          <w:color w:val="000000"/>
        </w:rPr>
        <w:t>A declaração do vencedor acontecerá no momento imediatamente posterior à fase de habilitação.</w:t>
      </w:r>
    </w:p>
    <w:p>
      <w:pPr>
        <w:pStyle w:val="4"/>
        <w:numPr>
          <w:ilvl w:val="1"/>
          <w:numId w:val="19"/>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4"/>
        <w:numPr>
          <w:ilvl w:val="1"/>
          <w:numId w:val="19"/>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4"/>
        <w:numPr>
          <w:ilvl w:val="1"/>
          <w:numId w:val="19"/>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4"/>
        <w:numPr>
          <w:ilvl w:val="1"/>
          <w:numId w:val="19"/>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4"/>
        <w:numPr>
          <w:ilvl w:val="1"/>
          <w:numId w:val="19"/>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4"/>
        <w:numPr>
          <w:ilvl w:val="1"/>
          <w:numId w:val="19"/>
        </w:numPr>
        <w:spacing w:before="120" w:after="120" w:line="276" w:lineRule="auto"/>
        <w:jc w:val="both"/>
        <w:rPr>
          <w:color w:val="000000"/>
        </w:rPr>
      </w:pPr>
      <w:r>
        <w:rPr>
          <w:color w:val="000000"/>
        </w:rPr>
        <w:t>Constatado o atendimento às exigências de habilitação fixadas no Edital, o licitante será declarado vencedor.</w:t>
      </w:r>
    </w:p>
    <w:p>
      <w:pPr>
        <w:pStyle w:val="4"/>
        <w:keepNext/>
        <w:keepLines/>
        <w:numPr>
          <w:ilvl w:val="0"/>
          <w:numId w:val="20"/>
        </w:numPr>
        <w:spacing w:before="480" w:after="120" w:line="276" w:lineRule="auto"/>
        <w:ind w:right="-15"/>
        <w:jc w:val="both"/>
        <w:rPr>
          <w:b/>
          <w:color w:val="000000"/>
        </w:rPr>
      </w:pPr>
      <w:r>
        <w:rPr>
          <w:b/>
          <w:color w:val="000000"/>
        </w:rPr>
        <w:t>DO ENCAMINHAMENTO DA PROPOSTA VENCEDORA</w:t>
      </w:r>
    </w:p>
    <w:p>
      <w:pPr>
        <w:pStyle w:val="4"/>
        <w:numPr>
          <w:ilvl w:val="1"/>
          <w:numId w:val="20"/>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pPr>
        <w:pStyle w:val="4"/>
        <w:numPr>
          <w:ilvl w:val="2"/>
          <w:numId w:val="20"/>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pPr>
        <w:pStyle w:val="4"/>
        <w:numPr>
          <w:ilvl w:val="2"/>
          <w:numId w:val="20"/>
        </w:numPr>
        <w:spacing w:line="276" w:lineRule="auto"/>
        <w:ind w:left="1134" w:firstLine="0"/>
        <w:jc w:val="both"/>
      </w:pPr>
      <w:r>
        <w:t>apresentar a planilha de custos e formação de preços, devidamente ajustada ao lance vencedor, em conformidade com o modelo anexo a este instrumento convocatório.</w:t>
      </w:r>
    </w:p>
    <w:p>
      <w:pPr>
        <w:pStyle w:val="4"/>
        <w:numPr>
          <w:ilvl w:val="2"/>
          <w:numId w:val="20"/>
        </w:numPr>
        <w:spacing w:after="120" w:line="276" w:lineRule="auto"/>
        <w:ind w:left="1134" w:firstLine="0"/>
        <w:jc w:val="both"/>
      </w:pPr>
      <w:r>
        <w:t>conter a indicação do banco, número da conta e agência do licitante vencedor, para fins de pagamento.</w:t>
      </w:r>
    </w:p>
    <w:p>
      <w:pPr>
        <w:pStyle w:val="4"/>
        <w:numPr>
          <w:ilvl w:val="1"/>
          <w:numId w:val="20"/>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pPr>
        <w:pStyle w:val="4"/>
        <w:numPr>
          <w:ilvl w:val="2"/>
          <w:numId w:val="20"/>
        </w:numPr>
        <w:spacing w:before="120" w:after="120" w:line="276" w:lineRule="auto"/>
        <w:ind w:left="1134" w:firstLine="0"/>
        <w:jc w:val="both"/>
      </w:pPr>
      <w:r>
        <w:t>Todas as especificações do objeto contidas na proposta vinculam a Contratada.</w:t>
      </w:r>
    </w:p>
    <w:p>
      <w:pPr>
        <w:pStyle w:val="4"/>
        <w:numPr>
          <w:ilvl w:val="1"/>
          <w:numId w:val="20"/>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pStyle w:val="4"/>
        <w:numPr>
          <w:ilvl w:val="2"/>
          <w:numId w:val="20"/>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pStyle w:val="4"/>
        <w:numPr>
          <w:ilvl w:val="1"/>
          <w:numId w:val="20"/>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pStyle w:val="4"/>
        <w:numPr>
          <w:ilvl w:val="1"/>
          <w:numId w:val="20"/>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pStyle w:val="4"/>
        <w:numPr>
          <w:ilvl w:val="1"/>
          <w:numId w:val="20"/>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pStyle w:val="4"/>
        <w:keepNext/>
        <w:keepLines/>
        <w:numPr>
          <w:ilvl w:val="0"/>
          <w:numId w:val="20"/>
        </w:numPr>
        <w:spacing w:before="480" w:after="120" w:line="276" w:lineRule="auto"/>
        <w:ind w:right="-15"/>
        <w:jc w:val="both"/>
        <w:rPr>
          <w:b/>
          <w:color w:val="000000"/>
        </w:rPr>
      </w:pPr>
      <w:r>
        <w:rPr>
          <w:b/>
          <w:color w:val="000000"/>
        </w:rPr>
        <w:t>DOS RECURSOS</w:t>
      </w:r>
    </w:p>
    <w:p>
      <w:pPr>
        <w:pStyle w:val="4"/>
        <w:numPr>
          <w:ilvl w:val="1"/>
          <w:numId w:val="20"/>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4"/>
        <w:numPr>
          <w:ilvl w:val="1"/>
          <w:numId w:val="20"/>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4"/>
        <w:numPr>
          <w:ilvl w:val="2"/>
          <w:numId w:val="20"/>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pStyle w:val="4"/>
        <w:numPr>
          <w:ilvl w:val="2"/>
          <w:numId w:val="20"/>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pStyle w:val="4"/>
        <w:numPr>
          <w:ilvl w:val="2"/>
          <w:numId w:val="20"/>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4"/>
        <w:numPr>
          <w:ilvl w:val="1"/>
          <w:numId w:val="20"/>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pStyle w:val="4"/>
        <w:numPr>
          <w:ilvl w:val="1"/>
          <w:numId w:val="20"/>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pStyle w:val="4"/>
        <w:keepNext/>
        <w:keepLines/>
        <w:numPr>
          <w:ilvl w:val="0"/>
          <w:numId w:val="20"/>
        </w:numPr>
        <w:spacing w:before="480" w:after="120" w:line="276" w:lineRule="auto"/>
        <w:ind w:right="-15"/>
        <w:jc w:val="both"/>
        <w:rPr>
          <w:b/>
          <w:color w:val="000000"/>
        </w:rPr>
      </w:pPr>
      <w:r>
        <w:rPr>
          <w:b/>
          <w:color w:val="000000"/>
        </w:rPr>
        <w:t>DA REABERTURA DA SESSÃO PÚBLICA</w:t>
      </w:r>
    </w:p>
    <w:p>
      <w:pPr>
        <w:pStyle w:val="4"/>
        <w:numPr>
          <w:ilvl w:val="1"/>
          <w:numId w:val="20"/>
        </w:numPr>
        <w:tabs>
          <w:tab w:val="left" w:pos="567"/>
        </w:tabs>
        <w:spacing w:before="120" w:after="120" w:line="276" w:lineRule="auto"/>
        <w:jc w:val="both"/>
        <w:rPr>
          <w:color w:val="000000"/>
        </w:rPr>
      </w:pPr>
      <w:r>
        <w:rPr>
          <w:color w:val="000000"/>
        </w:rPr>
        <w:t>A sessão pública poderá ser reaberta:</w:t>
      </w:r>
    </w:p>
    <w:p>
      <w:pPr>
        <w:pStyle w:val="4"/>
        <w:numPr>
          <w:ilvl w:val="2"/>
          <w:numId w:val="20"/>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
        <w:numPr>
          <w:ilvl w:val="2"/>
          <w:numId w:val="20"/>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4"/>
        <w:numPr>
          <w:ilvl w:val="1"/>
          <w:numId w:val="20"/>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pStyle w:val="4"/>
        <w:numPr>
          <w:ilvl w:val="2"/>
          <w:numId w:val="20"/>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pStyle w:val="4"/>
        <w:numPr>
          <w:ilvl w:val="2"/>
          <w:numId w:val="20"/>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pStyle w:val="4"/>
        <w:keepNext/>
        <w:keepLines/>
        <w:numPr>
          <w:ilvl w:val="0"/>
          <w:numId w:val="20"/>
        </w:numPr>
        <w:spacing w:before="480" w:after="120" w:line="276" w:lineRule="auto"/>
        <w:ind w:right="-15"/>
        <w:jc w:val="both"/>
        <w:rPr>
          <w:b/>
          <w:color w:val="000000"/>
        </w:rPr>
      </w:pPr>
      <w:r>
        <w:rPr>
          <w:b/>
          <w:color w:val="000000"/>
        </w:rPr>
        <w:t>DA ADJUDICAÇÃO E HOMOLOGAÇÃO</w:t>
      </w:r>
    </w:p>
    <w:p>
      <w:pPr>
        <w:pStyle w:val="4"/>
        <w:numPr>
          <w:ilvl w:val="1"/>
          <w:numId w:val="20"/>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4"/>
        <w:numPr>
          <w:ilvl w:val="1"/>
          <w:numId w:val="20"/>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pStyle w:val="4"/>
        <w:keepNext/>
        <w:keepLines/>
        <w:numPr>
          <w:ilvl w:val="0"/>
          <w:numId w:val="20"/>
        </w:numPr>
        <w:spacing w:before="480" w:after="120" w:line="276" w:lineRule="auto"/>
        <w:ind w:right="-15"/>
        <w:jc w:val="both"/>
        <w:rPr>
          <w:b/>
          <w:color w:val="000000"/>
        </w:rPr>
      </w:pPr>
      <w:r>
        <w:rPr>
          <w:b/>
          <w:color w:val="000000"/>
        </w:rPr>
        <w:t>DA GARANTIA DE EXECUÇÃO</w:t>
      </w:r>
    </w:p>
    <w:p>
      <w:pPr>
        <w:pStyle w:val="4"/>
        <w:numPr>
          <w:ilvl w:val="1"/>
          <w:numId w:val="20"/>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pStyle w:val="4"/>
        <w:keepNext/>
        <w:keepLines/>
        <w:numPr>
          <w:ilvl w:val="0"/>
          <w:numId w:val="21"/>
        </w:numPr>
        <w:spacing w:before="480" w:after="120" w:line="276" w:lineRule="auto"/>
        <w:ind w:right="-15"/>
        <w:jc w:val="both"/>
        <w:rPr>
          <w:b/>
        </w:rPr>
      </w:pPr>
      <w:r>
        <w:rPr>
          <w:b/>
          <w:color w:val="000000"/>
        </w:rPr>
        <w:t>DO TERMO DE CONTRATO</w:t>
      </w:r>
    </w:p>
    <w:p>
      <w:pPr>
        <w:pStyle w:val="4"/>
        <w:numPr>
          <w:ilvl w:val="1"/>
          <w:numId w:val="21"/>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pStyle w:val="4"/>
        <w:numPr>
          <w:ilvl w:val="1"/>
          <w:numId w:val="21"/>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4"/>
        <w:numPr>
          <w:ilvl w:val="2"/>
          <w:numId w:val="21"/>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pPr>
        <w:pStyle w:val="4"/>
        <w:numPr>
          <w:ilvl w:val="2"/>
          <w:numId w:val="21"/>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pStyle w:val="4"/>
        <w:numPr>
          <w:ilvl w:val="1"/>
          <w:numId w:val="21"/>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pPr>
        <w:pStyle w:val="4"/>
        <w:numPr>
          <w:ilvl w:val="1"/>
          <w:numId w:val="21"/>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4"/>
        <w:numPr>
          <w:ilvl w:val="2"/>
          <w:numId w:val="21"/>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4"/>
        <w:numPr>
          <w:ilvl w:val="2"/>
          <w:numId w:val="21"/>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4"/>
        <w:numPr>
          <w:ilvl w:val="1"/>
          <w:numId w:val="21"/>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4"/>
        <w:numPr>
          <w:ilvl w:val="1"/>
          <w:numId w:val="21"/>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4"/>
        <w:keepNext/>
        <w:keepLines/>
        <w:numPr>
          <w:ilvl w:val="0"/>
          <w:numId w:val="21"/>
        </w:numPr>
        <w:spacing w:before="480" w:after="120" w:line="276" w:lineRule="auto"/>
        <w:ind w:right="-15"/>
        <w:jc w:val="both"/>
        <w:rPr>
          <w:b/>
        </w:rPr>
      </w:pPr>
      <w:r>
        <w:rPr>
          <w:b/>
          <w:color w:val="000000"/>
          <w:highlight w:val="white"/>
        </w:rPr>
        <w:t>DO REAJUSTAMENTO EM SENTIDO GERAL</w:t>
      </w:r>
    </w:p>
    <w:p>
      <w:pPr>
        <w:pStyle w:val="4"/>
        <w:keepNext/>
        <w:keepLines/>
        <w:numPr>
          <w:ilvl w:val="1"/>
          <w:numId w:val="21"/>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pStyle w:val="4"/>
        <w:keepNext/>
        <w:keepLines/>
        <w:numPr>
          <w:ilvl w:val="0"/>
          <w:numId w:val="21"/>
        </w:numPr>
        <w:spacing w:before="360" w:after="120" w:line="276" w:lineRule="auto"/>
        <w:ind w:right="-15"/>
        <w:jc w:val="both"/>
        <w:rPr>
          <w:b/>
        </w:rPr>
      </w:pPr>
      <w:r>
        <w:rPr>
          <w:b/>
          <w:color w:val="000000"/>
        </w:rPr>
        <w:t>DA ACEITAÇÃO DO OBJETO E DA FISCALIZAÇÃO</w:t>
      </w:r>
    </w:p>
    <w:p>
      <w:pPr>
        <w:pStyle w:val="4"/>
        <w:numPr>
          <w:ilvl w:val="1"/>
          <w:numId w:val="21"/>
        </w:numPr>
        <w:spacing w:before="120" w:after="120" w:line="276" w:lineRule="auto"/>
        <w:ind w:left="425" w:firstLine="0"/>
        <w:jc w:val="both"/>
      </w:pPr>
      <w:r>
        <w:t>Os critérios de aceitação do objeto e de fiscalização estão previstos no Termo de Referência.</w:t>
      </w:r>
    </w:p>
    <w:p>
      <w:pPr>
        <w:pStyle w:val="4"/>
        <w:keepNext/>
        <w:keepLines/>
        <w:numPr>
          <w:ilvl w:val="0"/>
          <w:numId w:val="21"/>
        </w:numPr>
        <w:spacing w:before="480" w:after="120" w:line="276" w:lineRule="auto"/>
        <w:ind w:right="-15"/>
        <w:jc w:val="both"/>
        <w:rPr>
          <w:b/>
        </w:rPr>
      </w:pPr>
      <w:r>
        <w:rPr>
          <w:b/>
          <w:color w:val="000000"/>
        </w:rPr>
        <w:t>DAS OBRIGAÇÕES DA CONTRATANTE E DA CONTRATADA</w:t>
      </w:r>
    </w:p>
    <w:p>
      <w:pPr>
        <w:pStyle w:val="4"/>
        <w:numPr>
          <w:ilvl w:val="1"/>
          <w:numId w:val="21"/>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pStyle w:val="4"/>
        <w:keepNext/>
        <w:keepLines/>
        <w:numPr>
          <w:ilvl w:val="0"/>
          <w:numId w:val="21"/>
        </w:numPr>
        <w:spacing w:before="480" w:after="120" w:line="276" w:lineRule="auto"/>
        <w:ind w:right="-15"/>
        <w:jc w:val="both"/>
        <w:rPr>
          <w:b/>
        </w:rPr>
      </w:pPr>
      <w:r>
        <w:rPr>
          <w:b/>
          <w:color w:val="000000"/>
        </w:rPr>
        <w:t>DO PAGAMENTO</w:t>
      </w:r>
    </w:p>
    <w:p>
      <w:pPr>
        <w:pStyle w:val="4"/>
        <w:numPr>
          <w:ilvl w:val="1"/>
          <w:numId w:val="21"/>
        </w:numPr>
        <w:spacing w:before="120" w:after="120" w:line="276" w:lineRule="auto"/>
        <w:jc w:val="both"/>
        <w:rPr>
          <w:color w:val="000000"/>
        </w:rPr>
      </w:pPr>
      <w:r>
        <w:rPr>
          <w:color w:val="000000"/>
        </w:rPr>
        <w:t>As regras acerca do pagamento são as estabelecidas no Termo de Referência, anexo a este Edital.</w:t>
      </w:r>
    </w:p>
    <w:p>
      <w:pPr>
        <w:pStyle w:val="4"/>
        <w:keepNext/>
        <w:keepLines/>
        <w:numPr>
          <w:ilvl w:val="0"/>
          <w:numId w:val="21"/>
        </w:numPr>
        <w:spacing w:before="480" w:after="120" w:line="276" w:lineRule="auto"/>
        <w:ind w:right="-15"/>
        <w:jc w:val="both"/>
        <w:rPr>
          <w:b/>
        </w:rPr>
      </w:pPr>
      <w:r>
        <w:rPr>
          <w:b/>
        </w:rPr>
        <w:t>DA CONTA-DEPÓSITO VINCULADA</w:t>
      </w:r>
      <w:r>
        <w:rPr>
          <w:b/>
          <w:highlight w:val="white"/>
        </w:rPr>
        <w:t>― BLOQUEADA PARA MOVIMENTAÇÃO</w:t>
      </w:r>
    </w:p>
    <w:p>
      <w:pPr>
        <w:pStyle w:val="4"/>
        <w:numPr>
          <w:ilvl w:val="1"/>
          <w:numId w:val="21"/>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pPr>
        <w:pStyle w:val="4"/>
        <w:keepNext/>
        <w:keepLines/>
        <w:numPr>
          <w:ilvl w:val="0"/>
          <w:numId w:val="22"/>
        </w:numPr>
        <w:spacing w:before="480" w:after="120" w:line="276" w:lineRule="auto"/>
        <w:ind w:right="-15"/>
        <w:jc w:val="both"/>
        <w:rPr>
          <w:b/>
          <w:i/>
        </w:rPr>
      </w:pPr>
      <w:r>
        <w:rPr>
          <w:i/>
          <w:color w:val="FF0000"/>
        </w:rPr>
        <w:t xml:space="preserve"> </w:t>
      </w:r>
      <w:r>
        <w:rPr>
          <w:b/>
          <w:color w:val="000000"/>
        </w:rPr>
        <w:t>DAS SANÇÕES ADMINISTRATIVAS.</w:t>
      </w:r>
    </w:p>
    <w:p>
      <w:pPr>
        <w:pStyle w:val="4"/>
        <w:numPr>
          <w:ilvl w:val="1"/>
          <w:numId w:val="2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pStyle w:val="4"/>
        <w:numPr>
          <w:ilvl w:val="2"/>
          <w:numId w:val="2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pStyle w:val="4"/>
        <w:numPr>
          <w:ilvl w:val="2"/>
          <w:numId w:val="23"/>
        </w:numPr>
        <w:spacing w:before="120" w:after="120" w:line="276" w:lineRule="auto"/>
        <w:jc w:val="both"/>
        <w:rPr>
          <w:color w:val="000000"/>
        </w:rPr>
      </w:pPr>
      <w:r>
        <w:rPr>
          <w:color w:val="000000"/>
        </w:rPr>
        <w:t>não assinar a ata de registro de preços, quando cabível;</w:t>
      </w:r>
    </w:p>
    <w:p>
      <w:pPr>
        <w:pStyle w:val="4"/>
        <w:numPr>
          <w:ilvl w:val="2"/>
          <w:numId w:val="23"/>
        </w:numPr>
        <w:spacing w:before="120" w:after="120" w:line="276" w:lineRule="auto"/>
        <w:jc w:val="both"/>
        <w:rPr>
          <w:color w:val="000000"/>
        </w:rPr>
      </w:pPr>
      <w:r>
        <w:rPr>
          <w:color w:val="000000"/>
        </w:rPr>
        <w:t>apresentar documentação falsa;</w:t>
      </w:r>
    </w:p>
    <w:p>
      <w:pPr>
        <w:pStyle w:val="4"/>
        <w:numPr>
          <w:ilvl w:val="2"/>
          <w:numId w:val="23"/>
        </w:numPr>
        <w:spacing w:before="120" w:after="120" w:line="276" w:lineRule="auto"/>
        <w:jc w:val="both"/>
        <w:rPr>
          <w:color w:val="000000"/>
        </w:rPr>
      </w:pPr>
      <w:r>
        <w:rPr>
          <w:color w:val="000000"/>
        </w:rPr>
        <w:t>deixar de entregar os documentos exigidos no certame;</w:t>
      </w:r>
    </w:p>
    <w:p>
      <w:pPr>
        <w:pStyle w:val="4"/>
        <w:numPr>
          <w:ilvl w:val="2"/>
          <w:numId w:val="23"/>
        </w:numPr>
        <w:spacing w:before="120" w:after="120" w:line="276" w:lineRule="auto"/>
        <w:jc w:val="both"/>
        <w:rPr>
          <w:color w:val="000000"/>
        </w:rPr>
      </w:pPr>
      <w:r>
        <w:rPr>
          <w:color w:val="000000"/>
        </w:rPr>
        <w:t>ensejar o retardamento da execução do objeto;</w:t>
      </w:r>
    </w:p>
    <w:p>
      <w:pPr>
        <w:pStyle w:val="4"/>
        <w:numPr>
          <w:ilvl w:val="2"/>
          <w:numId w:val="23"/>
        </w:numPr>
        <w:spacing w:before="120" w:after="120" w:line="276" w:lineRule="auto"/>
        <w:jc w:val="both"/>
        <w:rPr>
          <w:color w:val="000000"/>
        </w:rPr>
      </w:pPr>
      <w:r>
        <w:rPr>
          <w:color w:val="000000"/>
        </w:rPr>
        <w:t>não mantiver a proposta;</w:t>
      </w:r>
    </w:p>
    <w:p>
      <w:pPr>
        <w:pStyle w:val="4"/>
        <w:numPr>
          <w:ilvl w:val="2"/>
          <w:numId w:val="23"/>
        </w:numPr>
        <w:spacing w:before="120" w:after="120" w:line="276" w:lineRule="auto"/>
        <w:jc w:val="both"/>
        <w:rPr>
          <w:color w:val="000000"/>
        </w:rPr>
      </w:pPr>
      <w:r>
        <w:rPr>
          <w:color w:val="000000"/>
        </w:rPr>
        <w:t>cometer fraude fiscal;</w:t>
      </w:r>
    </w:p>
    <w:p>
      <w:pPr>
        <w:pStyle w:val="4"/>
        <w:numPr>
          <w:ilvl w:val="2"/>
          <w:numId w:val="23"/>
        </w:numPr>
        <w:spacing w:before="120" w:after="120" w:line="276" w:lineRule="auto"/>
        <w:jc w:val="both"/>
        <w:rPr>
          <w:color w:val="000000"/>
        </w:rPr>
      </w:pPr>
      <w:r>
        <w:rPr>
          <w:color w:val="000000"/>
        </w:rPr>
        <w:t>comportar-se de modo inidôneo;</w:t>
      </w:r>
    </w:p>
    <w:p>
      <w:pPr>
        <w:pStyle w:val="4"/>
        <w:numPr>
          <w:ilvl w:val="1"/>
          <w:numId w:val="23"/>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pStyle w:val="4"/>
        <w:numPr>
          <w:ilvl w:val="1"/>
          <w:numId w:val="2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4"/>
        <w:numPr>
          <w:ilvl w:val="1"/>
          <w:numId w:val="2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pStyle w:val="4"/>
        <w:numPr>
          <w:ilvl w:val="2"/>
          <w:numId w:val="2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pStyle w:val="4"/>
        <w:numPr>
          <w:ilvl w:val="2"/>
          <w:numId w:val="23"/>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pPr>
        <w:pStyle w:val="4"/>
        <w:numPr>
          <w:ilvl w:val="2"/>
          <w:numId w:val="23"/>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pStyle w:val="4"/>
        <w:numPr>
          <w:ilvl w:val="2"/>
          <w:numId w:val="23"/>
        </w:numPr>
        <w:spacing w:before="120" w:after="120" w:line="276" w:lineRule="auto"/>
        <w:jc w:val="both"/>
        <w:rPr>
          <w:color w:val="000000"/>
        </w:rPr>
      </w:pPr>
      <w:r>
        <w:rPr>
          <w:color w:val="000000"/>
        </w:rPr>
        <w:t>Impedimento de licitar e de contratar com a União e descredenciamento no SICAF, pelo prazo de até cinco anos;</w:t>
      </w:r>
    </w:p>
    <w:p>
      <w:pPr>
        <w:pStyle w:val="4"/>
        <w:numPr>
          <w:ilvl w:val="2"/>
          <w:numId w:val="2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4"/>
        <w:numPr>
          <w:ilvl w:val="1"/>
          <w:numId w:val="23"/>
        </w:numPr>
        <w:spacing w:before="120" w:after="120" w:line="276" w:lineRule="auto"/>
        <w:ind w:left="425" w:firstLine="0"/>
        <w:jc w:val="both"/>
        <w:rPr>
          <w:color w:val="000000"/>
        </w:rPr>
      </w:pPr>
      <w:r>
        <w:rPr>
          <w:color w:val="000000"/>
        </w:rPr>
        <w:t>A penalidade de multa pode ser aplicada cumulativamente com as demais sanções.</w:t>
      </w:r>
    </w:p>
    <w:p>
      <w:pPr>
        <w:pStyle w:val="4"/>
        <w:numPr>
          <w:ilvl w:val="1"/>
          <w:numId w:val="23"/>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4"/>
        <w:numPr>
          <w:ilvl w:val="1"/>
          <w:numId w:val="2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4"/>
        <w:numPr>
          <w:ilvl w:val="1"/>
          <w:numId w:val="2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4"/>
        <w:numPr>
          <w:ilvl w:val="1"/>
          <w:numId w:val="2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pStyle w:val="4"/>
        <w:numPr>
          <w:ilvl w:val="1"/>
          <w:numId w:val="2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4"/>
        <w:numPr>
          <w:ilvl w:val="1"/>
          <w:numId w:val="2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4"/>
        <w:numPr>
          <w:ilvl w:val="1"/>
          <w:numId w:val="23"/>
        </w:numPr>
        <w:spacing w:before="120" w:after="120" w:line="276" w:lineRule="auto"/>
        <w:ind w:left="425" w:firstLine="0"/>
        <w:jc w:val="both"/>
        <w:rPr>
          <w:color w:val="000000"/>
        </w:rPr>
      </w:pPr>
      <w:r>
        <w:rPr>
          <w:color w:val="000000"/>
        </w:rPr>
        <w:t>As penalidades serão obrigatoriamente registradas no SICAF.</w:t>
      </w:r>
    </w:p>
    <w:p>
      <w:pPr>
        <w:pStyle w:val="4"/>
        <w:numPr>
          <w:ilvl w:val="1"/>
          <w:numId w:val="2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pStyle w:val="4"/>
        <w:keepNext/>
        <w:keepLines/>
        <w:numPr>
          <w:ilvl w:val="0"/>
          <w:numId w:val="23"/>
        </w:numPr>
        <w:spacing w:before="480" w:after="120" w:line="276" w:lineRule="auto"/>
        <w:ind w:right="-15"/>
        <w:jc w:val="both"/>
        <w:rPr>
          <w:b/>
          <w:i/>
        </w:rPr>
      </w:pPr>
      <w:r>
        <w:rPr>
          <w:b/>
          <w:color w:val="000000"/>
        </w:rPr>
        <w:t>DA IMPUGNAÇÃO AO EDITAL E DO PEDIDO DE ESCLARECIMENTO</w:t>
      </w:r>
    </w:p>
    <w:p>
      <w:pPr>
        <w:pStyle w:val="4"/>
        <w:numPr>
          <w:ilvl w:val="1"/>
          <w:numId w:val="23"/>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pStyle w:val="4"/>
        <w:numPr>
          <w:ilvl w:val="1"/>
          <w:numId w:val="23"/>
        </w:numPr>
        <w:spacing w:before="120" w:after="120" w:line="276" w:lineRule="auto"/>
        <w:ind w:left="425" w:firstLine="0"/>
        <w:jc w:val="both"/>
      </w:pPr>
      <w:r>
        <w:rPr>
          <w:color w:val="000000"/>
        </w:rPr>
        <w:t xml:space="preserve">A impugnação poderá ser realizada por forma eletrônica, pelo e-mail </w:t>
      </w:r>
      <w:r>
        <w:fldChar w:fldCharType="begin"/>
      </w:r>
      <w:r>
        <w:instrText xml:space="preserve"> HYPERLINK "mailto:cpl@id.uff.br" \h </w:instrText>
      </w:r>
      <w:r>
        <w:fldChar w:fldCharType="separate"/>
      </w:r>
      <w:r>
        <w:rPr>
          <w:rStyle w:val="178"/>
        </w:rPr>
        <w:t>cpl@id.uff.br</w:t>
      </w:r>
      <w:r>
        <w:rPr>
          <w:rStyle w:val="178"/>
        </w:rPr>
        <w:fldChar w:fldCharType="end"/>
      </w:r>
      <w:r>
        <w:t>.</w:t>
      </w:r>
    </w:p>
    <w:p>
      <w:pPr>
        <w:pStyle w:val="4"/>
        <w:numPr>
          <w:ilvl w:val="1"/>
          <w:numId w:val="23"/>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pStyle w:val="4"/>
        <w:numPr>
          <w:ilvl w:val="1"/>
          <w:numId w:val="23"/>
        </w:numPr>
        <w:spacing w:before="120" w:after="120" w:line="276" w:lineRule="auto"/>
        <w:ind w:left="425" w:firstLine="0"/>
        <w:jc w:val="both"/>
        <w:rPr>
          <w:color w:val="000000"/>
        </w:rPr>
      </w:pPr>
      <w:r>
        <w:rPr>
          <w:color w:val="000000"/>
        </w:rPr>
        <w:t>Acolhida a impugnação, será definida e publicada nova data para a realização do certame.</w:t>
      </w:r>
    </w:p>
    <w:p>
      <w:pPr>
        <w:pStyle w:val="4"/>
        <w:numPr>
          <w:ilvl w:val="1"/>
          <w:numId w:val="2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4"/>
        <w:numPr>
          <w:ilvl w:val="1"/>
          <w:numId w:val="23"/>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pStyle w:val="4"/>
        <w:numPr>
          <w:ilvl w:val="1"/>
          <w:numId w:val="23"/>
        </w:numPr>
        <w:spacing w:before="120" w:after="120" w:line="276" w:lineRule="auto"/>
        <w:ind w:left="425" w:firstLine="0"/>
        <w:jc w:val="both"/>
        <w:rPr>
          <w:color w:val="000000"/>
        </w:rPr>
      </w:pPr>
      <w:r>
        <w:rPr>
          <w:color w:val="000000"/>
        </w:rPr>
        <w:t>As impugnações e pedidos de esclarecimentos não suspendem os prazos previstos no certame.</w:t>
      </w:r>
    </w:p>
    <w:p>
      <w:pPr>
        <w:pStyle w:val="4"/>
        <w:numPr>
          <w:ilvl w:val="2"/>
          <w:numId w:val="2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pStyle w:val="4"/>
        <w:numPr>
          <w:ilvl w:val="1"/>
          <w:numId w:val="2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pStyle w:val="4"/>
        <w:keepNext/>
        <w:keepLines/>
        <w:numPr>
          <w:ilvl w:val="0"/>
          <w:numId w:val="23"/>
        </w:numPr>
        <w:spacing w:before="480" w:after="120" w:line="276" w:lineRule="auto"/>
        <w:ind w:right="-15"/>
        <w:jc w:val="both"/>
        <w:rPr>
          <w:b/>
        </w:rPr>
      </w:pPr>
      <w:r>
        <w:rPr>
          <w:b/>
          <w:color w:val="000000"/>
        </w:rPr>
        <w:t>DAS DISPOSIÇÕES GERAIS</w:t>
      </w:r>
    </w:p>
    <w:p>
      <w:pPr>
        <w:pStyle w:val="4"/>
        <w:numPr>
          <w:ilvl w:val="1"/>
          <w:numId w:val="23"/>
        </w:numPr>
        <w:spacing w:before="120" w:after="120" w:line="276" w:lineRule="auto"/>
        <w:ind w:left="425" w:firstLine="0"/>
        <w:jc w:val="both"/>
        <w:rPr>
          <w:color w:val="000000"/>
        </w:rPr>
      </w:pPr>
      <w:r>
        <w:rPr>
          <w:color w:val="000000"/>
        </w:rPr>
        <w:t>Da sessão pública do Pregão divulgar-se-á Ata no sistema eletrônico.</w:t>
      </w:r>
    </w:p>
    <w:p>
      <w:pPr>
        <w:pStyle w:val="4"/>
        <w:numPr>
          <w:ilvl w:val="1"/>
          <w:numId w:val="2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4"/>
        <w:numPr>
          <w:ilvl w:val="1"/>
          <w:numId w:val="2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pStyle w:val="4"/>
        <w:numPr>
          <w:ilvl w:val="1"/>
          <w:numId w:val="2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4"/>
        <w:numPr>
          <w:ilvl w:val="1"/>
          <w:numId w:val="23"/>
        </w:numPr>
        <w:spacing w:before="120" w:after="120" w:line="276" w:lineRule="auto"/>
        <w:ind w:left="425" w:firstLine="0"/>
        <w:jc w:val="both"/>
        <w:rPr>
          <w:color w:val="000000"/>
        </w:rPr>
      </w:pPr>
      <w:r>
        <w:rPr>
          <w:color w:val="000000"/>
        </w:rPr>
        <w:t>A homologação do resultado desta licitação não implicará direito à contratação.</w:t>
      </w:r>
    </w:p>
    <w:p>
      <w:pPr>
        <w:pStyle w:val="4"/>
        <w:numPr>
          <w:ilvl w:val="1"/>
          <w:numId w:val="2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
        <w:numPr>
          <w:ilvl w:val="1"/>
          <w:numId w:val="2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4"/>
        <w:numPr>
          <w:ilvl w:val="1"/>
          <w:numId w:val="2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4"/>
        <w:numPr>
          <w:ilvl w:val="1"/>
          <w:numId w:val="2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4"/>
        <w:numPr>
          <w:ilvl w:val="1"/>
          <w:numId w:val="2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pStyle w:val="4"/>
        <w:numPr>
          <w:ilvl w:val="1"/>
          <w:numId w:val="23"/>
        </w:numPr>
        <w:spacing w:before="120" w:after="120" w:line="276" w:lineRule="auto"/>
        <w:ind w:left="425" w:firstLine="0"/>
        <w:jc w:val="both"/>
      </w:pPr>
      <w:r>
        <w:rPr>
          <w:color w:val="000000"/>
        </w:rPr>
        <w:t xml:space="preserve">O Edital está disponibilizado, na íntegra, no endereço eletrônico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"http://www.gov.br/compras" </w:instrText>
      </w:r>
      <w:r>
        <w:rPr>
          <w:rFonts w:ascii="SimSun" w:hAnsi="SimSun" w:eastAsia="SimSun" w:cs="SimSun"/>
          <w:b w:val="0"/>
          <w:bCs w:val="0"/>
          <w:sz w:val="24"/>
          <w:szCs w:val="24"/>
          <w:u w:val="none"/>
        </w:rPr>
        <w:fldChar w:fldCharType="separate"/>
      </w:r>
      <w:r>
        <w:rPr>
          <w:rStyle w:val="15"/>
          <w:rFonts w:ascii="Calibri" w:hAnsi="Calibri" w:eastAsia="SimSun" w:cs="Calibri"/>
          <w:b/>
          <w:bCs/>
          <w:i w:val="0"/>
          <w:iCs w:val="0"/>
          <w:color w:val="0000FF"/>
          <w:sz w:val="22"/>
          <w:szCs w:val="22"/>
          <w:u w:val="single"/>
          <w:vertAlign w:val="baseline"/>
        </w:rPr>
        <w:t>www.gov.br/compras</w:t>
      </w:r>
      <w:r>
        <w:rPr>
          <w:rFonts w:ascii="SimSun" w:hAnsi="SimSun" w:eastAsia="SimSun" w:cs="SimSun"/>
          <w:b w:val="0"/>
          <w:bCs w:val="0"/>
          <w:sz w:val="24"/>
          <w:szCs w:val="24"/>
          <w:u w:val="none"/>
        </w:rPr>
        <w:fldChar w:fldCharType="end"/>
      </w:r>
      <w:r>
        <w:rPr>
          <w:rFonts w:hint="default" w:ascii="Calibri" w:hAnsi="Calibri" w:eastAsia="SimSun" w:cs="Calibri"/>
          <w:i w:val="0"/>
          <w:iCs w:val="0"/>
          <w:color w:val="000000"/>
          <w:sz w:val="22"/>
          <w:szCs w:val="22"/>
          <w:u w:val="none"/>
          <w:vertAlign w:val="baseline"/>
        </w:rPr>
        <w:t xml:space="preserve"> e</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"http://www.uff.br/licitacoes" </w:instrText>
      </w:r>
      <w:r>
        <w:rPr>
          <w:rFonts w:ascii="SimSun" w:hAnsi="SimSun" w:eastAsia="SimSun" w:cs="SimSun"/>
          <w:b w:val="0"/>
          <w:bCs w:val="0"/>
          <w:sz w:val="24"/>
          <w:szCs w:val="24"/>
          <w:u w:val="none"/>
        </w:rPr>
        <w:fldChar w:fldCharType="separate"/>
      </w:r>
      <w:r>
        <w:rPr>
          <w:rStyle w:val="15"/>
          <w:rFonts w:hint="default" w:ascii="Calibri" w:hAnsi="Calibri" w:eastAsia="SimSun" w:cs="Calibri"/>
          <w:i w:val="0"/>
          <w:iCs w:val="0"/>
          <w:color w:val="000000"/>
          <w:sz w:val="22"/>
          <w:szCs w:val="22"/>
          <w:u w:val="none"/>
          <w:vertAlign w:val="baseline"/>
        </w:rPr>
        <w:t xml:space="preserve"> </w:t>
      </w:r>
      <w:r>
        <w:rPr>
          <w:rStyle w:val="15"/>
          <w:rFonts w:hint="default" w:ascii="Calibri" w:hAnsi="Calibri" w:eastAsia="SimSun" w:cs="Calibri"/>
          <w:b/>
          <w:bCs/>
          <w:i w:val="0"/>
          <w:iCs w:val="0"/>
          <w:color w:val="0000FF"/>
          <w:sz w:val="22"/>
          <w:szCs w:val="22"/>
          <w:u w:val="single"/>
          <w:vertAlign w:val="baseline"/>
        </w:rPr>
        <w:t>www.uff.br/licitacoes</w:t>
      </w:r>
      <w:r>
        <w:rPr>
          <w:rFonts w:ascii="SimSun" w:hAnsi="SimSun" w:eastAsia="SimSun" w:cs="SimSun"/>
          <w:b w:val="0"/>
          <w:bCs w:val="0"/>
          <w:sz w:val="24"/>
          <w:szCs w:val="24"/>
          <w:u w:val="none"/>
        </w:rPr>
        <w:fldChar w:fldCharType="end"/>
      </w:r>
      <w:r>
        <w:rPr>
          <w:rFonts w:hint="default" w:ascii="Calibri" w:hAnsi="Calibri" w:eastAsia="SimSun" w:cs="Calibri"/>
          <w:i w:val="0"/>
          <w:iCs w:val="0"/>
          <w:color w:val="000000"/>
          <w:sz w:val="22"/>
          <w:szCs w:val="22"/>
          <w:u w:val="none"/>
          <w:vertAlign w:val="baseline"/>
        </w:rPr>
        <w:t xml:space="preserve">. Os autos do processo administrativo são digitais e podem ser consultados, por qualquer interessado, por meio do clique no nº do processo, constante também do endereço eletrônico </w:t>
      </w:r>
      <w:r>
        <w:rPr>
          <w:rFonts w:hint="default" w:ascii="Calibri" w:hAnsi="Calibri" w:eastAsia="SimSun" w:cs="Calibri"/>
          <w:b/>
          <w:bCs/>
          <w:i w:val="0"/>
          <w:iCs w:val="0"/>
          <w:color w:val="000000"/>
          <w:sz w:val="22"/>
          <w:szCs w:val="22"/>
          <w:u w:val="none"/>
          <w:vertAlign w:val="baseline"/>
        </w:rPr>
        <w:t>&lt;</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"http://www.uff.br/licitacoes" </w:instrText>
      </w:r>
      <w:r>
        <w:rPr>
          <w:rFonts w:ascii="SimSun" w:hAnsi="SimSun" w:eastAsia="SimSun" w:cs="SimSun"/>
          <w:b w:val="0"/>
          <w:bCs w:val="0"/>
          <w:sz w:val="24"/>
          <w:szCs w:val="24"/>
          <w:u w:val="none"/>
        </w:rPr>
        <w:fldChar w:fldCharType="separate"/>
      </w:r>
      <w:r>
        <w:rPr>
          <w:rStyle w:val="15"/>
          <w:rFonts w:hint="default" w:ascii="Calibri" w:hAnsi="Calibri" w:eastAsia="SimSun" w:cs="Calibri"/>
          <w:b/>
          <w:bCs/>
          <w:i w:val="0"/>
          <w:iCs w:val="0"/>
          <w:color w:val="000000"/>
          <w:sz w:val="22"/>
          <w:szCs w:val="22"/>
          <w:u w:val="none"/>
          <w:vertAlign w:val="baseline"/>
        </w:rPr>
        <w:t xml:space="preserve"> </w:t>
      </w:r>
      <w:r>
        <w:rPr>
          <w:rStyle w:val="15"/>
          <w:rFonts w:hint="default" w:ascii="Calibri" w:hAnsi="Calibri" w:eastAsia="SimSun" w:cs="Calibri"/>
          <w:b/>
          <w:bCs/>
          <w:i w:val="0"/>
          <w:iCs w:val="0"/>
          <w:color w:val="0000FF"/>
          <w:sz w:val="22"/>
          <w:szCs w:val="22"/>
          <w:u w:val="single"/>
          <w:vertAlign w:val="baseline"/>
        </w:rPr>
        <w:t>www.uff.br/licitacoes</w:t>
      </w:r>
      <w:r>
        <w:rPr>
          <w:rFonts w:ascii="SimSun" w:hAnsi="SimSun" w:eastAsia="SimSun" w:cs="SimSun"/>
          <w:b w:val="0"/>
          <w:bCs w:val="0"/>
          <w:sz w:val="24"/>
          <w:szCs w:val="24"/>
          <w:u w:val="none"/>
        </w:rPr>
        <w:fldChar w:fldCharType="end"/>
      </w:r>
      <w:r>
        <w:rPr>
          <w:rFonts w:hint="default" w:ascii="Calibri" w:hAnsi="Calibri" w:eastAsia="SimSun" w:cs="Calibri"/>
          <w:b/>
          <w:bCs/>
          <w:i w:val="0"/>
          <w:iCs w:val="0"/>
          <w:color w:val="000000"/>
          <w:sz w:val="22"/>
          <w:szCs w:val="22"/>
          <w:u w:val="none"/>
          <w:vertAlign w:val="baseline"/>
        </w:rPr>
        <w:t xml:space="preserve"> &gt;</w:t>
      </w:r>
      <w:r>
        <w:rPr>
          <w:color w:val="000000"/>
        </w:rPr>
        <w:t>.</w:t>
      </w:r>
    </w:p>
    <w:p>
      <w:pPr>
        <w:pStyle w:val="4"/>
        <w:numPr>
          <w:ilvl w:val="1"/>
          <w:numId w:val="23"/>
        </w:numPr>
        <w:spacing w:before="120" w:after="120" w:line="276" w:lineRule="auto"/>
        <w:ind w:left="425" w:firstLine="0"/>
        <w:jc w:val="both"/>
        <w:rPr>
          <w:color w:val="000000"/>
        </w:rPr>
      </w:pPr>
      <w:r>
        <w:rPr>
          <w:color w:val="000000"/>
        </w:rPr>
        <w:t>Integram este Edital, para todos os fins e efeitos, os seguintes anexos:</w:t>
      </w:r>
    </w:p>
    <w:p>
      <w:pPr>
        <w:pStyle w:val="4"/>
        <w:numPr>
          <w:ilvl w:val="2"/>
          <w:numId w:val="23"/>
        </w:numPr>
        <w:spacing w:before="120" w:after="120" w:line="276" w:lineRule="auto"/>
        <w:jc w:val="both"/>
        <w:rPr>
          <w:color w:val="000000"/>
        </w:rPr>
      </w:pPr>
      <w:r>
        <w:rPr>
          <w:color w:val="000000"/>
        </w:rPr>
        <w:t>ANEXO I - Termo de Referência;</w:t>
      </w:r>
    </w:p>
    <w:p>
      <w:pPr>
        <w:pStyle w:val="4"/>
        <w:numPr>
          <w:ilvl w:val="2"/>
          <w:numId w:val="23"/>
        </w:numPr>
        <w:spacing w:before="120" w:after="120" w:line="276" w:lineRule="auto"/>
        <w:jc w:val="both"/>
      </w:pPr>
      <w:r>
        <w:t xml:space="preserve">ANEXO II - </w:t>
      </w:r>
      <w:r>
        <w:rPr>
          <w:rFonts w:hint="default"/>
          <w:lang w:val="pt-BR"/>
        </w:rPr>
        <w:t>Relação de Postos, Equipamentos, Materiais e Uniformes</w:t>
      </w:r>
      <w:r>
        <w:t>;</w:t>
      </w:r>
    </w:p>
    <w:p>
      <w:pPr>
        <w:pStyle w:val="4"/>
        <w:numPr>
          <w:ilvl w:val="2"/>
          <w:numId w:val="23"/>
        </w:numPr>
        <w:spacing w:before="120" w:after="120" w:line="276" w:lineRule="auto"/>
        <w:jc w:val="both"/>
      </w:pPr>
      <w:r>
        <w:t xml:space="preserve">ANEXO III </w:t>
      </w:r>
      <w:r>
        <w:rPr>
          <w:rFonts w:hint="default"/>
          <w:lang w:val="pt-BR"/>
        </w:rPr>
        <w:t>e IV - Planilha de Formação de Custos;</w:t>
      </w:r>
    </w:p>
    <w:p>
      <w:pPr>
        <w:pStyle w:val="4"/>
        <w:numPr>
          <w:ilvl w:val="2"/>
          <w:numId w:val="23"/>
        </w:numPr>
        <w:spacing w:before="120" w:after="120" w:line="276" w:lineRule="auto"/>
        <w:jc w:val="both"/>
      </w:pPr>
      <w:r>
        <w:t xml:space="preserve">ANEXO V-A - Modelo </w:t>
      </w:r>
      <w:r>
        <w:rPr>
          <w:rFonts w:hint="default"/>
          <w:lang w:val="pt-BR"/>
        </w:rPr>
        <w:t xml:space="preserve">de </w:t>
      </w:r>
      <w:r>
        <w:t>Proposta Comercial</w:t>
      </w:r>
      <w:r>
        <w:rPr>
          <w:rFonts w:hint="default"/>
          <w:lang w:val="pt-BR"/>
        </w:rPr>
        <w:t xml:space="preserve"> e Declarações</w:t>
      </w:r>
      <w:r>
        <w:t>;</w:t>
      </w:r>
    </w:p>
    <w:p>
      <w:pPr>
        <w:pStyle w:val="4"/>
        <w:numPr>
          <w:ilvl w:val="2"/>
          <w:numId w:val="23"/>
        </w:numPr>
        <w:spacing w:before="120" w:after="120" w:line="276" w:lineRule="auto"/>
        <w:ind w:left="1700" w:hanging="850"/>
        <w:jc w:val="both"/>
        <w:rPr>
          <w:color w:val="000000"/>
        </w:rPr>
      </w:pPr>
      <w:r>
        <w:t>ANEXO V-B - Modelo de Declaração de Vistoria;</w:t>
      </w:r>
    </w:p>
    <w:p>
      <w:pPr>
        <w:pStyle w:val="4"/>
        <w:numPr>
          <w:ilvl w:val="2"/>
          <w:numId w:val="23"/>
        </w:numPr>
        <w:spacing w:before="120" w:after="120" w:line="276" w:lineRule="auto"/>
        <w:ind w:left="1700" w:hanging="850"/>
        <w:jc w:val="both"/>
        <w:rPr>
          <w:color w:val="000000"/>
        </w:rPr>
      </w:pPr>
      <w:r>
        <w:rPr>
          <w:rFonts w:hint="default"/>
          <w:lang w:val="pt-BR"/>
        </w:rPr>
        <w:t>ANEXO VI - Termo de Conciliação Judicial;</w:t>
      </w:r>
    </w:p>
    <w:p>
      <w:pPr>
        <w:pStyle w:val="4"/>
        <w:numPr>
          <w:ilvl w:val="2"/>
          <w:numId w:val="23"/>
        </w:numPr>
        <w:spacing w:before="120" w:after="120" w:line="276" w:lineRule="auto"/>
        <w:ind w:left="1700" w:hanging="850"/>
        <w:jc w:val="both"/>
      </w:pPr>
      <w:r>
        <w:t>ANEXO V</w:t>
      </w:r>
      <w:r>
        <w:rPr>
          <w:rFonts w:hint="default"/>
          <w:lang w:val="pt-BR"/>
        </w:rPr>
        <w:t>I</w:t>
      </w:r>
      <w:r>
        <w:t>I - Minuta do Termo de Contrato;</w:t>
      </w:r>
    </w:p>
    <w:p>
      <w:pPr>
        <w:pStyle w:val="4"/>
        <w:numPr>
          <w:ilvl w:val="2"/>
          <w:numId w:val="23"/>
        </w:numPr>
        <w:spacing w:before="120" w:after="120" w:line="276" w:lineRule="auto"/>
        <w:ind w:left="1700" w:hanging="850"/>
        <w:jc w:val="both"/>
      </w:pPr>
      <w:r>
        <w:t>ANEXO VIII - Índice de Medição de Resultado;</w:t>
      </w:r>
    </w:p>
    <w:p>
      <w:pPr>
        <w:pStyle w:val="4"/>
        <w:numPr>
          <w:ilvl w:val="2"/>
          <w:numId w:val="23"/>
        </w:numPr>
        <w:spacing w:before="120" w:after="120" w:line="276" w:lineRule="auto"/>
        <w:ind w:left="1700" w:hanging="850"/>
        <w:jc w:val="both"/>
      </w:pPr>
      <w:r>
        <w:t xml:space="preserve">ANEXO IX - </w:t>
      </w:r>
      <w:r>
        <w:rPr>
          <w:rFonts w:hint="default"/>
          <w:lang w:val="pt-BR"/>
        </w:rPr>
        <w:t>Memória de Cálculo</w:t>
      </w:r>
      <w:r>
        <w:t>;</w:t>
      </w:r>
    </w:p>
    <w:p>
      <w:pPr>
        <w:pStyle w:val="4"/>
        <w:numPr>
          <w:ilvl w:val="2"/>
          <w:numId w:val="23"/>
        </w:numPr>
        <w:spacing w:before="120" w:after="120" w:line="276" w:lineRule="auto"/>
        <w:ind w:left="1700" w:hanging="850"/>
        <w:jc w:val="both"/>
      </w:pPr>
      <w:r>
        <w:t xml:space="preserve">ANEXO X - CCT </w:t>
      </w:r>
      <w:r>
        <w:rPr>
          <w:rFonts w:hint="default"/>
          <w:lang w:val="pt-BR"/>
        </w:rPr>
        <w:t>RJ</w:t>
      </w:r>
      <w:r>
        <w:t xml:space="preserve"> </w:t>
      </w:r>
      <w:r>
        <w:rPr>
          <w:rFonts w:hint="default"/>
          <w:lang w:val="pt-BR"/>
        </w:rPr>
        <w:t>000597/2022;</w:t>
      </w:r>
    </w:p>
    <w:p>
      <w:pPr>
        <w:pStyle w:val="4"/>
        <w:numPr>
          <w:ilvl w:val="2"/>
          <w:numId w:val="23"/>
        </w:numPr>
        <w:spacing w:before="120" w:after="120" w:line="276" w:lineRule="auto"/>
        <w:ind w:left="1700" w:hanging="850"/>
        <w:jc w:val="both"/>
      </w:pPr>
      <w:r>
        <w:t>ANEXO XI - Termo de Cooperação Técnica e anexos</w:t>
      </w:r>
    </w:p>
    <w:p>
      <w:pPr>
        <w:pStyle w:val="4"/>
        <w:spacing w:after="120" w:line="276" w:lineRule="auto"/>
        <w:ind w:left="1570"/>
        <w:jc w:val="both"/>
        <w:rPr>
          <w:color w:val="FF0000"/>
        </w:rPr>
      </w:pPr>
    </w:p>
    <w:p>
      <w:pPr>
        <w:pStyle w:val="4"/>
        <w:spacing w:before="120" w:after="120" w:line="276" w:lineRule="auto"/>
        <w:jc w:val="both"/>
        <w:rPr>
          <w:color w:val="000000"/>
        </w:rPr>
      </w:pPr>
    </w:p>
    <w:p>
      <w:pPr>
        <w:pStyle w:val="4"/>
        <w:spacing w:before="120" w:after="120" w:line="276" w:lineRule="auto"/>
        <w:jc w:val="center"/>
        <w:rPr>
          <w:rFonts w:hint="default"/>
          <w:lang w:val="pt-BR"/>
        </w:rPr>
      </w:pPr>
      <w:r>
        <w:t xml:space="preserve">Niterói, </w:t>
      </w:r>
      <w:r>
        <w:rPr>
          <w:rFonts w:hint="default"/>
          <w:lang w:val="pt-BR"/>
        </w:rPr>
        <w:t>04 de maio de 2022.</w:t>
      </w:r>
    </w:p>
    <w:p>
      <w:pPr>
        <w:pStyle w:val="4"/>
        <w:spacing w:before="120" w:after="120" w:line="276" w:lineRule="auto"/>
        <w:jc w:val="center"/>
      </w:pPr>
      <w:r>
        <w:t>CLI/PROAD/UFF</w:t>
      </w:r>
    </w:p>
    <w:sectPr>
      <w:headerReference r:id="rId3" w:type="default"/>
      <w:footerReference r:id="rId4" w:type="default"/>
      <w:pgSz w:w="11906" w:h="16838"/>
      <w:pgMar w:top="1418" w:right="1134" w:bottom="1418" w:left="1701" w:header="709" w:footer="709" w:gutter="0"/>
      <w:pgNumType w:start="1"/>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right" w:pos="8504"/>
      </w:tabs>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w:t>
    </w:r>
  </w:p>
  <w:p>
    <w:pPr>
      <w:pStyle w:val="4"/>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pPr>
      <w:pStyle w:val="4"/>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pPr>
      <w:pStyle w:val="4"/>
      <w:tabs>
        <w:tab w:val="center" w:pos="4252"/>
        <w:tab w:val="right" w:pos="8504"/>
      </w:tabs>
      <w:rPr>
        <w:color w:val="000000"/>
      </w:rPr>
    </w:pPr>
    <w:r>
      <w:rPr>
        <w:color w:val="000000"/>
        <w:sz w:val="12"/>
        <w:szCs w:val="12"/>
      </w:rPr>
      <w:t>Atualização: Dezembro/2019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right" w:pos="8504"/>
      </w:tabs>
      <w:jc w:val="right"/>
      <w:rPr>
        <w:rFonts w:hint="default"/>
        <w:color w:val="000000"/>
        <w:lang w:val="pt-BR"/>
      </w:rPr>
    </w:pPr>
    <w:r>
      <w:rPr>
        <w:lang w:eastAsia="pt-BR" w:bidi="ar-SA"/>
      </w:rPr>
      <w:drawing>
        <wp:inline distT="0" distB="0" distL="0" distR="0">
          <wp:extent cx="289560" cy="15748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noChangeArrowheads="1"/>
                  </pic:cNvPicPr>
                </pic:nvPicPr>
                <pic:blipFill>
                  <a:blip r:embed="rId1"/>
                  <a:stretch>
                    <a:fillRect/>
                  </a:stretch>
                </pic:blipFill>
                <pic:spPr>
                  <a:xfrm>
                    <a:off x="0" y="0"/>
                    <a:ext cx="289560" cy="157480"/>
                  </a:xfrm>
                  <a:prstGeom prst="rect">
                    <a:avLst/>
                  </a:prstGeom>
                </pic:spPr>
              </pic:pic>
            </a:graphicData>
          </a:graphic>
        </wp:inline>
      </w:drawing>
    </w:r>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23069.154035/2022-92 </w:t>
    </w:r>
  </w:p>
  <w:p>
    <w:pPr>
      <w:pStyle w:val="4"/>
      <w:tabs>
        <w:tab w:val="center" w:pos="4252"/>
        <w:tab w:val="right" w:pos="8504"/>
      </w:tabs>
      <w:jc w:val="right"/>
      <w:rPr>
        <w:rFonts w:ascii="Verdana" w:hAnsi="Verdana" w:eastAsia="Verdana" w:cs="Verdana"/>
        <w:color w:val="000000"/>
        <w:sz w:val="16"/>
        <w:szCs w:val="16"/>
      </w:rPr>
    </w:pPr>
  </w:p>
  <w:p>
    <w:pPr>
      <w:pStyle w:val="4"/>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64B41"/>
    <w:multiLevelType w:val="multilevel"/>
    <w:tmpl w:val="02064B41"/>
    <w:lvl w:ilvl="0" w:tentative="0">
      <w:start w:val="1"/>
      <w:numFmt w:val="decimal"/>
      <w:lvlText w:val="%1."/>
      <w:lvlJc w:val="left"/>
      <w:pPr>
        <w:ind w:left="360" w:hanging="360"/>
      </w:pPr>
      <w:rPr>
        <w:b/>
      </w:rPr>
    </w:lvl>
    <w:lvl w:ilvl="1" w:tentative="0">
      <w:start w:val="1"/>
      <w:numFmt w:val="decimal"/>
      <w:lvlText w:val="%1.%2."/>
      <w:lvlJc w:val="left"/>
      <w:pPr>
        <w:ind w:left="1141" w:hanging="432"/>
      </w:pPr>
      <w:rPr>
        <w:rFonts w:ascii="Arial" w:hAnsi="Arial" w:eastAsia="Arial" w:cs="Arial"/>
        <w:b w:val="0"/>
        <w:sz w:val="2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7974BC8"/>
    <w:multiLevelType w:val="multilevel"/>
    <w:tmpl w:val="07974BC8"/>
    <w:lvl w:ilvl="0" w:tentative="0">
      <w:start w:val="10"/>
      <w:numFmt w:val="decimal"/>
      <w:lvlText w:val="%1"/>
      <w:lvlJc w:val="left"/>
      <w:pPr>
        <w:ind w:left="360" w:hanging="360"/>
      </w:pPr>
    </w:lvl>
    <w:lvl w:ilvl="1" w:tentative="0">
      <w:start w:val="1"/>
      <w:numFmt w:val="decimal"/>
      <w:lvlText w:val="%1.%2"/>
      <w:lvlJc w:val="left"/>
      <w:pPr>
        <w:ind w:left="785" w:hanging="360"/>
      </w:pPr>
      <w:rPr>
        <w:rFonts w:eastAsia="Arial" w:cs="Arial"/>
        <w:b/>
        <w:color w:val="000000"/>
        <w:sz w:val="2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0A120F3E"/>
    <w:multiLevelType w:val="multilevel"/>
    <w:tmpl w:val="0A120F3E"/>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rFonts w:ascii="Arial" w:hAnsi="Arial"/>
        <w:b w:val="0"/>
        <w:color w:val="000000"/>
        <w:sz w:val="2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3">
    <w:nsid w:val="0AD37F6B"/>
    <w:multiLevelType w:val="multilevel"/>
    <w:tmpl w:val="0AD37F6B"/>
    <w:lvl w:ilvl="0" w:tentative="0">
      <w:start w:val="21"/>
      <w:numFmt w:val="decimal"/>
      <w:lvlText w:val="%1"/>
      <w:lvlJc w:val="left"/>
      <w:pPr>
        <w:ind w:left="375" w:hanging="375"/>
      </w:pPr>
      <w:rPr>
        <w:rFonts w:ascii="Arial" w:hAnsi="Arial"/>
        <w:b/>
        <w:color w:val="000000"/>
        <w:sz w:val="20"/>
      </w:r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FC076E5"/>
    <w:multiLevelType w:val="multilevel"/>
    <w:tmpl w:val="0FC076E5"/>
    <w:lvl w:ilvl="0" w:tentative="0">
      <w:start w:val="21"/>
      <w:numFmt w:val="decimal"/>
      <w:lvlText w:val="%1"/>
      <w:lvlJc w:val="left"/>
      <w:pPr>
        <w:ind w:left="360" w:hanging="360"/>
      </w:pPr>
      <w:rPr>
        <w:rFonts w:ascii="Arial" w:hAnsi="Arial"/>
        <w:b/>
        <w:color w:val="000000"/>
        <w:sz w:val="20"/>
      </w:r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5">
    <w:nsid w:val="0FD4741C"/>
    <w:multiLevelType w:val="multilevel"/>
    <w:tmpl w:val="0FD4741C"/>
    <w:lvl w:ilvl="0" w:tentative="0">
      <w:start w:val="1"/>
      <w:numFmt w:val="decimal"/>
      <w:lvlText w:val="%1."/>
      <w:lvlJc w:val="left"/>
      <w:pPr>
        <w:ind w:left="360" w:hanging="360"/>
      </w:pPr>
      <w:rPr>
        <w:rFonts w:ascii="Arial" w:hAnsi="Arial"/>
        <w:b/>
        <w:sz w:val="20"/>
      </w:rPr>
    </w:lvl>
    <w:lvl w:ilvl="1" w:tentative="0">
      <w:start w:val="1"/>
      <w:numFmt w:val="decimal"/>
      <w:lvlText w:val="%1.%2."/>
      <w:lvlJc w:val="left"/>
      <w:pPr>
        <w:ind w:left="1141" w:hanging="432"/>
      </w:pPr>
      <w:rPr>
        <w:rFonts w:eastAsia="Arial" w:cs="Arial"/>
        <w:b w:val="0"/>
      </w:rPr>
    </w:lvl>
    <w:lvl w:ilvl="2" w:tentative="0">
      <w:start w:val="1"/>
      <w:numFmt w:val="decimal"/>
      <w:lvlText w:val="%1.%2.%3"/>
      <w:lvlJc w:val="left"/>
      <w:pPr>
        <w:ind w:left="1922" w:hanging="504"/>
      </w:pPr>
      <w:rPr>
        <w:rFonts w:ascii="Arial" w:hAnsi="Arial"/>
        <w:b w:val="0"/>
        <w:color w:val="000000"/>
        <w:sz w:val="2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123534A9"/>
    <w:multiLevelType w:val="multilevel"/>
    <w:tmpl w:val="123534A9"/>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7">
    <w:nsid w:val="14855EA1"/>
    <w:multiLevelType w:val="multilevel"/>
    <w:tmpl w:val="14855EA1"/>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8">
    <w:nsid w:val="1F9552A4"/>
    <w:multiLevelType w:val="multilevel"/>
    <w:tmpl w:val="1F9552A4"/>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b w:val="0"/>
        <w:i w:val="0"/>
        <w:color w:val="000000"/>
        <w:sz w:val="20"/>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9">
    <w:nsid w:val="285B6211"/>
    <w:multiLevelType w:val="multilevel"/>
    <w:tmpl w:val="285B6211"/>
    <w:lvl w:ilvl="0" w:tentative="0">
      <w:start w:val="4"/>
      <w:numFmt w:val="decimal"/>
      <w:lvlText w:val="%1."/>
      <w:lvlJc w:val="left"/>
      <w:pPr>
        <w:ind w:left="360" w:hanging="360"/>
      </w:pPr>
      <w:rPr>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87B1FB5"/>
    <w:multiLevelType w:val="multilevel"/>
    <w:tmpl w:val="287B1FB5"/>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1">
    <w:nsid w:val="2FC43298"/>
    <w:multiLevelType w:val="multilevel"/>
    <w:tmpl w:val="2FC43298"/>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2">
    <w:nsid w:val="3A7B354F"/>
    <w:multiLevelType w:val="multilevel"/>
    <w:tmpl w:val="3A7B354F"/>
    <w:lvl w:ilvl="0" w:tentative="0">
      <w:start w:val="9"/>
      <w:numFmt w:val="decimal"/>
      <w:lvlText w:val="%1"/>
      <w:lvlJc w:val="left"/>
      <w:pPr>
        <w:ind w:left="360" w:hanging="360"/>
      </w:pPr>
    </w:lvl>
    <w:lvl w:ilvl="1" w:tentative="0">
      <w:start w:val="8"/>
      <w:numFmt w:val="decimal"/>
      <w:lvlText w:val="%1.%2"/>
      <w:lvlJc w:val="left"/>
      <w:pPr>
        <w:ind w:left="927" w:hanging="360"/>
      </w:pPr>
      <w:rPr>
        <w:b/>
      </w:rPr>
    </w:lvl>
    <w:lvl w:ilvl="2" w:tentative="0">
      <w:start w:val="1"/>
      <w:numFmt w:val="decimal"/>
      <w:lvlText w:val="%1.%2.%3"/>
      <w:lvlJc w:val="left"/>
      <w:pPr>
        <w:ind w:left="2280" w:hanging="720"/>
      </w:pPr>
      <w:rPr>
        <w:rFonts w:ascii="Arial" w:hAnsi="Arial"/>
        <w:b w:val="0"/>
        <w:i w:val="0"/>
        <w:color w:val="000000"/>
        <w:sz w:val="20"/>
      </w:rPr>
    </w:lvl>
    <w:lvl w:ilvl="3" w:tentative="0">
      <w:start w:val="1"/>
      <w:numFmt w:val="decimal"/>
      <w:lvlText w:val="%1.%2.%3.%4"/>
      <w:lvlJc w:val="left"/>
      <w:pPr>
        <w:ind w:left="2422" w:hanging="720"/>
      </w:pPr>
    </w:lvl>
    <w:lvl w:ilvl="4" w:tentative="0">
      <w:start w:val="1"/>
      <w:numFmt w:val="decimal"/>
      <w:lvlText w:val="%1.%2.%3.%4.%5"/>
      <w:lvlJc w:val="left"/>
      <w:pPr>
        <w:ind w:left="3348" w:hanging="1080"/>
      </w:pPr>
      <w:rPr>
        <w:sz w:val="20"/>
        <w:szCs w:val="20"/>
      </w:r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455E7CB9"/>
    <w:multiLevelType w:val="multilevel"/>
    <w:tmpl w:val="455E7CB9"/>
    <w:lvl w:ilvl="0" w:tentative="0">
      <w:start w:val="3"/>
      <w:numFmt w:val="decimal"/>
      <w:lvlText w:val="%1."/>
      <w:lvlJc w:val="left"/>
      <w:pPr>
        <w:ind w:left="360" w:hanging="360"/>
      </w:pPr>
      <w:rPr>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4E240FD0"/>
    <w:multiLevelType w:val="multilevel"/>
    <w:tmpl w:val="4E240FD0"/>
    <w:lvl w:ilvl="0" w:tentative="0">
      <w:start w:val="15"/>
      <w:numFmt w:val="decimal"/>
      <w:lvlText w:val="%1"/>
      <w:lvlJc w:val="left"/>
      <w:pPr>
        <w:ind w:left="360" w:hanging="360"/>
      </w:pPr>
      <w:rPr>
        <w:rFonts w:ascii="Arial" w:hAnsi="Arial"/>
        <w:b/>
        <w:color w:val="000000"/>
        <w:sz w:val="20"/>
      </w:rPr>
    </w:lvl>
    <w:lvl w:ilvl="1" w:tentative="0">
      <w:start w:val="1"/>
      <w:numFmt w:val="decimal"/>
      <w:lvlText w:val="%1.%2"/>
      <w:lvlJc w:val="left"/>
      <w:pPr>
        <w:ind w:left="785" w:hanging="360"/>
      </w:pPr>
      <w:rPr>
        <w:rFonts w:ascii="Arial" w:hAnsi="Arial"/>
        <w:b w:val="0"/>
        <w:sz w:val="2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5">
    <w:nsid w:val="4F6929BF"/>
    <w:multiLevelType w:val="multilevel"/>
    <w:tmpl w:val="4F6929B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03A79EA"/>
    <w:multiLevelType w:val="multilevel"/>
    <w:tmpl w:val="503A79EA"/>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rFonts w:ascii="Arial" w:hAnsi="Arial"/>
        <w:b w:val="0"/>
        <w:color w:val="000000"/>
        <w:sz w:val="20"/>
      </w:rPr>
    </w:lvl>
    <w:lvl w:ilvl="3" w:tentative="0">
      <w:start w:val="1"/>
      <w:numFmt w:val="decimal"/>
      <w:lvlText w:val="%1.%2.%3.%4"/>
      <w:lvlJc w:val="left"/>
      <w:pPr>
        <w:ind w:left="2208" w:hanging="720"/>
      </w:pPr>
      <w:rPr>
        <w:rFonts w:ascii="Arial" w:hAnsi="Arial"/>
        <w:b w:val="0"/>
        <w:i w:val="0"/>
        <w:color w:val="000000"/>
        <w:sz w:val="20"/>
      </w:rPr>
    </w:lvl>
    <w:lvl w:ilvl="4" w:tentative="0">
      <w:start w:val="1"/>
      <w:numFmt w:val="decimal"/>
      <w:lvlText w:val="%1.%2.%3.%4.%5"/>
      <w:lvlJc w:val="left"/>
      <w:pPr>
        <w:ind w:left="3064" w:hanging="1080"/>
      </w:pPr>
      <w:rPr>
        <w:rFonts w:ascii="Arial" w:hAnsi="Arial"/>
        <w:b w:val="0"/>
        <w:color w:val="000000"/>
        <w:sz w:val="2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7">
    <w:nsid w:val="52235A3C"/>
    <w:multiLevelType w:val="multilevel"/>
    <w:tmpl w:val="52235A3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8">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9">
    <w:nsid w:val="56C179D0"/>
    <w:multiLevelType w:val="multilevel"/>
    <w:tmpl w:val="56C179D0"/>
    <w:lvl w:ilvl="0" w:tentative="0">
      <w:start w:val="4"/>
      <w:numFmt w:val="decimal"/>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rFonts w:ascii="Arial" w:hAnsi="Arial" w:eastAsia="Arial" w:cs="Arial"/>
        <w:b w:val="0"/>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20">
    <w:nsid w:val="59567E9B"/>
    <w:multiLevelType w:val="multilevel"/>
    <w:tmpl w:val="59567E9B"/>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21">
    <w:nsid w:val="65AB1F7C"/>
    <w:multiLevelType w:val="multilevel"/>
    <w:tmpl w:val="65AB1F7C"/>
    <w:lvl w:ilvl="0" w:tentative="0">
      <w:start w:val="8"/>
      <w:numFmt w:val="decimal"/>
      <w:lvlText w:val="%1"/>
      <w:lvlJc w:val="left"/>
      <w:pPr>
        <w:ind w:left="540" w:hanging="540"/>
      </w:pPr>
    </w:lvl>
    <w:lvl w:ilvl="1" w:tentative="0">
      <w:start w:val="7"/>
      <w:numFmt w:val="decimal"/>
      <w:lvlText w:val="%1.%2"/>
      <w:lvlJc w:val="left"/>
      <w:pPr>
        <w:ind w:left="1036" w:hanging="540"/>
      </w:pPr>
      <w:rPr>
        <w:i w:val="0"/>
        <w:color w:val="000000"/>
      </w:r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7B3D1798"/>
    <w:multiLevelType w:val="multilevel"/>
    <w:tmpl w:val="7B3D1798"/>
    <w:lvl w:ilvl="0" w:tentative="0">
      <w:start w:val="6"/>
      <w:numFmt w:val="decimal"/>
      <w:lvlText w:val="%1."/>
      <w:lvlJc w:val="left"/>
      <w:pPr>
        <w:ind w:left="360" w:hanging="360"/>
      </w:pPr>
      <w:rPr>
        <w:rFonts w:ascii="Arial" w:hAnsi="Arial"/>
        <w:b/>
        <w:sz w:val="20"/>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8"/>
  </w:num>
  <w:num w:numId="2">
    <w:abstractNumId w:val="5"/>
  </w:num>
  <w:num w:numId="3">
    <w:abstractNumId w:val="0"/>
  </w:num>
  <w:num w:numId="4">
    <w:abstractNumId w:val="13"/>
  </w:num>
  <w:num w:numId="5">
    <w:abstractNumId w:val="9"/>
  </w:num>
  <w:num w:numId="6">
    <w:abstractNumId w:val="8"/>
  </w:num>
  <w:num w:numId="7">
    <w:abstractNumId w:val="15"/>
  </w:num>
  <w:num w:numId="8">
    <w:abstractNumId w:val="19"/>
  </w:num>
  <w:num w:numId="9">
    <w:abstractNumId w:val="22"/>
  </w:num>
  <w:num w:numId="10">
    <w:abstractNumId w:val="7"/>
  </w:num>
  <w:num w:numId="11">
    <w:abstractNumId w:val="10"/>
  </w:num>
  <w:num w:numId="12">
    <w:abstractNumId w:val="16"/>
  </w:num>
  <w:num w:numId="13">
    <w:abstractNumId w:val="20"/>
  </w:num>
  <w:num w:numId="14">
    <w:abstractNumId w:val="21"/>
  </w:num>
  <w:num w:numId="15">
    <w:abstractNumId w:val="6"/>
  </w:num>
  <w:num w:numId="16">
    <w:abstractNumId w:val="11"/>
  </w:num>
  <w:num w:numId="17">
    <w:abstractNumId w:val="17"/>
  </w:num>
  <w:num w:numId="18">
    <w:abstractNumId w:val="2"/>
  </w:num>
  <w:num w:numId="19">
    <w:abstractNumId w:val="12"/>
  </w:num>
  <w:num w:numId="20">
    <w:abstractNumId w:val="1"/>
  </w:num>
  <w:num w:numId="21">
    <w:abstractNumId w:val="1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
  <w:rsids>
    <w:rsidRoot w:val="00AC10F5"/>
    <w:rsid w:val="006174AE"/>
    <w:rsid w:val="007E5DEC"/>
    <w:rsid w:val="00884891"/>
    <w:rsid w:val="00AC10F5"/>
    <w:rsid w:val="0A2F0D58"/>
    <w:rsid w:val="0BD95914"/>
    <w:rsid w:val="166F484D"/>
    <w:rsid w:val="180D6C2E"/>
    <w:rsid w:val="1CC347AA"/>
    <w:rsid w:val="21430A23"/>
    <w:rsid w:val="214F227D"/>
    <w:rsid w:val="2DCD6B9A"/>
    <w:rsid w:val="33072028"/>
    <w:rsid w:val="332B38B5"/>
    <w:rsid w:val="3AF24635"/>
    <w:rsid w:val="42497A16"/>
    <w:rsid w:val="43EC7F1E"/>
    <w:rsid w:val="45217FC9"/>
    <w:rsid w:val="485E592A"/>
    <w:rsid w:val="538A76AA"/>
    <w:rsid w:val="561D5D92"/>
    <w:rsid w:val="5C42640C"/>
    <w:rsid w:val="6C771318"/>
    <w:rsid w:val="72B0266E"/>
    <w:rsid w:val="76F0071D"/>
    <w:rsid w:val="777017AF"/>
    <w:rsid w:val="7C5C2305"/>
    <w:rsid w:val="7EB60640"/>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4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4"/>
    <w:next w:val="4"/>
    <w:link w:val="31"/>
    <w:qFormat/>
    <w:uiPriority w:val="0"/>
    <w:pPr>
      <w:keepNext/>
      <w:tabs>
        <w:tab w:val="left" w:pos="1701"/>
      </w:tabs>
      <w:ind w:right="-1"/>
      <w:jc w:val="center"/>
      <w:outlineLvl w:val="1"/>
    </w:pPr>
    <w:rPr>
      <w:rFonts w:ascii="Times New Roman" w:hAnsi="Times New Roman" w:cs="Times New Roman"/>
      <w:b/>
      <w:color w:val="000000"/>
    </w:rPr>
  </w:style>
  <w:style w:type="paragraph" w:styleId="5">
    <w:name w:val="heading 3"/>
    <w:basedOn w:val="4"/>
    <w:next w:val="4"/>
    <w:qFormat/>
    <w:uiPriority w:val="0"/>
    <w:pPr>
      <w:keepNext/>
      <w:keepLines/>
      <w:spacing w:before="280" w:after="80"/>
      <w:outlineLvl w:val="2"/>
    </w:pPr>
    <w:rPr>
      <w:b/>
      <w:sz w:val="28"/>
      <w:szCs w:val="28"/>
    </w:rPr>
  </w:style>
  <w:style w:type="paragraph" w:styleId="6">
    <w:name w:val="heading 4"/>
    <w:basedOn w:val="4"/>
    <w:next w:val="4"/>
    <w:qFormat/>
    <w:uiPriority w:val="0"/>
    <w:pPr>
      <w:keepNext/>
      <w:keepLines/>
      <w:spacing w:before="240" w:after="40"/>
      <w:outlineLvl w:val="3"/>
    </w:pPr>
    <w:rPr>
      <w:b/>
      <w:sz w:val="24"/>
      <w:szCs w:val="24"/>
    </w:rPr>
  </w:style>
  <w:style w:type="paragraph" w:styleId="7">
    <w:name w:val="heading 5"/>
    <w:basedOn w:val="4"/>
    <w:next w:val="4"/>
    <w:qFormat/>
    <w:uiPriority w:val="0"/>
    <w:pPr>
      <w:keepNext/>
      <w:keepLines/>
      <w:spacing w:before="220" w:after="40"/>
      <w:outlineLvl w:val="4"/>
    </w:pPr>
    <w:rPr>
      <w:b/>
      <w:sz w:val="22"/>
      <w:szCs w:val="22"/>
    </w:rPr>
  </w:style>
  <w:style w:type="paragraph" w:styleId="8">
    <w:name w:val="heading 6"/>
    <w:basedOn w:val="4"/>
    <w:next w:val="4"/>
    <w:qFormat/>
    <w:uiPriority w:val="0"/>
    <w:pPr>
      <w:keepNext/>
      <w:keepLines/>
      <w:spacing w:before="200" w:after="40"/>
      <w:outlineLvl w:val="5"/>
    </w:pPr>
    <w:rPr>
      <w:b/>
    </w:rPr>
  </w:style>
  <w:style w:type="paragraph" w:styleId="9">
    <w:name w:val="heading 9"/>
    <w:basedOn w:val="4"/>
    <w:next w:val="4"/>
    <w:link w:val="59"/>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4">
    <w:name w:val="LO-normal"/>
    <w:qFormat/>
    <w:uiPriority w:val="0"/>
    <w:rPr>
      <w:rFonts w:ascii="Arial" w:hAnsi="Arial" w:eastAsia="Arial" w:cs="Arial"/>
      <w:lang w:val="pt-BR" w:eastAsia="zh-CN" w:bidi="hi-IN"/>
    </w:rPr>
  </w:style>
  <w:style w:type="character" w:styleId="12">
    <w:name w:val="Strong"/>
    <w:basedOn w:val="10"/>
    <w:qFormat/>
    <w:uiPriority w:val="22"/>
    <w:rPr>
      <w:b/>
      <w:bCs/>
    </w:rPr>
  </w:style>
  <w:style w:type="character" w:styleId="13">
    <w:name w:val="annotation reference"/>
    <w:basedOn w:val="10"/>
    <w:unhideWhenUsed/>
    <w:qFormat/>
    <w:uiPriority w:val="99"/>
    <w:rPr>
      <w:sz w:val="16"/>
      <w:szCs w:val="16"/>
    </w:rPr>
  </w:style>
  <w:style w:type="character" w:styleId="14">
    <w:name w:val="Emphasis"/>
    <w:basedOn w:val="10"/>
    <w:qFormat/>
    <w:uiPriority w:val="20"/>
    <w:rPr>
      <w:i/>
      <w:iCs/>
    </w:rPr>
  </w:style>
  <w:style w:type="character" w:styleId="15">
    <w:name w:val="Hyperlink"/>
    <w:basedOn w:val="10"/>
    <w:semiHidden/>
    <w:unhideWhenUsed/>
    <w:qFormat/>
    <w:uiPriority w:val="99"/>
    <w:rPr>
      <w:color w:val="0000FF"/>
      <w:u w:val="single"/>
    </w:rPr>
  </w:style>
  <w:style w:type="paragraph" w:styleId="16">
    <w:name w:val="List"/>
    <w:basedOn w:val="17"/>
    <w:qFormat/>
    <w:uiPriority w:val="0"/>
    <w:rPr>
      <w:rFonts w:cs="Arial"/>
    </w:rPr>
  </w:style>
  <w:style w:type="paragraph" w:styleId="17">
    <w:name w:val="Body Text"/>
    <w:basedOn w:val="4"/>
    <w:link w:val="55"/>
    <w:unhideWhenUsed/>
    <w:qFormat/>
    <w:uiPriority w:val="99"/>
    <w:pPr>
      <w:spacing w:beforeAutospacing="1" w:afterAutospacing="1"/>
    </w:pPr>
    <w:rPr>
      <w:rFonts w:ascii="Times New Roman" w:hAnsi="Times New Roman" w:cs="Times New Roman"/>
      <w:sz w:val="24"/>
    </w:rPr>
  </w:style>
  <w:style w:type="paragraph" w:styleId="18">
    <w:name w:val="annotation text"/>
    <w:basedOn w:val="4"/>
    <w:link w:val="42"/>
    <w:unhideWhenUsed/>
    <w:qFormat/>
    <w:uiPriority w:val="99"/>
  </w:style>
  <w:style w:type="paragraph" w:styleId="19">
    <w:name w:val="Body Text Indent 2"/>
    <w:basedOn w:val="4"/>
    <w:link w:val="60"/>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20">
    <w:name w:val="Title"/>
    <w:basedOn w:val="4"/>
    <w:next w:val="17"/>
    <w:qFormat/>
    <w:uiPriority w:val="0"/>
    <w:pPr>
      <w:keepNext/>
      <w:keepLines/>
      <w:spacing w:before="480" w:after="120"/>
    </w:pPr>
    <w:rPr>
      <w:b/>
      <w:sz w:val="72"/>
      <w:szCs w:val="72"/>
    </w:rPr>
  </w:style>
  <w:style w:type="paragraph" w:styleId="21">
    <w:name w:val="List Bullet 5"/>
    <w:basedOn w:val="4"/>
    <w:qFormat/>
    <w:uiPriority w:val="0"/>
    <w:pPr>
      <w:contextualSpacing/>
    </w:pPr>
  </w:style>
  <w:style w:type="paragraph" w:styleId="22">
    <w:name w:val="Normal (Web)"/>
    <w:basedOn w:val="4"/>
    <w:qFormat/>
    <w:uiPriority w:val="99"/>
    <w:pPr>
      <w:spacing w:beforeAutospacing="1" w:afterAutospacing="1"/>
    </w:pPr>
    <w:rPr>
      <w:rFonts w:ascii="Times New Roman" w:hAnsi="Times New Roman" w:cs="Times New Roman"/>
    </w:rPr>
  </w:style>
  <w:style w:type="paragraph" w:styleId="23">
    <w:name w:val="header"/>
    <w:basedOn w:val="4"/>
    <w:link w:val="38"/>
    <w:qFormat/>
    <w:uiPriority w:val="99"/>
    <w:pPr>
      <w:tabs>
        <w:tab w:val="center" w:pos="4252"/>
        <w:tab w:val="right" w:pos="8504"/>
      </w:tabs>
    </w:pPr>
  </w:style>
  <w:style w:type="paragraph" w:styleId="24">
    <w:name w:val="annotation subject"/>
    <w:basedOn w:val="18"/>
    <w:next w:val="18"/>
    <w:link w:val="43"/>
    <w:semiHidden/>
    <w:unhideWhenUsed/>
    <w:qFormat/>
    <w:uiPriority w:val="0"/>
    <w:rPr>
      <w:b/>
      <w:bCs/>
    </w:rPr>
  </w:style>
  <w:style w:type="paragraph" w:styleId="25">
    <w:name w:val="footer"/>
    <w:basedOn w:val="4"/>
    <w:link w:val="39"/>
    <w:qFormat/>
    <w:uiPriority w:val="99"/>
    <w:pPr>
      <w:tabs>
        <w:tab w:val="center" w:pos="4252"/>
        <w:tab w:val="right" w:pos="8504"/>
      </w:tabs>
    </w:pPr>
  </w:style>
  <w:style w:type="paragraph" w:styleId="26">
    <w:name w:val="caption"/>
    <w:basedOn w:val="4"/>
    <w:next w:val="1"/>
    <w:qFormat/>
    <w:uiPriority w:val="0"/>
    <w:pPr>
      <w:suppressLineNumbers/>
      <w:spacing w:before="120" w:after="120"/>
    </w:pPr>
    <w:rPr>
      <w:i/>
      <w:iCs/>
      <w:sz w:val="24"/>
      <w:szCs w:val="24"/>
    </w:rPr>
  </w:style>
  <w:style w:type="paragraph" w:styleId="27">
    <w:name w:val="Balloon Text"/>
    <w:basedOn w:val="4"/>
    <w:link w:val="30"/>
    <w:qFormat/>
    <w:uiPriority w:val="99"/>
    <w:rPr>
      <w:rFonts w:ascii="Tahoma" w:hAnsi="Tahoma"/>
      <w:sz w:val="16"/>
      <w:szCs w:val="16"/>
    </w:rPr>
  </w:style>
  <w:style w:type="paragraph" w:styleId="28">
    <w:name w:val="Subtitle"/>
    <w:basedOn w:val="4"/>
    <w:next w:val="4"/>
    <w:qFormat/>
    <w:uiPriority w:val="0"/>
    <w:pPr>
      <w:keepNext/>
      <w:keepLines/>
      <w:spacing w:before="360" w:after="80"/>
    </w:pPr>
    <w:rPr>
      <w:rFonts w:ascii="Georgia" w:hAnsi="Georgia" w:eastAsia="Georgia" w:cs="Georgia"/>
      <w:i/>
      <w:color w:val="666666"/>
      <w:sz w:val="48"/>
      <w:szCs w:val="48"/>
    </w:rPr>
  </w:style>
  <w:style w:type="table" w:styleId="29">
    <w:name w:val="Table Grid"/>
    <w:basedOn w:val="11"/>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Texto de balão Carácter"/>
    <w:link w:val="27"/>
    <w:qFormat/>
    <w:uiPriority w:val="99"/>
    <w:rPr>
      <w:rFonts w:ascii="Tahoma" w:hAnsi="Tahoma" w:cs="Tahoma"/>
      <w:sz w:val="16"/>
      <w:szCs w:val="16"/>
    </w:rPr>
  </w:style>
  <w:style w:type="character" w:customStyle="1" w:styleId="31">
    <w:name w:val="Cabeçalho 2 Carácter"/>
    <w:link w:val="3"/>
    <w:qFormat/>
    <w:uiPriority w:val="0"/>
    <w:rPr>
      <w:b/>
      <w:color w:val="000000"/>
      <w:sz w:val="24"/>
    </w:rPr>
  </w:style>
  <w:style w:type="character" w:customStyle="1" w:styleId="32">
    <w:name w:val="normal__char1"/>
    <w:qFormat/>
    <w:uiPriority w:val="0"/>
    <w:rPr>
      <w:rFonts w:ascii="Arial" w:hAnsi="Arial" w:cs="Arial"/>
      <w:sz w:val="24"/>
      <w:szCs w:val="24"/>
      <w:u w:val="none"/>
    </w:rPr>
  </w:style>
  <w:style w:type="character" w:customStyle="1" w:styleId="33">
    <w:name w:val="apple-style-span"/>
    <w:basedOn w:val="10"/>
    <w:qFormat/>
    <w:uiPriority w:val="0"/>
  </w:style>
  <w:style w:type="character" w:customStyle="1" w:styleId="34">
    <w:name w:val="Link da Internet"/>
    <w:qFormat/>
    <w:uiPriority w:val="0"/>
    <w:rPr>
      <w:color w:val="000080"/>
      <w:u w:val="single"/>
    </w:rPr>
  </w:style>
  <w:style w:type="character" w:customStyle="1" w:styleId="35">
    <w:name w:val="Citação Carácter"/>
    <w:link w:val="36"/>
    <w:qFormat/>
    <w:uiPriority w:val="0"/>
    <w:rPr>
      <w:rFonts w:ascii="Arial" w:hAnsi="Arial" w:eastAsia="Calibri" w:cs="Tahoma"/>
      <w:i/>
      <w:iCs/>
      <w:color w:val="000000"/>
      <w:szCs w:val="24"/>
      <w:shd w:val="clear" w:color="auto" w:fill="FFFFCC"/>
      <w:lang w:eastAsia="en-US"/>
    </w:rPr>
  </w:style>
  <w:style w:type="paragraph" w:styleId="36">
    <w:name w:val="Quote"/>
    <w:basedOn w:val="4"/>
    <w:next w:val="4"/>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7">
    <w:name w:val="citação 2 Char"/>
    <w:basedOn w:val="35"/>
    <w:qFormat/>
    <w:uiPriority w:val="0"/>
    <w:rPr>
      <w:rFonts w:ascii="Arial" w:hAnsi="Arial" w:eastAsia="Calibri" w:cs="Tahoma"/>
      <w:color w:val="000000"/>
      <w:szCs w:val="24"/>
      <w:shd w:val="clear" w:color="auto" w:fill="FFFFCC"/>
      <w:lang w:eastAsia="en-US"/>
    </w:rPr>
  </w:style>
  <w:style w:type="character" w:customStyle="1" w:styleId="38">
    <w:name w:val="Cabeçalho Carácter"/>
    <w:link w:val="23"/>
    <w:qFormat/>
    <w:uiPriority w:val="99"/>
    <w:rPr>
      <w:rFonts w:ascii="Ecofont_Spranq_eco_Sans" w:hAnsi="Ecofont_Spranq_eco_Sans" w:cs="Tahoma"/>
      <w:sz w:val="24"/>
      <w:szCs w:val="24"/>
    </w:rPr>
  </w:style>
  <w:style w:type="character" w:customStyle="1" w:styleId="39">
    <w:name w:val="Rodapé Carácter"/>
    <w:link w:val="25"/>
    <w:qFormat/>
    <w:uiPriority w:val="99"/>
    <w:rPr>
      <w:rFonts w:ascii="Ecofont_Spranq_eco_Sans" w:hAnsi="Ecofont_Spranq_eco_Sans" w:cs="Tahoma"/>
      <w:sz w:val="24"/>
      <w:szCs w:val="24"/>
    </w:rPr>
  </w:style>
  <w:style w:type="character" w:customStyle="1" w:styleId="40">
    <w:name w:val="cp_0020corpodespacho__char1"/>
    <w:qFormat/>
    <w:uiPriority w:val="0"/>
    <w:rPr>
      <w:rFonts w:ascii="Times New Roman" w:hAnsi="Times New Roman" w:cs="Times New Roman"/>
      <w:sz w:val="26"/>
      <w:szCs w:val="26"/>
      <w:u w:val="none"/>
    </w:rPr>
  </w:style>
  <w:style w:type="character" w:customStyle="1" w:styleId="41">
    <w:name w:val="em_0020ementa__char1"/>
    <w:qFormat/>
    <w:uiPriority w:val="0"/>
    <w:rPr>
      <w:rFonts w:ascii="Times New Roman" w:hAnsi="Times New Roman" w:cs="Times New Roman"/>
      <w:sz w:val="28"/>
      <w:szCs w:val="28"/>
      <w:u w:val="none"/>
    </w:rPr>
  </w:style>
  <w:style w:type="character" w:customStyle="1" w:styleId="42">
    <w:name w:val="Texto de comentário Carácter"/>
    <w:basedOn w:val="10"/>
    <w:link w:val="18"/>
    <w:qFormat/>
    <w:uiPriority w:val="99"/>
    <w:rPr>
      <w:rFonts w:ascii="Ecofont_Spranq_eco_Sans" w:hAnsi="Ecofont_Spranq_eco_Sans" w:cs="Tahoma"/>
    </w:rPr>
  </w:style>
  <w:style w:type="character" w:customStyle="1" w:styleId="43">
    <w:name w:val="Assunto de comentário Carácter"/>
    <w:basedOn w:val="42"/>
    <w:link w:val="24"/>
    <w:semiHidden/>
    <w:qFormat/>
    <w:uiPriority w:val="0"/>
    <w:rPr>
      <w:rFonts w:ascii="Ecofont_Spranq_eco_Sans" w:hAnsi="Ecofont_Spranq_eco_Sans" w:cs="Tahoma"/>
      <w:b/>
      <w:bCs/>
    </w:rPr>
  </w:style>
  <w:style w:type="character" w:customStyle="1" w:styleId="44">
    <w:name w:val="Cabeçalho 1 Carácter"/>
    <w:basedOn w:val="10"/>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5">
    <w:name w:val="Nivel 01 Char"/>
    <w:basedOn w:val="44"/>
    <w:link w:val="46"/>
    <w:qFormat/>
    <w:uiPriority w:val="0"/>
    <w:rPr>
      <w:rFonts w:ascii="Arial" w:hAnsi="Arial" w:eastAsiaTheme="majorEastAsia" w:cstheme="majorBidi"/>
      <w:color w:val="000000"/>
      <w:sz w:val="28"/>
      <w:szCs w:val="28"/>
    </w:rPr>
  </w:style>
  <w:style w:type="paragraph" w:customStyle="1" w:styleId="46">
    <w:name w:val="Nivel 01"/>
    <w:basedOn w:val="2"/>
    <w:next w:val="4"/>
    <w:link w:val="45"/>
    <w:qFormat/>
    <w:uiPriority w:val="0"/>
    <w:pPr>
      <w:spacing w:after="120" w:line="276" w:lineRule="auto"/>
      <w:ind w:right="-15"/>
      <w:jc w:val="both"/>
    </w:pPr>
    <w:rPr>
      <w:rFonts w:ascii="Arial" w:hAnsi="Arial" w:cs="Times New Roman"/>
      <w:color w:val="000000"/>
      <w:sz w:val="20"/>
      <w:szCs w:val="20"/>
    </w:rPr>
  </w:style>
  <w:style w:type="character" w:customStyle="1" w:styleId="47">
    <w:name w:val="normaltextrun"/>
    <w:basedOn w:val="10"/>
    <w:qFormat/>
    <w:uiPriority w:val="0"/>
  </w:style>
  <w:style w:type="character" w:customStyle="1" w:styleId="48">
    <w:name w:val="eop"/>
    <w:basedOn w:val="10"/>
    <w:qFormat/>
    <w:uiPriority w:val="0"/>
  </w:style>
  <w:style w:type="character" w:customStyle="1" w:styleId="49">
    <w:name w:val="spellingerror"/>
    <w:basedOn w:val="10"/>
    <w:qFormat/>
    <w:uiPriority w:val="0"/>
  </w:style>
  <w:style w:type="character" w:customStyle="1" w:styleId="50">
    <w:name w:val="Quote Char"/>
    <w:basedOn w:val="10"/>
    <w:link w:val="51"/>
    <w:qFormat/>
    <w:uiPriority w:val="0"/>
    <w:rPr>
      <w:rFonts w:ascii="Ecofont_Spranq_eco_Sans" w:hAnsi="Ecofont_Spranq_eco_Sans" w:eastAsia="Calibri" w:cs="Tahoma"/>
      <w:i/>
      <w:iCs/>
      <w:color w:val="000000"/>
      <w:shd w:val="clear" w:color="auto" w:fill="FFFFCC"/>
      <w:lang w:eastAsia="en-US"/>
    </w:rPr>
  </w:style>
  <w:style w:type="paragraph" w:customStyle="1" w:styleId="51">
    <w:name w:val="Citação1"/>
    <w:basedOn w:val="4"/>
    <w:next w:val="4"/>
    <w:link w:val="50"/>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character" w:customStyle="1" w:styleId="52">
    <w:name w:val="Manoel"/>
    <w:qFormat/>
    <w:uiPriority w:val="0"/>
    <w:rPr>
      <w:rFonts w:ascii="Arial" w:hAnsi="Arial" w:cs="Arial"/>
      <w:color w:val="7030A0"/>
      <w:sz w:val="20"/>
    </w:rPr>
  </w:style>
  <w:style w:type="character" w:customStyle="1" w:styleId="53">
    <w:name w:val="ListLabel 12"/>
    <w:qFormat/>
    <w:uiPriority w:val="0"/>
    <w:rPr>
      <w:b/>
    </w:rPr>
  </w:style>
  <w:style w:type="character" w:customStyle="1" w:styleId="54">
    <w:name w:val="Grade Colorida - Ênfase 1 Char"/>
    <w:qFormat/>
    <w:uiPriority w:val="29"/>
    <w:rPr>
      <w:rFonts w:ascii="Arial" w:hAnsi="Arial" w:eastAsia="Calibri"/>
      <w:i/>
      <w:iCs/>
      <w:color w:val="000000"/>
      <w:szCs w:val="24"/>
      <w:shd w:val="clear" w:color="auto" w:fill="FFFFCC"/>
      <w:lang w:eastAsia="en-US"/>
    </w:rPr>
  </w:style>
  <w:style w:type="character" w:customStyle="1" w:styleId="55">
    <w:name w:val="Corpo de texto Carácter"/>
    <w:basedOn w:val="10"/>
    <w:link w:val="17"/>
    <w:qFormat/>
    <w:uiPriority w:val="99"/>
    <w:rPr>
      <w:sz w:val="24"/>
      <w:szCs w:val="24"/>
    </w:rPr>
  </w:style>
  <w:style w:type="character" w:customStyle="1" w:styleId="56">
    <w:name w:val="highlight"/>
    <w:basedOn w:val="10"/>
    <w:qFormat/>
    <w:uiPriority w:val="0"/>
  </w:style>
  <w:style w:type="character" w:customStyle="1" w:styleId="57">
    <w:name w:val="Nivel1 Char"/>
    <w:basedOn w:val="44"/>
    <w:link w:val="58"/>
    <w:qFormat/>
    <w:uiPriority w:val="0"/>
    <w:rPr>
      <w:rFonts w:ascii="Arial" w:hAnsi="Arial" w:cs="Arial" w:eastAsiaTheme="majorEastAsia"/>
      <w:bCs w:val="0"/>
      <w:color w:val="000000"/>
      <w:sz w:val="28"/>
      <w:szCs w:val="28"/>
    </w:rPr>
  </w:style>
  <w:style w:type="paragraph" w:customStyle="1" w:styleId="58">
    <w:name w:val="Nivel1"/>
    <w:basedOn w:val="2"/>
    <w:link w:val="57"/>
    <w:qFormat/>
    <w:uiPriority w:val="0"/>
    <w:pPr>
      <w:spacing w:line="276" w:lineRule="auto"/>
      <w:ind w:left="357" w:hanging="357"/>
      <w:jc w:val="both"/>
    </w:pPr>
    <w:rPr>
      <w:rFonts w:ascii="Arial" w:hAnsi="Arial" w:cs="Arial"/>
      <w:bCs w:val="0"/>
      <w:color w:val="000000"/>
      <w:sz w:val="20"/>
      <w:szCs w:val="20"/>
    </w:rPr>
  </w:style>
  <w:style w:type="character" w:customStyle="1" w:styleId="59">
    <w:name w:val="Cabeçalho 9 Carácter"/>
    <w:basedOn w:val="10"/>
    <w:link w:val="9"/>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60">
    <w:name w:val="Avanço de corpo de texto 2 Carácter"/>
    <w:basedOn w:val="10"/>
    <w:link w:val="19"/>
    <w:qFormat/>
    <w:uiPriority w:val="99"/>
    <w:rPr>
      <w:rFonts w:asciiTheme="minorHAnsi" w:hAnsiTheme="minorHAnsi" w:eastAsiaTheme="minorHAnsi" w:cstheme="minorBidi"/>
      <w:sz w:val="22"/>
      <w:szCs w:val="22"/>
      <w:lang w:eastAsia="en-US"/>
    </w:rPr>
  </w:style>
  <w:style w:type="character" w:customStyle="1" w:styleId="61">
    <w:name w:val="ListLabel 13"/>
    <w:qFormat/>
    <w:uiPriority w:val="0"/>
    <w:rPr>
      <w:rFonts w:eastAsia="MS Gothic" w:cs="Arial"/>
      <w:b/>
    </w:rPr>
  </w:style>
  <w:style w:type="character" w:customStyle="1" w:styleId="62">
    <w:name w:val="ListLabel 14"/>
    <w:qFormat/>
    <w:uiPriority w:val="0"/>
    <w:rPr>
      <w:rFonts w:ascii="Arial" w:hAnsi="Arial"/>
    </w:rPr>
  </w:style>
  <w:style w:type="character" w:customStyle="1" w:styleId="63">
    <w:name w:val="ListLabel 15"/>
    <w:qFormat/>
    <w:uiPriority w:val="0"/>
    <w:rPr>
      <w:rFonts w:eastAsia="Times New Roman" w:cs="Arial"/>
      <w:color w:val="auto"/>
    </w:rPr>
  </w:style>
  <w:style w:type="character" w:customStyle="1" w:styleId="64">
    <w:name w:val="ListLabel 16"/>
    <w:qFormat/>
    <w:uiPriority w:val="0"/>
    <w:rPr>
      <w:color w:val="auto"/>
    </w:rPr>
  </w:style>
  <w:style w:type="character" w:customStyle="1" w:styleId="65">
    <w:name w:val="ListLabel 17"/>
    <w:qFormat/>
    <w:uiPriority w:val="0"/>
    <w:rPr>
      <w:color w:val="auto"/>
    </w:rPr>
  </w:style>
  <w:style w:type="character" w:customStyle="1" w:styleId="66">
    <w:name w:val="ListLabel 18"/>
    <w:qFormat/>
    <w:uiPriority w:val="0"/>
    <w:rPr>
      <w:rFonts w:ascii="Arial" w:hAnsi="Arial" w:cs="Arial"/>
      <w:color w:val="000000"/>
    </w:rPr>
  </w:style>
  <w:style w:type="character" w:customStyle="1" w:styleId="67">
    <w:name w:val="ListLabel 19"/>
    <w:qFormat/>
    <w:uiPriority w:val="0"/>
  </w:style>
  <w:style w:type="character" w:customStyle="1" w:styleId="68">
    <w:name w:val="ListLabel 20"/>
    <w:qFormat/>
    <w:uiPriority w:val="0"/>
    <w:rPr>
      <w:color w:val="000000"/>
      <w:sz w:val="20"/>
    </w:rPr>
  </w:style>
  <w:style w:type="character" w:customStyle="1" w:styleId="69">
    <w:name w:val="ListLabel 21"/>
    <w:qFormat/>
    <w:uiPriority w:val="0"/>
    <w:rPr>
      <w:color w:val="000000"/>
      <w:sz w:val="20"/>
    </w:rPr>
  </w:style>
  <w:style w:type="character" w:customStyle="1" w:styleId="70">
    <w:name w:val="ListLabel 22"/>
    <w:qFormat/>
    <w:uiPriority w:val="0"/>
    <w:rPr>
      <w:rFonts w:ascii="Arial" w:hAnsi="Arial"/>
      <w:color w:val="000000"/>
      <w:sz w:val="20"/>
    </w:rPr>
  </w:style>
  <w:style w:type="character" w:customStyle="1" w:styleId="71">
    <w:name w:val="ListLabel 23"/>
    <w:qFormat/>
    <w:uiPriority w:val="0"/>
    <w:rPr>
      <w:color w:val="000000"/>
      <w:sz w:val="20"/>
    </w:rPr>
  </w:style>
  <w:style w:type="character" w:customStyle="1" w:styleId="72">
    <w:name w:val="ListLabel 24"/>
    <w:qFormat/>
    <w:uiPriority w:val="0"/>
    <w:rPr>
      <w:color w:val="000000"/>
      <w:sz w:val="20"/>
    </w:rPr>
  </w:style>
  <w:style w:type="character" w:customStyle="1" w:styleId="73">
    <w:name w:val="ListLabel 25"/>
    <w:qFormat/>
    <w:uiPriority w:val="0"/>
    <w:rPr>
      <w:color w:val="000000"/>
      <w:sz w:val="20"/>
    </w:rPr>
  </w:style>
  <w:style w:type="character" w:customStyle="1" w:styleId="74">
    <w:name w:val="ListLabel 26"/>
    <w:qFormat/>
    <w:uiPriority w:val="0"/>
    <w:rPr>
      <w:color w:val="000000"/>
      <w:sz w:val="20"/>
    </w:rPr>
  </w:style>
  <w:style w:type="character" w:customStyle="1" w:styleId="75">
    <w:name w:val="ListLabel 27"/>
    <w:qFormat/>
    <w:uiPriority w:val="0"/>
    <w:rPr>
      <w:color w:val="000000"/>
      <w:sz w:val="20"/>
    </w:rPr>
  </w:style>
  <w:style w:type="character" w:customStyle="1" w:styleId="76">
    <w:name w:val="ListLabel 28"/>
    <w:qFormat/>
    <w:uiPriority w:val="0"/>
    <w:rPr>
      <w:color w:val="000000"/>
      <w:sz w:val="20"/>
    </w:rPr>
  </w:style>
  <w:style w:type="character" w:customStyle="1" w:styleId="77">
    <w:name w:val="ListLabel 29"/>
    <w:qFormat/>
    <w:uiPriority w:val="0"/>
    <w:rPr>
      <w:rFonts w:eastAsia="MS Gothic" w:cs="Arial"/>
      <w:b/>
    </w:rPr>
  </w:style>
  <w:style w:type="character" w:customStyle="1" w:styleId="78">
    <w:name w:val="ListLabel 30"/>
    <w:qFormat/>
    <w:uiPriority w:val="0"/>
  </w:style>
  <w:style w:type="character" w:customStyle="1" w:styleId="79">
    <w:name w:val="ListLabel 31"/>
    <w:qFormat/>
    <w:uiPriority w:val="0"/>
    <w:rPr>
      <w:rFonts w:eastAsia="Times New Roman" w:cs="Arial"/>
      <w:color w:val="auto"/>
    </w:rPr>
  </w:style>
  <w:style w:type="character" w:customStyle="1" w:styleId="80">
    <w:name w:val="ListLabel 32"/>
    <w:qFormat/>
    <w:uiPriority w:val="0"/>
    <w:rPr>
      <w:b/>
    </w:rPr>
  </w:style>
  <w:style w:type="character" w:customStyle="1" w:styleId="81">
    <w:name w:val="ListLabel 33"/>
    <w:qFormat/>
    <w:uiPriority w:val="0"/>
  </w:style>
  <w:style w:type="character" w:customStyle="1" w:styleId="82">
    <w:name w:val="ListLabel 34"/>
    <w:qFormat/>
    <w:uiPriority w:val="0"/>
    <w:rPr>
      <w:color w:val="auto"/>
    </w:rPr>
  </w:style>
  <w:style w:type="character" w:customStyle="1" w:styleId="83">
    <w:name w:val="ListLabel 35"/>
    <w:qFormat/>
    <w:uiPriority w:val="0"/>
    <w:rPr>
      <w:color w:val="auto"/>
    </w:rPr>
  </w:style>
  <w:style w:type="character" w:customStyle="1" w:styleId="84">
    <w:name w:val="ListLabel 36"/>
    <w:qFormat/>
    <w:uiPriority w:val="0"/>
    <w:rPr>
      <w:color w:val="auto"/>
    </w:rPr>
  </w:style>
  <w:style w:type="character" w:customStyle="1" w:styleId="85">
    <w:name w:val="ListLabel 37"/>
    <w:qFormat/>
    <w:uiPriority w:val="0"/>
    <w:rPr>
      <w:color w:val="auto"/>
    </w:rPr>
  </w:style>
  <w:style w:type="character" w:customStyle="1" w:styleId="86">
    <w:name w:val="ListLabel 38"/>
    <w:qFormat/>
    <w:uiPriority w:val="0"/>
    <w:rPr>
      <w:color w:val="auto"/>
    </w:rPr>
  </w:style>
  <w:style w:type="character" w:customStyle="1" w:styleId="87">
    <w:name w:val="ListLabel 39"/>
    <w:qFormat/>
    <w:uiPriority w:val="0"/>
    <w:rPr>
      <w:color w:val="auto"/>
    </w:rPr>
  </w:style>
  <w:style w:type="character" w:customStyle="1" w:styleId="88">
    <w:name w:val="ListLabel 40"/>
    <w:qFormat/>
    <w:uiPriority w:val="0"/>
    <w:rPr>
      <w:color w:val="auto"/>
    </w:rPr>
  </w:style>
  <w:style w:type="character" w:customStyle="1" w:styleId="89">
    <w:name w:val="ListLabel 41"/>
    <w:qFormat/>
    <w:uiPriority w:val="0"/>
    <w:rPr>
      <w:color w:val="auto"/>
    </w:rPr>
  </w:style>
  <w:style w:type="character" w:customStyle="1" w:styleId="90">
    <w:name w:val="ListLabel 42"/>
    <w:qFormat/>
    <w:uiPriority w:val="0"/>
    <w:rPr>
      <w:color w:val="auto"/>
    </w:rPr>
  </w:style>
  <w:style w:type="character" w:customStyle="1" w:styleId="91">
    <w:name w:val="ListLabel 43"/>
    <w:qFormat/>
    <w:uiPriority w:val="0"/>
    <w:rPr>
      <w:rFonts w:eastAsia="MS Gothic" w:cs="Arial"/>
      <w:b/>
    </w:rPr>
  </w:style>
  <w:style w:type="character" w:customStyle="1" w:styleId="92">
    <w:name w:val="ListLabel 44"/>
    <w:qFormat/>
    <w:uiPriority w:val="0"/>
  </w:style>
  <w:style w:type="character" w:customStyle="1" w:styleId="93">
    <w:name w:val="ListLabel 45"/>
    <w:qFormat/>
    <w:uiPriority w:val="0"/>
    <w:rPr>
      <w:rFonts w:eastAsia="Times New Roman" w:cs="Arial"/>
      <w:color w:val="auto"/>
    </w:rPr>
  </w:style>
  <w:style w:type="character" w:customStyle="1" w:styleId="94">
    <w:name w:val="ListLabel 46"/>
    <w:qFormat/>
    <w:uiPriority w:val="0"/>
    <w:rPr>
      <w:rFonts w:eastAsia="MS Gothic" w:cs="Arial"/>
      <w:b/>
    </w:rPr>
  </w:style>
  <w:style w:type="character" w:customStyle="1" w:styleId="95">
    <w:name w:val="ListLabel 47"/>
    <w:qFormat/>
    <w:uiPriority w:val="0"/>
  </w:style>
  <w:style w:type="character" w:customStyle="1" w:styleId="96">
    <w:name w:val="ListLabel 48"/>
    <w:qFormat/>
    <w:uiPriority w:val="0"/>
    <w:rPr>
      <w:rFonts w:eastAsia="Times New Roman" w:cs="Arial"/>
      <w:color w:val="auto"/>
    </w:rPr>
  </w:style>
  <w:style w:type="character" w:customStyle="1" w:styleId="97">
    <w:name w:val="ListLabel 49"/>
    <w:qFormat/>
    <w:uiPriority w:val="0"/>
    <w:rPr>
      <w:b/>
    </w:rPr>
  </w:style>
  <w:style w:type="character" w:customStyle="1" w:styleId="98">
    <w:name w:val="ListLabel 50"/>
    <w:qFormat/>
    <w:uiPriority w:val="0"/>
    <w:rPr>
      <w:b/>
      <w:color w:val="auto"/>
    </w:rPr>
  </w:style>
  <w:style w:type="character" w:customStyle="1" w:styleId="99">
    <w:name w:val="ListLabel 51"/>
    <w:qFormat/>
    <w:uiPriority w:val="0"/>
    <w:rPr>
      <w:rFonts w:eastAsia="MS Gothic" w:cs="Arial"/>
      <w:b/>
    </w:rPr>
  </w:style>
  <w:style w:type="character" w:customStyle="1" w:styleId="100">
    <w:name w:val="ListLabel 52"/>
    <w:qFormat/>
    <w:uiPriority w:val="0"/>
  </w:style>
  <w:style w:type="character" w:customStyle="1" w:styleId="101">
    <w:name w:val="ListLabel 53"/>
    <w:qFormat/>
    <w:uiPriority w:val="0"/>
    <w:rPr>
      <w:rFonts w:eastAsia="Times New Roman" w:cs="Arial"/>
      <w:color w:val="auto"/>
    </w:rPr>
  </w:style>
  <w:style w:type="character" w:customStyle="1" w:styleId="102">
    <w:name w:val="ListLabel 54"/>
    <w:qFormat/>
    <w:uiPriority w:val="0"/>
    <w:rPr>
      <w:rFonts w:eastAsia="MS Gothic" w:cs="Arial"/>
      <w:b/>
    </w:rPr>
  </w:style>
  <w:style w:type="character" w:customStyle="1" w:styleId="103">
    <w:name w:val="ListLabel 55"/>
    <w:qFormat/>
    <w:uiPriority w:val="0"/>
  </w:style>
  <w:style w:type="character" w:customStyle="1" w:styleId="104">
    <w:name w:val="ListLabel 56"/>
    <w:qFormat/>
    <w:uiPriority w:val="0"/>
    <w:rPr>
      <w:rFonts w:eastAsia="Times New Roman" w:cs="Arial"/>
      <w:color w:val="auto"/>
    </w:rPr>
  </w:style>
  <w:style w:type="character" w:customStyle="1" w:styleId="105">
    <w:name w:val="ListLabel 57"/>
    <w:qFormat/>
    <w:uiPriority w:val="0"/>
    <w:rPr>
      <w:rFonts w:eastAsia="MS Gothic" w:cs="Arial"/>
      <w:b/>
    </w:rPr>
  </w:style>
  <w:style w:type="character" w:customStyle="1" w:styleId="106">
    <w:name w:val="ListLabel 58"/>
    <w:qFormat/>
    <w:uiPriority w:val="0"/>
  </w:style>
  <w:style w:type="character" w:customStyle="1" w:styleId="107">
    <w:name w:val="ListLabel 59"/>
    <w:qFormat/>
    <w:uiPriority w:val="0"/>
    <w:rPr>
      <w:rFonts w:eastAsia="Times New Roman" w:cs="Arial"/>
      <w:color w:val="auto"/>
    </w:rPr>
  </w:style>
  <w:style w:type="character" w:customStyle="1" w:styleId="108">
    <w:name w:val="ListLabel 60"/>
    <w:qFormat/>
    <w:uiPriority w:val="0"/>
    <w:rPr>
      <w:rFonts w:eastAsia="MS Gothic" w:cs="Arial"/>
      <w:b/>
    </w:rPr>
  </w:style>
  <w:style w:type="character" w:customStyle="1" w:styleId="109">
    <w:name w:val="ListLabel 61"/>
    <w:qFormat/>
    <w:uiPriority w:val="0"/>
    <w:rPr>
      <w:rFonts w:ascii="Arial" w:hAnsi="Arial"/>
    </w:rPr>
  </w:style>
  <w:style w:type="character" w:customStyle="1" w:styleId="110">
    <w:name w:val="ListLabel 62"/>
    <w:qFormat/>
    <w:uiPriority w:val="0"/>
    <w:rPr>
      <w:rFonts w:eastAsia="Times New Roman" w:cs="Arial"/>
      <w:color w:val="auto"/>
    </w:rPr>
  </w:style>
  <w:style w:type="character" w:customStyle="1" w:styleId="111">
    <w:name w:val="ListLabel 63"/>
    <w:qFormat/>
    <w:uiPriority w:val="0"/>
    <w:rPr>
      <w:rFonts w:eastAsia="MS Gothic" w:cs="Arial"/>
      <w:b/>
    </w:rPr>
  </w:style>
  <w:style w:type="character" w:customStyle="1" w:styleId="112">
    <w:name w:val="ListLabel 64"/>
    <w:qFormat/>
    <w:uiPriority w:val="0"/>
  </w:style>
  <w:style w:type="character" w:customStyle="1" w:styleId="113">
    <w:name w:val="ListLabel 65"/>
    <w:qFormat/>
    <w:uiPriority w:val="0"/>
    <w:rPr>
      <w:rFonts w:eastAsia="Times New Roman" w:cs="Arial"/>
      <w:color w:val="auto"/>
    </w:rPr>
  </w:style>
  <w:style w:type="character" w:customStyle="1" w:styleId="114">
    <w:name w:val="ListLabel 66"/>
    <w:qFormat/>
    <w:uiPriority w:val="0"/>
    <w:rPr>
      <w:rFonts w:eastAsia="MS Gothic" w:cs="Arial"/>
      <w:b/>
    </w:rPr>
  </w:style>
  <w:style w:type="character" w:customStyle="1" w:styleId="115">
    <w:name w:val="ListLabel 67"/>
    <w:qFormat/>
    <w:uiPriority w:val="0"/>
  </w:style>
  <w:style w:type="character" w:customStyle="1" w:styleId="116">
    <w:name w:val="ListLabel 68"/>
    <w:qFormat/>
    <w:uiPriority w:val="0"/>
    <w:rPr>
      <w:rFonts w:eastAsia="Times New Roman" w:cs="Arial"/>
      <w:color w:val="auto"/>
    </w:rPr>
  </w:style>
  <w:style w:type="character" w:customStyle="1" w:styleId="117">
    <w:name w:val="ListLabel 69"/>
    <w:qFormat/>
    <w:uiPriority w:val="0"/>
    <w:rPr>
      <w:rFonts w:eastAsia="MS Gothic" w:cs="Arial"/>
      <w:b/>
    </w:rPr>
  </w:style>
  <w:style w:type="character" w:customStyle="1" w:styleId="118">
    <w:name w:val="ListLabel 70"/>
    <w:qFormat/>
    <w:uiPriority w:val="0"/>
  </w:style>
  <w:style w:type="character" w:customStyle="1" w:styleId="119">
    <w:name w:val="ListLabel 71"/>
    <w:qFormat/>
    <w:uiPriority w:val="0"/>
    <w:rPr>
      <w:rFonts w:eastAsia="Times New Roman" w:cs="Arial"/>
      <w:color w:val="auto"/>
    </w:rPr>
  </w:style>
  <w:style w:type="character" w:customStyle="1" w:styleId="120">
    <w:name w:val="ListLabel 72"/>
    <w:qFormat/>
    <w:uiPriority w:val="0"/>
    <w:rPr>
      <w:rFonts w:eastAsia="MS Gothic" w:cs="Arial"/>
      <w:b/>
    </w:rPr>
  </w:style>
  <w:style w:type="character" w:customStyle="1" w:styleId="121">
    <w:name w:val="ListLabel 73"/>
    <w:qFormat/>
    <w:uiPriority w:val="0"/>
  </w:style>
  <w:style w:type="character" w:customStyle="1" w:styleId="122">
    <w:name w:val="ListLabel 74"/>
    <w:qFormat/>
    <w:uiPriority w:val="0"/>
    <w:rPr>
      <w:rFonts w:eastAsia="Times New Roman" w:cs="Arial"/>
      <w:color w:val="auto"/>
    </w:rPr>
  </w:style>
  <w:style w:type="character" w:customStyle="1" w:styleId="123">
    <w:name w:val="ListLabel 75"/>
    <w:qFormat/>
    <w:uiPriority w:val="0"/>
    <w:rPr>
      <w:rFonts w:ascii="Arial" w:hAnsi="Arial" w:cs="Arial"/>
      <w:color w:val="auto"/>
      <w:u w:val="single"/>
    </w:rPr>
  </w:style>
  <w:style w:type="character" w:customStyle="1" w:styleId="124">
    <w:name w:val="ListLabel 76"/>
    <w:qFormat/>
    <w:uiPriority w:val="0"/>
    <w:rPr>
      <w:b/>
      <w:szCs w:val="20"/>
    </w:rPr>
  </w:style>
  <w:style w:type="character" w:customStyle="1" w:styleId="125">
    <w:name w:val="ListLabel 77"/>
    <w:qFormat/>
    <w:uiPriority w:val="0"/>
    <w:rPr>
      <w:b/>
    </w:rPr>
  </w:style>
  <w:style w:type="character" w:customStyle="1" w:styleId="126">
    <w:name w:val="ListLabel 78"/>
    <w:qFormat/>
    <w:uiPriority w:val="0"/>
    <w:rPr>
      <w:rFonts w:cs="Arial"/>
      <w:szCs w:val="20"/>
    </w:rPr>
  </w:style>
  <w:style w:type="character" w:customStyle="1" w:styleId="127">
    <w:name w:val="ListLabel 79"/>
    <w:qFormat/>
    <w:uiPriority w:val="0"/>
    <w:rPr>
      <w:rFonts w:ascii="Arial" w:hAnsi="Arial" w:eastAsia="Arial" w:cs="Arial"/>
      <w:color w:val="000000"/>
      <w:sz w:val="20"/>
    </w:rPr>
  </w:style>
  <w:style w:type="character" w:customStyle="1" w:styleId="128">
    <w:name w:val="ListLabel 80"/>
    <w:qFormat/>
    <w:uiPriority w:val="0"/>
    <w:rPr>
      <w:b/>
    </w:rPr>
  </w:style>
  <w:style w:type="character" w:customStyle="1" w:styleId="129">
    <w:name w:val="ListLabel 81"/>
    <w:qFormat/>
    <w:uiPriority w:val="0"/>
    <w:rPr>
      <w:rFonts w:ascii="Arial" w:hAnsi="Arial" w:eastAsia="Arial" w:cs="Arial"/>
      <w:sz w:val="20"/>
    </w:rPr>
  </w:style>
  <w:style w:type="character" w:customStyle="1" w:styleId="130">
    <w:name w:val="ListLabel 82"/>
    <w:qFormat/>
    <w:uiPriority w:val="0"/>
    <w:rPr>
      <w:color w:val="000000"/>
    </w:rPr>
  </w:style>
  <w:style w:type="character" w:customStyle="1" w:styleId="131">
    <w:name w:val="ListLabel 83"/>
    <w:qFormat/>
    <w:uiPriority w:val="0"/>
    <w:rPr>
      <w:b/>
    </w:rPr>
  </w:style>
  <w:style w:type="character" w:customStyle="1" w:styleId="132">
    <w:name w:val="ListLabel 84"/>
    <w:qFormat/>
    <w:uiPriority w:val="0"/>
  </w:style>
  <w:style w:type="character" w:customStyle="1" w:styleId="133">
    <w:name w:val="ListLabel 85"/>
    <w:qFormat/>
    <w:uiPriority w:val="0"/>
    <w:rPr>
      <w:color w:val="000000"/>
    </w:rPr>
  </w:style>
  <w:style w:type="character" w:customStyle="1" w:styleId="134">
    <w:name w:val="ListLabel 86"/>
    <w:qFormat/>
    <w:uiPriority w:val="0"/>
    <w:rPr>
      <w:color w:val="000000"/>
      <w:sz w:val="20"/>
      <w:szCs w:val="20"/>
    </w:rPr>
  </w:style>
  <w:style w:type="character" w:customStyle="1" w:styleId="135">
    <w:name w:val="ListLabel 87"/>
    <w:qFormat/>
    <w:uiPriority w:val="0"/>
    <w:rPr>
      <w:color w:val="000000"/>
      <w:sz w:val="20"/>
      <w:szCs w:val="20"/>
    </w:rPr>
  </w:style>
  <w:style w:type="character" w:customStyle="1" w:styleId="136">
    <w:name w:val="ListLabel 88"/>
    <w:qFormat/>
    <w:uiPriority w:val="0"/>
    <w:rPr>
      <w:rFonts w:ascii="Arial" w:hAnsi="Arial" w:eastAsia="Arial" w:cs="Arial"/>
      <w:color w:val="000000"/>
      <w:sz w:val="20"/>
      <w:szCs w:val="20"/>
    </w:rPr>
  </w:style>
  <w:style w:type="character" w:customStyle="1" w:styleId="137">
    <w:name w:val="ListLabel 89"/>
    <w:qFormat/>
    <w:uiPriority w:val="0"/>
    <w:rPr>
      <w:color w:val="000000"/>
      <w:sz w:val="20"/>
      <w:szCs w:val="20"/>
    </w:rPr>
  </w:style>
  <w:style w:type="character" w:customStyle="1" w:styleId="138">
    <w:name w:val="ListLabel 90"/>
    <w:qFormat/>
    <w:uiPriority w:val="0"/>
    <w:rPr>
      <w:color w:val="000000"/>
      <w:sz w:val="20"/>
      <w:szCs w:val="20"/>
    </w:rPr>
  </w:style>
  <w:style w:type="character" w:customStyle="1" w:styleId="139">
    <w:name w:val="ListLabel 91"/>
    <w:qFormat/>
    <w:uiPriority w:val="0"/>
    <w:rPr>
      <w:color w:val="000000"/>
      <w:sz w:val="20"/>
      <w:szCs w:val="20"/>
    </w:rPr>
  </w:style>
  <w:style w:type="character" w:customStyle="1" w:styleId="140">
    <w:name w:val="ListLabel 92"/>
    <w:qFormat/>
    <w:uiPriority w:val="0"/>
    <w:rPr>
      <w:color w:val="000000"/>
      <w:sz w:val="20"/>
      <w:szCs w:val="20"/>
    </w:rPr>
  </w:style>
  <w:style w:type="character" w:customStyle="1" w:styleId="141">
    <w:name w:val="ListLabel 93"/>
    <w:qFormat/>
    <w:uiPriority w:val="0"/>
    <w:rPr>
      <w:color w:val="000000"/>
      <w:sz w:val="20"/>
      <w:szCs w:val="20"/>
    </w:rPr>
  </w:style>
  <w:style w:type="character" w:customStyle="1" w:styleId="142">
    <w:name w:val="ListLabel 94"/>
    <w:qFormat/>
    <w:uiPriority w:val="0"/>
    <w:rPr>
      <w:color w:val="000000"/>
      <w:sz w:val="20"/>
      <w:szCs w:val="20"/>
    </w:rPr>
  </w:style>
  <w:style w:type="character" w:customStyle="1" w:styleId="143">
    <w:name w:val="ListLabel 95"/>
    <w:qFormat/>
    <w:uiPriority w:val="0"/>
    <w:rPr>
      <w:rFonts w:ascii="Arial" w:hAnsi="Arial"/>
      <w:color w:val="000000"/>
      <w:sz w:val="20"/>
    </w:rPr>
  </w:style>
  <w:style w:type="character" w:customStyle="1" w:styleId="144">
    <w:name w:val="ListLabel 96"/>
    <w:qFormat/>
    <w:uiPriority w:val="0"/>
    <w:rPr>
      <w:rFonts w:ascii="Arial" w:hAnsi="Arial"/>
      <w:b/>
      <w:color w:val="000000"/>
      <w:sz w:val="20"/>
    </w:rPr>
  </w:style>
  <w:style w:type="character" w:customStyle="1" w:styleId="145">
    <w:name w:val="ListLabel 97"/>
    <w:qFormat/>
    <w:uiPriority w:val="0"/>
  </w:style>
  <w:style w:type="character" w:customStyle="1" w:styleId="146">
    <w:name w:val="ListLabel 98"/>
    <w:qFormat/>
    <w:uiPriority w:val="0"/>
    <w:rPr>
      <w:b/>
    </w:rPr>
  </w:style>
  <w:style w:type="character" w:customStyle="1" w:styleId="147">
    <w:name w:val="ListLabel 99"/>
    <w:qFormat/>
    <w:uiPriority w:val="0"/>
  </w:style>
  <w:style w:type="character" w:customStyle="1" w:styleId="148">
    <w:name w:val="ListLabel 100"/>
    <w:qFormat/>
    <w:uiPriority w:val="0"/>
    <w:rPr>
      <w:color w:val="000000"/>
    </w:rPr>
  </w:style>
  <w:style w:type="character" w:customStyle="1" w:styleId="149">
    <w:name w:val="ListLabel 101"/>
    <w:qFormat/>
    <w:uiPriority w:val="0"/>
    <w:rPr>
      <w:b/>
    </w:rPr>
  </w:style>
  <w:style w:type="character" w:customStyle="1" w:styleId="150">
    <w:name w:val="ListLabel 102"/>
    <w:qFormat/>
    <w:uiPriority w:val="0"/>
    <w:rPr>
      <w:rFonts w:ascii="Arial" w:hAnsi="Arial"/>
      <w:color w:val="000000"/>
      <w:sz w:val="20"/>
    </w:rPr>
  </w:style>
  <w:style w:type="character" w:customStyle="1" w:styleId="151">
    <w:name w:val="ListLabel 103"/>
    <w:qFormat/>
    <w:uiPriority w:val="0"/>
    <w:rPr>
      <w:sz w:val="20"/>
      <w:szCs w:val="20"/>
    </w:rPr>
  </w:style>
  <w:style w:type="character" w:customStyle="1" w:styleId="152">
    <w:name w:val="ListLabel 104"/>
    <w:qFormat/>
    <w:uiPriority w:val="0"/>
    <w:rPr>
      <w:rFonts w:eastAsia="Arial" w:cs="Arial"/>
      <w:b/>
      <w:color w:val="000000"/>
      <w:sz w:val="20"/>
    </w:rPr>
  </w:style>
  <w:style w:type="character" w:customStyle="1" w:styleId="153">
    <w:name w:val="ListLabel 105"/>
    <w:qFormat/>
    <w:uiPriority w:val="0"/>
    <w:rPr>
      <w:rFonts w:ascii="Arial" w:hAnsi="Arial"/>
      <w:b/>
      <w:color w:val="000000"/>
      <w:sz w:val="20"/>
    </w:rPr>
  </w:style>
  <w:style w:type="character" w:customStyle="1" w:styleId="154">
    <w:name w:val="ListLabel 106"/>
    <w:qFormat/>
    <w:uiPriority w:val="0"/>
    <w:rPr>
      <w:rFonts w:ascii="Arial" w:hAnsi="Arial"/>
      <w:sz w:val="20"/>
    </w:rPr>
  </w:style>
  <w:style w:type="character" w:customStyle="1" w:styleId="155">
    <w:name w:val="ListLabel 107"/>
    <w:qFormat/>
    <w:uiPriority w:val="0"/>
    <w:rPr>
      <w:rFonts w:ascii="Arial" w:hAnsi="Arial"/>
      <w:b/>
      <w:sz w:val="20"/>
    </w:rPr>
  </w:style>
  <w:style w:type="character" w:customStyle="1" w:styleId="156">
    <w:name w:val="ListLabel 108"/>
    <w:qFormat/>
    <w:uiPriority w:val="0"/>
    <w:rPr>
      <w:rFonts w:eastAsia="Arial" w:cs="Arial"/>
    </w:rPr>
  </w:style>
  <w:style w:type="character" w:customStyle="1" w:styleId="157">
    <w:name w:val="ListLabel 109"/>
    <w:qFormat/>
    <w:uiPriority w:val="0"/>
    <w:rPr>
      <w:rFonts w:ascii="Arial" w:hAnsi="Arial"/>
      <w:color w:val="000000"/>
      <w:sz w:val="20"/>
    </w:rPr>
  </w:style>
  <w:style w:type="character" w:customStyle="1" w:styleId="158">
    <w:name w:val="ListLabel 110"/>
    <w:qFormat/>
    <w:uiPriority w:val="0"/>
    <w:rPr>
      <w:rFonts w:ascii="Arial" w:hAnsi="Arial"/>
      <w:b/>
      <w:color w:val="000000"/>
      <w:sz w:val="20"/>
    </w:rPr>
  </w:style>
  <w:style w:type="character" w:customStyle="1" w:styleId="159">
    <w:name w:val="ListLabel 111"/>
    <w:qFormat/>
    <w:uiPriority w:val="0"/>
    <w:rPr>
      <w:rFonts w:ascii="Arial" w:hAnsi="Arial"/>
      <w:b/>
      <w:sz w:val="20"/>
    </w:rPr>
  </w:style>
  <w:style w:type="character" w:customStyle="1" w:styleId="160">
    <w:name w:val="ListLabel 112"/>
    <w:qFormat/>
    <w:uiPriority w:val="0"/>
  </w:style>
  <w:style w:type="character" w:customStyle="1" w:styleId="161">
    <w:name w:val="ListLabel 113"/>
    <w:qFormat/>
    <w:uiPriority w:val="0"/>
    <w:rPr>
      <w:color w:val="000000"/>
    </w:rPr>
  </w:style>
  <w:style w:type="character" w:customStyle="1" w:styleId="162">
    <w:name w:val="ListLabel 114"/>
    <w:qFormat/>
    <w:uiPriority w:val="0"/>
    <w:rPr>
      <w:color w:val="000000"/>
    </w:rPr>
  </w:style>
  <w:style w:type="character" w:customStyle="1" w:styleId="163">
    <w:name w:val="ListLabel 115"/>
    <w:qFormat/>
    <w:uiPriority w:val="0"/>
    <w:rPr>
      <w:color w:val="000000"/>
    </w:rPr>
  </w:style>
  <w:style w:type="character" w:customStyle="1" w:styleId="164">
    <w:name w:val="ListLabel 116"/>
    <w:qFormat/>
    <w:uiPriority w:val="0"/>
    <w:rPr>
      <w:rFonts w:ascii="Arial" w:hAnsi="Arial"/>
      <w:color w:val="000000"/>
      <w:sz w:val="20"/>
    </w:rPr>
  </w:style>
  <w:style w:type="character" w:customStyle="1" w:styleId="165">
    <w:name w:val="ListLabel 117"/>
    <w:qFormat/>
    <w:uiPriority w:val="0"/>
    <w:rPr>
      <w:rFonts w:ascii="Arial" w:hAnsi="Arial"/>
      <w:color w:val="000000"/>
      <w:sz w:val="20"/>
    </w:rPr>
  </w:style>
  <w:style w:type="character" w:customStyle="1" w:styleId="166">
    <w:name w:val="ListLabel 118"/>
    <w:qFormat/>
    <w:uiPriority w:val="0"/>
    <w:rPr>
      <w:rFonts w:ascii="Arial" w:hAnsi="Arial"/>
      <w:color w:val="000000"/>
      <w:sz w:val="20"/>
    </w:rPr>
  </w:style>
  <w:style w:type="character" w:customStyle="1" w:styleId="167">
    <w:name w:val="ListLabel 119"/>
    <w:qFormat/>
    <w:uiPriority w:val="0"/>
    <w:rPr>
      <w:color w:val="000000"/>
    </w:rPr>
  </w:style>
  <w:style w:type="character" w:customStyle="1" w:styleId="168">
    <w:name w:val="ListLabel 120"/>
    <w:qFormat/>
    <w:uiPriority w:val="0"/>
    <w:rPr>
      <w:color w:val="000000"/>
    </w:rPr>
  </w:style>
  <w:style w:type="character" w:customStyle="1" w:styleId="169">
    <w:name w:val="ListLabel 121"/>
    <w:qFormat/>
    <w:uiPriority w:val="0"/>
    <w:rPr>
      <w:color w:val="000000"/>
    </w:rPr>
  </w:style>
  <w:style w:type="character" w:customStyle="1" w:styleId="170">
    <w:name w:val="ListLabel 122"/>
    <w:qFormat/>
    <w:uiPriority w:val="0"/>
    <w:rPr>
      <w:color w:val="000000"/>
    </w:rPr>
  </w:style>
  <w:style w:type="character" w:customStyle="1" w:styleId="171">
    <w:name w:val="ListLabel 123"/>
    <w:qFormat/>
    <w:uiPriority w:val="0"/>
  </w:style>
  <w:style w:type="character" w:customStyle="1" w:styleId="172">
    <w:name w:val="ListLabel 124"/>
    <w:qFormat/>
    <w:uiPriority w:val="0"/>
    <w:rPr>
      <w:color w:val="000000"/>
    </w:rPr>
  </w:style>
  <w:style w:type="character" w:customStyle="1" w:styleId="173">
    <w:name w:val="ListLabel 125"/>
    <w:qFormat/>
    <w:uiPriority w:val="0"/>
    <w:rPr>
      <w:rFonts w:ascii="Arial" w:hAnsi="Arial" w:eastAsia="Arial" w:cs="Arial"/>
      <w:i/>
      <w:color w:val="000000"/>
      <w:position w:val="0"/>
      <w:sz w:val="21"/>
      <w:szCs w:val="21"/>
      <w:u w:val="single"/>
      <w:shd w:val="clear" w:color="auto" w:fill="auto"/>
      <w:vertAlign w:val="baseline"/>
    </w:rPr>
  </w:style>
  <w:style w:type="character" w:customStyle="1" w:styleId="174">
    <w:name w:val="ListLabel 126"/>
    <w:qFormat/>
    <w:uiPriority w:val="0"/>
    <w:rPr>
      <w:b/>
      <w:color w:val="000080"/>
      <w:u w:val="single"/>
    </w:rPr>
  </w:style>
  <w:style w:type="character" w:customStyle="1" w:styleId="175">
    <w:name w:val="ListLabel 127"/>
    <w:qFormat/>
    <w:uiPriority w:val="0"/>
    <w:rPr>
      <w:rFonts w:ascii="Cambria" w:hAnsi="Cambria" w:eastAsia="Cambria" w:cs="Cambria"/>
      <w:b/>
      <w:i/>
      <w:color w:val="000080"/>
      <w:position w:val="0"/>
      <w:sz w:val="21"/>
      <w:szCs w:val="21"/>
      <w:u w:val="single"/>
      <w:shd w:val="clear" w:color="auto" w:fill="auto"/>
      <w:vertAlign w:val="baseline"/>
    </w:rPr>
  </w:style>
  <w:style w:type="character" w:customStyle="1" w:styleId="176">
    <w:name w:val="ListLabel 128"/>
    <w:qFormat/>
    <w:uiPriority w:val="0"/>
    <w:rPr>
      <w:color w:val="000080"/>
      <w:u w:val="single"/>
    </w:rPr>
  </w:style>
  <w:style w:type="character" w:customStyle="1" w:styleId="177">
    <w:name w:val="ListLabel 129"/>
    <w:qFormat/>
    <w:uiPriority w:val="0"/>
    <w:rPr>
      <w:rFonts w:ascii="Arial" w:hAnsi="Arial" w:eastAsia="Arial" w:cs="Arial"/>
      <w:color w:val="000080"/>
      <w:position w:val="0"/>
      <w:sz w:val="20"/>
      <w:szCs w:val="20"/>
      <w:u w:val="single"/>
      <w:shd w:val="clear" w:color="auto" w:fill="auto"/>
      <w:vertAlign w:val="baseline"/>
    </w:rPr>
  </w:style>
  <w:style w:type="character" w:customStyle="1" w:styleId="178">
    <w:name w:val="ListLabel 130"/>
    <w:qFormat/>
    <w:uiPriority w:val="0"/>
    <w:rPr>
      <w:color w:val="1155CC"/>
      <w:u w:val="single"/>
    </w:rPr>
  </w:style>
  <w:style w:type="paragraph" w:customStyle="1" w:styleId="179">
    <w:name w:val="Índice"/>
    <w:basedOn w:val="4"/>
    <w:qFormat/>
    <w:uiPriority w:val="0"/>
    <w:pPr>
      <w:suppressLineNumbers/>
    </w:pPr>
  </w:style>
  <w:style w:type="paragraph" w:styleId="180">
    <w:name w:val="List Paragraph"/>
    <w:basedOn w:val="4"/>
    <w:qFormat/>
    <w:uiPriority w:val="34"/>
    <w:pPr>
      <w:ind w:left="720"/>
      <w:contextualSpacing/>
    </w:pPr>
  </w:style>
  <w:style w:type="paragraph" w:customStyle="1" w:styleId="181">
    <w:name w:val="Nível 2"/>
    <w:basedOn w:val="4"/>
    <w:next w:val="4"/>
    <w:qFormat/>
    <w:uiPriority w:val="0"/>
    <w:pPr>
      <w:spacing w:after="120"/>
      <w:jc w:val="both"/>
    </w:pPr>
    <w:rPr>
      <w:rFonts w:cs="Times New Roman"/>
      <w:b/>
    </w:rPr>
  </w:style>
  <w:style w:type="paragraph" w:customStyle="1" w:styleId="182">
    <w:name w:val="citação 2"/>
    <w:basedOn w:val="36"/>
    <w:qFormat/>
    <w:uiPriority w:val="0"/>
  </w:style>
  <w:style w:type="paragraph" w:customStyle="1" w:styleId="183">
    <w:name w:val="em_0020ementa"/>
    <w:basedOn w:val="4"/>
    <w:qFormat/>
    <w:uiPriority w:val="0"/>
    <w:pPr>
      <w:ind w:left="4160"/>
      <w:jc w:val="both"/>
    </w:pPr>
    <w:rPr>
      <w:rFonts w:ascii="Times New Roman" w:hAnsi="Times New Roman" w:cs="Times New Roman"/>
      <w:sz w:val="28"/>
      <w:szCs w:val="28"/>
    </w:rPr>
  </w:style>
  <w:style w:type="paragraph" w:customStyle="1" w:styleId="184">
    <w:name w:val="Revision"/>
    <w:semiHidden/>
    <w:qFormat/>
    <w:uiPriority w:val="99"/>
    <w:rPr>
      <w:rFonts w:ascii="Ecofont_Spranq_eco_Sans" w:hAnsi="Ecofont_Spranq_eco_Sans" w:eastAsia="Times New Roman" w:cs="Tahoma"/>
      <w:sz w:val="24"/>
      <w:szCs w:val="24"/>
      <w:lang w:val="pt-BR" w:eastAsia="pt-BR" w:bidi="ar-SA"/>
    </w:rPr>
  </w:style>
  <w:style w:type="paragraph" w:customStyle="1" w:styleId="18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186">
    <w:name w:val="paragraph"/>
    <w:basedOn w:val="4"/>
    <w:qFormat/>
    <w:uiPriority w:val="0"/>
    <w:pPr>
      <w:spacing w:beforeAutospacing="1" w:afterAutospacing="1"/>
    </w:pPr>
    <w:rPr>
      <w:rFonts w:ascii="Times New Roman" w:hAnsi="Times New Roman" w:cs="Times New Roman"/>
      <w:sz w:val="24"/>
    </w:rPr>
  </w:style>
  <w:style w:type="paragraph" w:customStyle="1" w:styleId="187">
    <w:name w:val="texto1"/>
    <w:basedOn w:val="4"/>
    <w:qFormat/>
    <w:uiPriority w:val="0"/>
    <w:pPr>
      <w:spacing w:beforeAutospacing="1" w:afterAutospacing="1"/>
    </w:pPr>
    <w:rPr>
      <w:rFonts w:ascii="Times New Roman" w:hAnsi="Times New Roman" w:cs="Times New Roman"/>
      <w:sz w:val="24"/>
    </w:rPr>
  </w:style>
  <w:style w:type="paragraph" w:customStyle="1" w:styleId="188">
    <w:name w:val="Grade Colorida - Ênfase 11"/>
    <w:basedOn w:val="4"/>
    <w:next w:val="4"/>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paragraph" w:customStyle="1" w:styleId="189">
    <w:name w:val="x_western"/>
    <w:basedOn w:val="4"/>
    <w:qFormat/>
    <w:uiPriority w:val="0"/>
    <w:pPr>
      <w:spacing w:beforeAutospacing="1" w:afterAutospacing="1"/>
    </w:pPr>
    <w:rPr>
      <w:rFonts w:ascii="Times New Roman" w:hAnsi="Times New Roman" w:cs="Times New Roman"/>
      <w:sz w:val="24"/>
    </w:rPr>
  </w:style>
  <w:style w:type="paragraph" w:customStyle="1" w:styleId="190">
    <w:name w:val="TCU - Ac - item 9 - §§_0"/>
    <w:basedOn w:val="4"/>
    <w:qFormat/>
    <w:uiPriority w:val="0"/>
    <w:pPr>
      <w:ind w:firstLine="1134"/>
      <w:jc w:val="both"/>
    </w:pPr>
    <w:rPr>
      <w:rFonts w:ascii="Times New Roman" w:hAnsi="Times New Roman" w:cs="Times New Roman"/>
      <w:sz w:val="24"/>
      <w:szCs w:val="22"/>
      <w:lang w:eastAsia="en-US"/>
    </w:rPr>
  </w:style>
  <w:style w:type="paragraph" w:customStyle="1" w:styleId="191">
    <w:name w:val="Normal_1"/>
    <w:qFormat/>
    <w:uiPriority w:val="0"/>
    <w:rPr>
      <w:rFonts w:ascii="Times New Roman" w:hAnsi="Times New Roman" w:eastAsia="Times New Roman" w:cs="Times New Roman"/>
      <w:sz w:val="24"/>
      <w:szCs w:val="22"/>
      <w:lang w:val="pt-BR" w:eastAsia="en-US" w:bidi="ar-SA"/>
    </w:rPr>
  </w:style>
  <w:style w:type="paragraph" w:customStyle="1" w:styleId="192">
    <w:name w:val="tcu_-__ac_-_item_9_-_1ª_linha"/>
    <w:basedOn w:val="4"/>
    <w:qFormat/>
    <w:uiPriority w:val="0"/>
    <w:pPr>
      <w:spacing w:beforeAutospacing="1" w:afterAutospacing="1"/>
    </w:pPr>
    <w:rPr>
      <w:rFonts w:ascii="Times New Roman" w:hAnsi="Times New Roman" w:cs="Times New Roman"/>
      <w:sz w:val="24"/>
    </w:rPr>
  </w:style>
  <w:style w:type="paragraph" w:customStyle="1" w:styleId="193">
    <w:name w:val="texto_justificado_recuo_primeira_linha"/>
    <w:basedOn w:val="4"/>
    <w:qFormat/>
    <w:uiPriority w:val="0"/>
    <w:pPr>
      <w:spacing w:beforeAutospacing="1" w:afterAutospacing="1"/>
    </w:pPr>
    <w:rPr>
      <w:rFonts w:ascii="Times New Roman" w:hAnsi="Times New Roman" w:cs="Times New Roman"/>
      <w:sz w:val="24"/>
    </w:rPr>
  </w:style>
  <w:style w:type="paragraph" w:customStyle="1" w:styleId="194">
    <w:name w:val="texto_justificado"/>
    <w:basedOn w:val="4"/>
    <w:qFormat/>
    <w:uiPriority w:val="0"/>
    <w:pPr>
      <w:spacing w:beforeAutospacing="1" w:afterAutospacing="1"/>
    </w:pPr>
    <w:rPr>
      <w:rFonts w:ascii="Times New Roman" w:hAnsi="Times New Roman" w:cs="Times New Roman"/>
      <w:sz w:val="24"/>
    </w:rPr>
  </w:style>
  <w:style w:type="paragraph" w:customStyle="1" w:styleId="195">
    <w:name w:val="Parágrafo da Lista1"/>
    <w:basedOn w:val="4"/>
    <w:qFormat/>
    <w:uiPriority w:val="0"/>
    <w:pPr>
      <w:ind w:left="720"/>
    </w:pPr>
    <w:rPr>
      <w:rFonts w:ascii="Ecofont_Spranq_eco_Sans" w:hAnsi="Ecofont_Spranq_eco_Sans" w:cs="Ecofont_Spranq_eco_Sans"/>
      <w:sz w:val="24"/>
    </w:rPr>
  </w:style>
  <w:style w:type="paragraph" w:customStyle="1" w:styleId="196">
    <w:name w:val="textbody"/>
    <w:basedOn w:val="4"/>
    <w:qFormat/>
    <w:uiPriority w:val="0"/>
    <w:pPr>
      <w:spacing w:beforeAutospacing="1" w:afterAutospacing="1"/>
    </w:pPr>
    <w:rPr>
      <w:rFonts w:ascii="Times New Roman" w:hAnsi="Times New Roman" w:cs="Times New Roman"/>
      <w:sz w:val="24"/>
    </w:rPr>
  </w:style>
  <w:style w:type="table" w:customStyle="1" w:styleId="197">
    <w:name w:val="Table Normal"/>
    <w:qFormat/>
    <w:uiPriority w:val="0"/>
    <w:tblPr>
      <w:tblCellMar>
        <w:top w:w="0" w:type="dxa"/>
        <w:left w:w="0" w:type="dxa"/>
        <w:bottom w:w="0" w:type="dxa"/>
        <w:right w:w="0" w:type="dxa"/>
      </w:tblCellMar>
    </w:tblPr>
  </w:style>
  <w:style w:type="table" w:customStyle="1" w:styleId="198">
    <w:name w:val="_Style 481"/>
    <w:basedOn w:val="197"/>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klz1naNQO0xLuydZilF6VWqGIQ==">AMUW2mV1Lv/OYFbVyTUl/OmBMBxumniXEv2I1CK6H7aWP8dvk57sboEbpZMFV+O6gE57nOLuyNbGkKWaWoFiBpNC8lkpzYqyt1lyDdfHX/BaYPd4BHBzZd7xNP6bFLGybmzregrUpZ/VBzYd8hVk9O1UJafZWCmKgMkAPeqTy1hsV1G5oitoaAQiMnMZ67r9ArKCJt6uQm2fH30tqsL8eV9uUrH3szuZgYmfiPzfNcWHS/iEVmu+9x0=</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AGU/CGU</Company>
  <Pages>26</Pages>
  <Words>10959</Words>
  <Characters>59179</Characters>
  <Lines>493</Lines>
  <Paragraphs>139</Paragraphs>
  <TotalTime>10</TotalTime>
  <ScaleCrop>false</ScaleCrop>
  <LinksUpToDate>false</LinksUpToDate>
  <CharactersWithSpaces>69999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2019-11-04T16:38:00Z</dcterms:created>
  <dc:creator>Manoel Paz e Silva Filho</dc:creator>
  <cp:lastModifiedBy>Larissa Carvalho</cp:lastModifiedBy>
  <dcterms:modified xsi:type="dcterms:W3CDTF">2022-05-13T18:04:21Z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1046-11.2.0.11130</vt:lpwstr>
  </property>
  <property fmtid="{D5CDD505-2E9C-101B-9397-08002B2CF9AE}" pid="11" name="ICV">
    <vt:lpwstr>FA1E7539439748D8AA575873AF6BD655</vt:lpwstr>
  </property>
</Properties>
</file>