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bl>
      <w:tblPr>
        <w:tblStyle w:val="80"/>
        <w:tblW w:w="98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943"/>
        <w:gridCol w:w="69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3" w:hRule="atLeast"/>
        </w:trPr>
        <w:tc>
          <w:tcPr>
            <w:tcW w:w="9889" w:type="dxa"/>
            <w:gridSpan w:val="2"/>
            <w:vAlign w:val="center"/>
          </w:tcPr>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FF0000"/>
                <w:sz w:val="32"/>
                <w:szCs w:val="32"/>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auto"/>
                <w:sz w:val="32"/>
                <w:szCs w:val="32"/>
              </w:rPr>
            </w:pPr>
            <w:r>
              <w:rPr>
                <w:rFonts w:hint="default" w:ascii="Verdana" w:hAnsi="Verdana" w:eastAsia="Verdana" w:cs="Verdana"/>
                <w:b/>
                <w:color w:val="auto"/>
                <w:sz w:val="32"/>
                <w:szCs w:val="32"/>
                <w:lang w:val="pt-BR"/>
              </w:rPr>
              <w:t xml:space="preserve"> </w:t>
            </w:r>
            <w:r>
              <w:rPr>
                <w:rFonts w:ascii="Verdana" w:hAnsi="Verdana" w:eastAsia="Verdana" w:cs="Verdana"/>
                <w:b/>
                <w:color w:val="auto"/>
                <w:sz w:val="32"/>
                <w:szCs w:val="32"/>
              </w:rPr>
              <w:t xml:space="preserve">EDITAL DE LICITAÇÃO </w:t>
            </w:r>
          </w:p>
          <w:p>
            <w:pPr>
              <w:pStyle w:val="2"/>
              <w:keepLines w:val="0"/>
              <w:numPr>
                <w:ilvl w:val="0"/>
                <w:numId w:val="3"/>
              </w:numPr>
              <w:spacing w:before="100" w:after="100"/>
              <w:jc w:val="center"/>
              <w:rPr>
                <w:rFonts w:ascii="Cambria" w:hAnsi="Cambria" w:eastAsia="Cambria" w:cs="Cambria"/>
                <w:color w:val="365F91"/>
                <w:sz w:val="32"/>
                <w:szCs w:val="32"/>
              </w:rPr>
            </w:pPr>
            <w:bookmarkStart w:id="0" w:name="_heading=h.3mr65tq7blqg" w:colFirst="0" w:colLast="0"/>
            <w:bookmarkEnd w:id="0"/>
            <w:r>
              <w:rPr>
                <w:rFonts w:ascii="Verdana" w:hAnsi="Verdana" w:eastAsia="Verdana" w:cs="Verdana"/>
                <w:color w:val="365F91"/>
                <w:sz w:val="20"/>
                <w:szCs w:val="20"/>
              </w:rPr>
              <w:t xml:space="preserve">PREGÃO ELETRÔNICO Nº </w:t>
            </w:r>
            <w:r>
              <w:rPr>
                <w:rFonts w:ascii="Verdana" w:hAnsi="Verdana" w:eastAsia="Verdana" w:cs="Verdana"/>
                <w:color w:val="365F91"/>
                <w:sz w:val="20"/>
                <w:szCs w:val="20"/>
                <w:lang w:val="pt-BR"/>
              </w:rPr>
              <w:t>01/2022</w:t>
            </w:r>
            <w:r>
              <w:rPr>
                <w:rFonts w:ascii="Verdana" w:hAnsi="Verdana" w:eastAsia="Verdana" w:cs="Verdana"/>
                <w:color w:val="365F91"/>
                <w:sz w:val="20"/>
                <w:szCs w:val="20"/>
              </w:rPr>
              <w:t>/AD</w:t>
            </w:r>
            <w:r>
              <w:drawing>
                <wp:anchor distT="0" distB="0" distL="0" distR="0" simplePos="0" relativeHeight="25165926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6"/>
                          <a:srcRect/>
                          <a:stretch>
                            <a:fillRect/>
                          </a:stretch>
                        </pic:blipFill>
                        <pic:spPr>
                          <a:xfrm>
                            <a:off x="0" y="0"/>
                            <a:ext cx="1200150" cy="40957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7"/>
                          <a:srcRect/>
                          <a:stretch>
                            <a:fillRect/>
                          </a:stretch>
                        </pic:blipFill>
                        <pic:spPr>
                          <a:xfrm>
                            <a:off x="0" y="0"/>
                            <a:ext cx="898525" cy="483870"/>
                          </a:xfrm>
                          <a:prstGeom prst="rect">
                            <a:avLst/>
                          </a:prstGeom>
                        </pic:spPr>
                      </pic:pic>
                    </a:graphicData>
                  </a:graphic>
                </wp:anchor>
              </w:drawing>
            </w:r>
          </w:p>
          <w:p>
            <w:pPr>
              <w:spacing w:before="100" w:after="100"/>
              <w:jc w:val="center"/>
              <w:rPr>
                <w:rFonts w:ascii="Verdana" w:hAnsi="Verdana" w:eastAsia="Verdana" w:cs="Verdana"/>
                <w:b/>
                <w:highlight w:val="cyan"/>
              </w:rPr>
            </w:pPr>
            <w:r>
              <w:rPr>
                <w:rFonts w:ascii="Verdana" w:hAnsi="Verdana" w:eastAsia="Verdana" w:cs="Verdana"/>
                <w:b/>
              </w:rPr>
              <w:t xml:space="preserve">SERVIÇOS CONTINUADOS COM DEDICAÇÃO </w:t>
            </w:r>
          </w:p>
          <w:p>
            <w:pPr>
              <w:spacing w:before="100" w:after="100"/>
              <w:jc w:val="center"/>
              <w:rPr>
                <w:rFonts w:ascii="Verdana" w:hAnsi="Verdana" w:eastAsia="Verdana" w:cs="Verdana"/>
                <w:b/>
                <w:sz w:val="16"/>
                <w:szCs w:val="16"/>
              </w:rPr>
            </w:pPr>
            <w:r>
              <w:rPr>
                <w:rFonts w:ascii="Verdana" w:hAnsi="Verdana" w:eastAsia="Verdana" w:cs="Verdana"/>
                <w:b/>
              </w:rPr>
              <w:t xml:space="preserve">PROCESSO Nº </w:t>
            </w:r>
            <w:r>
              <w:rPr>
                <w:rFonts w:ascii="Verdana" w:hAnsi="Verdana" w:eastAsia="Verdana" w:cs="Verdana"/>
                <w:b/>
                <w:lang w:val="pt-BR"/>
              </w:rPr>
              <w:t xml:space="preserve">23069.170671/2021-81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6" w:hRule="atLeast"/>
        </w:trPr>
        <w:tc>
          <w:tcPr>
            <w:tcW w:w="2943" w:type="dxa"/>
            <w:vAlign w:val="center"/>
          </w:tcPr>
          <w:p>
            <w:pPr>
              <w:spacing w:before="120" w:after="120"/>
              <w:ind w:left="624" w:hanging="567"/>
              <w:jc w:val="center"/>
            </w:pPr>
            <w:r>
              <w:rPr>
                <w:b/>
              </w:rPr>
              <w:t>OBJETO</w:t>
            </w:r>
          </w:p>
        </w:tc>
        <w:tc>
          <w:tcPr>
            <w:tcW w:w="6946" w:type="dxa"/>
            <w:vAlign w:val="bottom"/>
          </w:tcPr>
          <w:p>
            <w:p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empresa especializada, de forma continuada, dos serviços de apoio ao Restaurante Universitário, assim como das dependências da cozinha do Colégio Universitário Geraldo Reis (Unidade sede e subunidade Educação Infantil) a serem prestados em imóveis da Universidade Federal Fluminense situados no Município de Niterói no estado do Rio de Janeiro,</w:t>
            </w:r>
            <w:r>
              <w:rPr>
                <w:color w:val="000000"/>
              </w:rPr>
              <w:t xml:space="preserve"> conforme condições, quantidades e exigências </w:t>
            </w:r>
            <w:bookmarkStart w:id="12" w:name="_GoBack"/>
            <w:bookmarkEnd w:id="12"/>
            <w:r>
              <w:rPr>
                <w:color w:val="000000"/>
              </w:rPr>
              <w:t>estabelecidas neste Edital e seus anexos.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3" w:hRule="atLeast"/>
        </w:trPr>
        <w:tc>
          <w:tcPr>
            <w:tcW w:w="2943" w:type="dxa"/>
            <w:vAlign w:val="center"/>
          </w:tcPr>
          <w:p>
            <w:pPr>
              <w:spacing w:before="120" w:after="120"/>
              <w:ind w:left="624" w:hanging="567"/>
              <w:jc w:val="center"/>
              <w:rPr>
                <w:b/>
              </w:rPr>
            </w:pPr>
            <w:r>
              <w:rPr>
                <w:b/>
              </w:rPr>
              <w:t>RECEBIMENTO DAS PROPOSTAS</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19"/>
              <w:jc w:val="both"/>
              <w:rPr>
                <w:color w:val="000000"/>
                <w:szCs w:val="20"/>
              </w:rPr>
            </w:pPr>
            <w:r>
              <w:rPr>
                <w:color w:val="000000"/>
                <w:szCs w:val="20"/>
              </w:rPr>
              <w:t xml:space="preserve">A partir da data de divulgação do Edital no site </w:t>
            </w:r>
            <w:r>
              <w:fldChar w:fldCharType="begin"/>
            </w:r>
            <w:r>
              <w:instrText xml:space="preserve"> HYPERLINK "https://www.gov.br/compras/pt-br" \h </w:instrText>
            </w:r>
            <w:r>
              <w:fldChar w:fldCharType="separate"/>
            </w:r>
            <w:r>
              <w:rPr>
                <w:i/>
                <w:szCs w:val="20"/>
                <w:u w:val="single"/>
              </w:rPr>
              <w:t>www.gov.br/compras</w:t>
            </w:r>
            <w:r>
              <w:rPr>
                <w:i/>
                <w:szCs w:val="20"/>
                <w:u w:val="single"/>
              </w:rPr>
              <w:fldChar w:fldCharType="end"/>
            </w:r>
            <w:r>
              <w:rPr>
                <w:color w:val="000000"/>
                <w:szCs w:val="20"/>
              </w:rPr>
              <w:t xml:space="preserve"> até a data e horário de realização da sessão pública.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2943" w:type="dxa"/>
            <w:vAlign w:val="center"/>
          </w:tcPr>
          <w:p>
            <w:pPr>
              <w:spacing w:before="120" w:after="120"/>
              <w:ind w:left="624" w:hanging="567"/>
              <w:jc w:val="center"/>
              <w:rPr>
                <w:b/>
              </w:rPr>
            </w:pPr>
            <w:r>
              <w:rPr>
                <w:b/>
              </w:rPr>
              <w:t>DATA ABERTURA DAS PROPOSTAS</w:t>
            </w:r>
          </w:p>
        </w:tc>
        <w:tc>
          <w:tcPr>
            <w:tcW w:w="6946" w:type="dxa"/>
            <w:vAlign w:val="center"/>
          </w:tcPr>
          <w:p>
            <w:pPr>
              <w:spacing w:before="120" w:after="120"/>
              <w:ind w:hanging="25"/>
              <w:jc w:val="both"/>
              <w:rPr>
                <w:rFonts w:hint="default"/>
                <w:b/>
                <w:bCs/>
                <w:highlight w:val="yellow"/>
                <w:lang w:val="pt-BR"/>
              </w:rPr>
            </w:pPr>
            <w:r>
              <w:t xml:space="preserve">Sessão Pública a ser realizada no endereço eletrônico informado no edital, às </w:t>
            </w:r>
            <w:r>
              <w:rPr>
                <w:rFonts w:hint="default"/>
                <w:b/>
                <w:bCs/>
                <w:lang w:val="pt-BR"/>
              </w:rPr>
              <w:t>10h</w:t>
            </w:r>
            <w:r>
              <w:t xml:space="preserve"> do dia </w:t>
            </w:r>
            <w:r>
              <w:rPr>
                <w:rFonts w:hint="default"/>
                <w:b/>
                <w:bCs/>
                <w:lang w:val="pt-BR"/>
              </w:rPr>
              <w:t>11</w:t>
            </w:r>
            <w:r>
              <w:rPr>
                <w:rFonts w:hint="default"/>
                <w:b/>
                <w:bCs/>
                <w:lang w:val="pt-BR"/>
              </w:rPr>
              <w:t>/FEV/2022</w:t>
            </w:r>
            <w:r>
              <w:rPr>
                <w:rFonts w:hint="default"/>
                <w:lang w:val="pt-B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2943" w:type="dxa"/>
            <w:vAlign w:val="center"/>
          </w:tcPr>
          <w:p>
            <w:pPr>
              <w:spacing w:before="120" w:after="120"/>
              <w:ind w:left="624" w:hanging="567"/>
              <w:jc w:val="center"/>
              <w:rPr>
                <w:b/>
              </w:rPr>
            </w:pPr>
            <w:r>
              <w:rPr>
                <w:b/>
              </w:rPr>
              <w:t>ENDEREÇO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Universidade Federal Fluminense</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Pró-Reitoria de Administração</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Coordenação de Licitação</w:t>
            </w:r>
          </w:p>
          <w:p>
            <w:r>
              <w:t>UASG: 150182</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Rua Miguel de Frias n.º 09, Bairro Icaraí, Niterói - RJ</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CEP: 24.220-900</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Telefones: (21) 2629-5386</w:t>
            </w:r>
          </w:p>
          <w:p>
            <w:pPr>
              <w:spacing w:before="120" w:after="120"/>
              <w:ind w:hanging="25"/>
              <w:jc w:val="both"/>
              <w:rPr>
                <w:b/>
                <w:color w:val="0000FF"/>
              </w:rPr>
            </w:pPr>
            <w:r>
              <w:t>E-mail:</w:t>
            </w:r>
            <w:r>
              <w:rPr>
                <w:b/>
                <w:color w:val="0000FF"/>
              </w:rPr>
              <w:t xml:space="preserve"> </w:t>
            </w:r>
            <w:r>
              <w:fldChar w:fldCharType="begin"/>
            </w:r>
            <w:r>
              <w:instrText xml:space="preserve"> HYPERLINK "mailto:cpl@id.uff.br" \h </w:instrText>
            </w:r>
            <w:r>
              <w:fldChar w:fldCharType="separate"/>
            </w:r>
            <w:r>
              <w:rPr>
                <w:b/>
                <w:color w:val="0000FF"/>
                <w:u w:val="single"/>
              </w:rPr>
              <w:t>cpl@id.uff.br</w:t>
            </w:r>
            <w:r>
              <w:rPr>
                <w:b/>
                <w:color w:val="0000FF"/>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TIPO DE LICITAÇÃO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highlight w:val="yellow"/>
              </w:rPr>
            </w:pPr>
            <w:r>
              <w:rPr>
                <w:color w:val="000000"/>
                <w:sz w:val="21"/>
                <w:szCs w:val="21"/>
              </w:rPr>
              <w:t>Menor preço por lote.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ACESSO ELETRÔNICO AO EDITAL</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i/>
                <w:color w:val="0000FF"/>
                <w:sz w:val="21"/>
                <w:szCs w:val="21"/>
              </w:rPr>
            </w:pPr>
            <w:r>
              <w:fldChar w:fldCharType="begin"/>
            </w:r>
            <w:r>
              <w:instrText xml:space="preserve"> HYPERLINK "https://www.gov.br/compras/pt-br" \h </w:instrText>
            </w:r>
            <w:r>
              <w:fldChar w:fldCharType="separate"/>
            </w:r>
            <w:r>
              <w:rPr>
                <w:rFonts w:ascii="Cambria" w:hAnsi="Cambria" w:eastAsia="Cambria" w:cs="Cambria"/>
                <w:b/>
                <w:i/>
                <w:color w:val="0000FF"/>
                <w:sz w:val="21"/>
                <w:szCs w:val="21"/>
                <w:u w:val="single"/>
              </w:rPr>
              <w:t>www.gov.br/compras</w:t>
            </w:r>
            <w:r>
              <w:rPr>
                <w:rFonts w:ascii="Cambria" w:hAnsi="Cambria" w:eastAsia="Cambria" w:cs="Cambria"/>
                <w:b/>
                <w:i/>
                <w:color w:val="0000FF"/>
                <w:sz w:val="21"/>
                <w:szCs w:val="21"/>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PREGOEIRO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lang w:val="pt-BR"/>
              </w:rPr>
            </w:pPr>
            <w:r>
              <w:rPr>
                <w:rFonts w:hint="default"/>
                <w:color w:val="000000"/>
                <w:sz w:val="21"/>
                <w:szCs w:val="21"/>
                <w:lang w:val="pt-BR"/>
              </w:rPr>
              <w:t>Juliana P. Borsoi Richa</w:t>
            </w:r>
          </w:p>
        </w:tc>
      </w:tr>
    </w:tbl>
    <w:p>
      <w:pPr>
        <w:spacing w:after="120" w:line="276" w:lineRule="auto"/>
        <w:ind w:right="-17"/>
        <w:jc w:val="both"/>
        <w:rPr>
          <w:b/>
          <w:color w:val="000000"/>
        </w:rPr>
      </w:pPr>
    </w:p>
    <w:p>
      <w:pPr>
        <w:spacing w:after="120" w:line="276" w:lineRule="auto"/>
        <w:ind w:right="-17"/>
        <w:jc w:val="both"/>
        <w:rPr>
          <w:rFonts w:ascii="Verdana" w:hAnsi="Verdana" w:eastAsia="Verdana" w:cs="Verdana"/>
          <w:color w:val="000000"/>
          <w:sz w:val="18"/>
          <w:szCs w:val="18"/>
        </w:rPr>
      </w:pPr>
      <w:r>
        <w:drawing>
          <wp:anchor distT="0" distB="0" distL="114300" distR="114300" simplePos="0" relativeHeight="251661312" behindDoc="0" locked="0" layoutInCell="1"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a:stretch>
                      <a:fillRect/>
                    </a:stretch>
                  </pic:blipFill>
                  <pic:spPr>
                    <a:xfrm>
                      <a:off x="0" y="0"/>
                      <a:ext cx="640080" cy="628650"/>
                    </a:xfrm>
                    <a:prstGeom prst="rect">
                      <a:avLst/>
                    </a:prstGeom>
                  </pic:spPr>
                </pic:pic>
              </a:graphicData>
            </a:graphic>
          </wp:anchor>
        </w:drawing>
      </w:r>
    </w:p>
    <w:p>
      <w:pPr>
        <w:spacing w:after="120" w:line="276" w:lineRule="auto"/>
        <w:ind w:right="-17"/>
        <w:jc w:val="both"/>
        <w:rPr>
          <w:rFonts w:ascii="Verdana" w:hAnsi="Verdana" w:eastAsia="Verdana" w:cs="Verdana"/>
          <w:color w:val="000000"/>
          <w:sz w:val="18"/>
          <w:szCs w:val="18"/>
        </w:rPr>
      </w:pPr>
      <w:r>
        <w:rPr>
          <w:rFonts w:ascii="Verdana" w:hAnsi="Verdana" w:eastAsia="Verdana" w:cs="Verdana"/>
          <w:color w:val="000000"/>
          <w:sz w:val="18"/>
          <w:szCs w:val="18"/>
        </w:rPr>
        <w:tab/>
      </w:r>
    </w:p>
    <w:p>
      <w:pPr>
        <w:rPr>
          <w:rFonts w:ascii="Verdana" w:hAnsi="Verdana" w:eastAsia="Verdana" w:cs="Verdana"/>
          <w:sz w:val="18"/>
          <w:szCs w:val="18"/>
        </w:rPr>
      </w:pPr>
    </w:p>
    <w:p>
      <w:pPr>
        <w:rPr>
          <w:rFonts w:ascii="Verdana" w:hAnsi="Verdana" w:eastAsia="Verdana" w:cs="Verdana"/>
          <w:sz w:val="18"/>
          <w:szCs w:val="18"/>
        </w:rPr>
      </w:pPr>
    </w:p>
    <w:p>
      <w:pPr>
        <w:tabs>
          <w:tab w:val="left" w:pos="6284"/>
        </w:tabs>
        <w:jc w:val="center"/>
        <w:rPr>
          <w:rFonts w:ascii="Verdana" w:hAnsi="Verdana" w:eastAsia="Verdana" w:cs="Verdana"/>
          <w:b/>
          <w:sz w:val="18"/>
          <w:szCs w:val="18"/>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COORDENAÇÃO DE LICITAÇÃO</w:t>
      </w:r>
    </w:p>
    <w:p>
      <w:pPr>
        <w:jc w:val="center"/>
        <w:rPr>
          <w:rFonts w:ascii="Calibri" w:hAnsi="Calibri" w:eastAsia="Calibri" w:cs="Calibri"/>
          <w:b/>
          <w:sz w:val="22"/>
          <w:szCs w:val="22"/>
        </w:rPr>
      </w:pPr>
    </w:p>
    <w:p>
      <w:pPr>
        <w:jc w:val="cente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color w:val="auto"/>
        </w:rPr>
      </w:pPr>
      <w:r>
        <w:rPr>
          <w:rFonts w:ascii="Verdana" w:hAnsi="Verdana" w:eastAsia="Verdana" w:cs="Verdana"/>
          <w:b/>
          <w:color w:val="auto"/>
        </w:rPr>
        <w:t>EDITAL DE LICITAÇÃO</w:t>
      </w:r>
    </w:p>
    <w:p>
      <w:pPr>
        <w:spacing w:before="100" w:after="100"/>
        <w:jc w:val="center"/>
        <w:rPr>
          <w:rFonts w:ascii="Verdana" w:hAnsi="Verdana" w:eastAsia="Verdana" w:cs="Verdana"/>
          <w:b/>
          <w:highlight w:val="yellow"/>
        </w:rPr>
      </w:pPr>
      <w:r>
        <w:rPr>
          <w:rFonts w:ascii="Verdana" w:hAnsi="Verdana" w:eastAsia="Verdana" w:cs="Verdana"/>
          <w:b/>
        </w:rPr>
        <w:t xml:space="preserve">PREGÃO ELETRÔNICO Nº </w:t>
      </w:r>
      <w:r>
        <w:rPr>
          <w:rFonts w:ascii="Verdana" w:hAnsi="Verdana" w:eastAsia="Verdana" w:cs="Verdana"/>
          <w:b/>
          <w:lang w:val="pt-BR"/>
        </w:rPr>
        <w:t>01/2022</w:t>
      </w:r>
      <w:r>
        <w:rPr>
          <w:rFonts w:ascii="Verdana" w:hAnsi="Verdana" w:eastAsia="Verdana" w:cs="Verdana"/>
          <w:b/>
        </w:rPr>
        <w:t>/AD</w:t>
      </w:r>
    </w:p>
    <w:p>
      <w:pPr>
        <w:spacing w:before="100" w:after="100"/>
        <w:jc w:val="center"/>
        <w:rPr>
          <w:rFonts w:ascii="Verdana" w:hAnsi="Verdana" w:eastAsia="Verdana" w:cs="Verdana"/>
          <w:b/>
        </w:rPr>
      </w:pPr>
      <w:r>
        <w:rPr>
          <w:rFonts w:ascii="Verdana" w:hAnsi="Verdana" w:eastAsia="Verdana" w:cs="Verdana"/>
          <w:b/>
        </w:rPr>
        <w:t>SERVIÇOS CONTINUADOS COM DEDICAÇÃO EXCLUSIVA DE MÃO DE OBRA</w:t>
      </w:r>
    </w:p>
    <w:p>
      <w:pPr>
        <w:spacing w:before="100" w:after="100"/>
        <w:jc w:val="center"/>
        <w:rPr>
          <w:rFonts w:hint="default" w:ascii="Verdana" w:hAnsi="Verdana" w:eastAsia="Verdana" w:cs="Verdana"/>
          <w:b/>
          <w:lang w:val="pt-BR"/>
        </w:rPr>
      </w:pPr>
      <w:r>
        <w:rPr>
          <w:rFonts w:ascii="Verdana" w:hAnsi="Verdana" w:eastAsia="Verdana" w:cs="Verdana"/>
          <w:b/>
        </w:rPr>
        <w:t xml:space="preserve">PROCESSO Nº </w:t>
      </w:r>
      <w:r>
        <w:rPr>
          <w:rFonts w:ascii="Verdana" w:hAnsi="Verdana" w:eastAsia="Verdana" w:cs="Verdana"/>
          <w:b/>
          <w:lang w:val="pt-BR"/>
        </w:rPr>
        <w:t xml:space="preserve">23069.170671/2021-81 </w:t>
      </w:r>
    </w:p>
    <w:p>
      <w:pPr>
        <w:spacing w:after="120" w:line="276" w:lineRule="auto"/>
        <w:ind w:right="-17"/>
        <w:jc w:val="both"/>
        <w:rPr>
          <w:b/>
          <w:color w:val="000000"/>
        </w:rPr>
      </w:pPr>
    </w:p>
    <w:p>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p>
      <w:pPr>
        <w:spacing w:line="276" w:lineRule="auto"/>
        <w:jc w:val="both"/>
        <w:rPr>
          <w:color w:val="000000"/>
        </w:rPr>
      </w:pPr>
    </w:p>
    <w:p>
      <w:pPr>
        <w:spacing w:line="276" w:lineRule="auto"/>
        <w:jc w:val="center"/>
        <w:rPr>
          <w:rFonts w:hint="default"/>
          <w:b/>
          <w:bCs/>
          <w:lang w:val="pt-BR"/>
        </w:rPr>
      </w:pPr>
      <w:r>
        <w:rPr>
          <w:color w:val="000000"/>
        </w:rPr>
        <w:t xml:space="preserve">Data da sessão: </w:t>
      </w:r>
      <w:r>
        <w:rPr>
          <w:rFonts w:hint="default"/>
          <w:b/>
          <w:bCs/>
          <w:lang w:val="pt-BR"/>
        </w:rPr>
        <w:t>11/FEV/2022</w:t>
      </w:r>
    </w:p>
    <w:p>
      <w:pPr>
        <w:spacing w:line="276" w:lineRule="auto"/>
        <w:jc w:val="center"/>
        <w:rPr>
          <w:rFonts w:hint="default"/>
          <w:lang w:val="pt-BR"/>
        </w:rPr>
      </w:pPr>
      <w:r>
        <w:rPr>
          <w:color w:val="000000"/>
        </w:rPr>
        <w:t xml:space="preserve">Horário: </w:t>
      </w:r>
      <w:r>
        <w:rPr>
          <w:rFonts w:hint="default"/>
          <w:b/>
          <w:bCs/>
          <w:color w:val="000000"/>
          <w:lang w:val="pt-BR"/>
        </w:rPr>
        <w:t>10h</w:t>
      </w:r>
    </w:p>
    <w:p>
      <w:pPr>
        <w:spacing w:after="120" w:line="276" w:lineRule="auto"/>
        <w:ind w:right="-15"/>
        <w:jc w:val="center"/>
        <w:rPr>
          <w:b/>
          <w:color w:val="0000FF"/>
          <w:u w:val="single"/>
        </w:rPr>
      </w:pPr>
      <w:r>
        <w:rPr>
          <w:color w:val="000000"/>
        </w:rPr>
        <w:t xml:space="preserve">Local: Portal de Compras do Governo Federal –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p>
    <w:p>
      <w:pPr>
        <w:spacing w:after="120" w:line="276" w:lineRule="auto"/>
        <w:ind w:right="-15"/>
        <w:jc w:val="center"/>
        <w:rPr>
          <w:b/>
          <w:color w:val="0000FF"/>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pPr>
      <w:r>
        <w:rPr>
          <w:b/>
          <w:color w:val="000000"/>
        </w:rPr>
        <w:t>DO OBJETO</w:t>
      </w:r>
    </w:p>
    <w:p>
      <w:pPr>
        <w:numPr>
          <w:ilvl w:val="1"/>
          <w:numId w:val="5"/>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empresa especializada, de forma continuada, dos serviços de apoio ao Restaurante Universitário, assim como das dependências da cozinha do Colégio Universitário Geraldo Reis (Unidade sede e subunidade Educação Infantil) a serem prestados em imóveis da Universidade Federal Fluminense situados no Município de Niterói no estado do Rio de Janeiro,</w:t>
      </w:r>
      <w:r>
        <w:rPr>
          <w:color w:val="000000"/>
        </w:rPr>
        <w:t xml:space="preserve">, conforme condições, quantidades e exigências estabelecidas neste Edital e seus anexos. </w:t>
      </w:r>
    </w:p>
    <w:p>
      <w:pPr>
        <w:tabs>
          <w:tab w:val="left" w:pos="709"/>
        </w:tabs>
        <w:spacing w:before="120" w:after="120" w:line="276" w:lineRule="auto"/>
        <w:ind w:left="1134" w:hanging="425"/>
        <w:jc w:val="both"/>
        <w:rPr>
          <w:iCs/>
        </w:rPr>
      </w:pPr>
      <w:r>
        <w:rPr>
          <w:iCs/>
        </w:rPr>
        <w:t xml:space="preserve">1.2. </w:t>
      </w:r>
      <w:r>
        <w:rPr>
          <w:color w:val="000000"/>
        </w:rPr>
        <w:t>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grupo único, formados por </w:t>
      </w:r>
      <w:r>
        <w:rPr>
          <w:rFonts w:hint="default" w:ascii="Arial" w:eastAsia="SimSun" w:cs="Arial"/>
          <w:i w:val="0"/>
          <w:iCs w:val="0"/>
          <w:color w:val="auto"/>
          <w:sz w:val="20"/>
          <w:szCs w:val="20"/>
          <w:u w:val="none"/>
          <w:vertAlign w:val="baseline"/>
          <w:lang w:val="pt-BR"/>
        </w:rPr>
        <w:t>14 (catorze)</w:t>
      </w:r>
      <w:r>
        <w:rPr>
          <w:rFonts w:ascii="Arial" w:hAnsi="Arial" w:eastAsia="SimSun" w:cs="Arial"/>
          <w:i w:val="0"/>
          <w:iCs w:val="0"/>
          <w:color w:val="auto"/>
          <w:sz w:val="20"/>
          <w:szCs w:val="20"/>
          <w:u w:val="none"/>
          <w:vertAlign w:val="baseline"/>
        </w:rPr>
        <w:t xml:space="preserve"> itens</w:t>
      </w:r>
      <w:r>
        <w:rPr>
          <w:color w:val="000000"/>
        </w:rPr>
        <w:t xml:space="preserve">, conforme tabela constante do Termo de Referência, </w:t>
      </w:r>
      <w:r>
        <w:rPr>
          <w:rFonts w:ascii="Arial" w:hAnsi="Arial" w:eastAsia="Arial"/>
          <w:color w:val="000000"/>
        </w:rPr>
        <w:t>devendo o licitante oferecer proposta para todos os itens que o compõem</w:t>
      </w:r>
      <w:r>
        <w:rPr>
          <w:rFonts w:hint="default" w:ascii="Arial" w:hAnsi="Arial" w:eastAsia="Arial"/>
          <w:color w:val="000000"/>
          <w:lang w:val="pt-BR"/>
        </w:rPr>
        <w:t>.</w:t>
      </w:r>
    </w:p>
    <w:p>
      <w:pPr>
        <w:tabs>
          <w:tab w:val="left" w:pos="709"/>
        </w:tabs>
        <w:spacing w:before="120" w:after="120" w:line="276" w:lineRule="auto"/>
        <w:ind w:left="1134" w:hanging="425"/>
        <w:jc w:val="both"/>
        <w:rPr>
          <w:iCs/>
        </w:rPr>
      </w:pPr>
      <w:r>
        <w:rPr>
          <w:iCs/>
        </w:rPr>
        <w:t xml:space="preserve">1.3. </w:t>
      </w:r>
      <w:r>
        <w:rPr>
          <w:color w:val="000000"/>
        </w:rPr>
        <w:t xml:space="preserve">O critério de julgamento adotado será o menor preço </w:t>
      </w:r>
      <w:r>
        <w:rPr>
          <w:rFonts w:hint="default"/>
          <w:color w:val="000000"/>
          <w:lang w:val="pt-BR"/>
        </w:rPr>
        <w:t>global do grupo</w:t>
      </w:r>
      <w:r>
        <w:rPr>
          <w:iCs/>
        </w:rPr>
        <w:t>, observadas as exigências contidas neste Edital e seus Anexos quanto às especificações do objeto.</w:t>
      </w:r>
    </w:p>
    <w:p>
      <w:pPr>
        <w:pBdr>
          <w:top w:val="none" w:color="auto" w:sz="0" w:space="0"/>
          <w:left w:val="none" w:color="auto" w:sz="0" w:space="0"/>
          <w:bottom w:val="none" w:color="auto" w:sz="0" w:space="0"/>
          <w:right w:val="none" w:color="auto" w:sz="0" w:space="0"/>
          <w:between w:val="none" w:color="auto" w:sz="0" w:space="0"/>
        </w:pBdr>
        <w:spacing w:line="276" w:lineRule="auto"/>
        <w:ind w:left="567" w:firstLine="283"/>
        <w:jc w:val="both"/>
        <w:rPr>
          <w:iCs/>
          <w:u w:val="single"/>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Cs/>
        </w:rPr>
      </w:pPr>
      <w:r>
        <w:rPr>
          <w:b/>
          <w:iCs/>
        </w:rPr>
        <w:t>DOS RECURSOS ORÇAMENTÁRIOS</w:t>
      </w:r>
    </w:p>
    <w:p>
      <w:pPr>
        <w:numPr>
          <w:ilvl w:val="1"/>
          <w:numId w:val="6"/>
        </w:numPr>
        <w:spacing w:before="120" w:after="120" w:line="276" w:lineRule="auto"/>
        <w:jc w:val="both"/>
      </w:pPr>
      <w:r>
        <w:t xml:space="preserve">As despesas para atender a esta licitação </w:t>
      </w:r>
      <w:r>
        <w:rPr>
          <w:rFonts w:hint="default"/>
          <w:lang w:val="pt-BR"/>
        </w:rPr>
        <w:t>serão oneradas nas Fontes Orçamentárias 8100, 150, 100 e 8188 no elemento de despesa 339037, condicionada à disponibilidade no momento do efetivo fornecimento do objeto.</w:t>
      </w: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rPr>
      </w:pPr>
      <w:r>
        <w:rPr>
          <w:b/>
        </w:rPr>
        <w:t>DO CREDENCIAMENTO</w:t>
      </w:r>
    </w:p>
    <w:p>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color w:val="000080"/>
          <w:u w:val="single"/>
        </w:rPr>
        <w:t>www.gov.br/compras</w:t>
      </w:r>
      <w:r>
        <w:rPr>
          <w:color w:val="000080"/>
          <w:u w:val="single"/>
        </w:rPr>
        <w:fldChar w:fldCharType="end"/>
      </w:r>
      <w:r>
        <w:rPr>
          <w:color w:val="000000"/>
        </w:rPr>
        <w:t>, por meio de certificado digital conferido pela Infraestrutura de Chaves Públicas Brasileira – ICP - Brasil.</w:t>
      </w:r>
    </w:p>
    <w:p>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pPr>
        <w:keepNext/>
        <w:keepLines/>
        <w:numPr>
          <w:ilvl w:val="0"/>
          <w:numId w:val="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PARTICIPAÇÃO NO PREGÃO.</w:t>
      </w:r>
    </w:p>
    <w:p>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before="120" w:after="120" w:line="276" w:lineRule="auto"/>
        <w:jc w:val="both"/>
        <w:rPr>
          <w:color w:val="000000"/>
        </w:rPr>
      </w:pPr>
      <w:r>
        <w:rPr>
          <w:color w:val="000000"/>
        </w:rPr>
        <w:t>Os licitantes deverão utilizar o certificado digital para acesso ao Sistema</w:t>
      </w:r>
    </w:p>
    <w:p>
      <w:pPr>
        <w:numPr>
          <w:ilvl w:val="1"/>
          <w:numId w:val="8"/>
        </w:numPr>
        <w:spacing w:before="120" w:after="120" w:line="276" w:lineRule="auto"/>
        <w:jc w:val="both"/>
        <w:rPr>
          <w:color w:val="000000"/>
        </w:rPr>
      </w:pPr>
      <w:r>
        <w:rPr>
          <w:color w:val="000000"/>
        </w:rPr>
        <w:t>Não poderão participar desta licitação os interessados: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não atendam às condições deste Edital e seu(s) anexo(s);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se enquadrem nas vedações previstas no artigo 9º da Lei nº 8.666, de 1993;</w:t>
      </w:r>
    </w:p>
    <w:p>
      <w:pPr>
        <w:keepNext/>
        <w:widowControl w:val="0"/>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pPr>
        <w:numPr>
          <w:ilvl w:val="2"/>
          <w:numId w:val="9"/>
        </w:numPr>
        <w:pBdr>
          <w:top w:val="none" w:color="auto" w:sz="0" w:space="0"/>
          <w:left w:val="none" w:color="auto" w:sz="0" w:space="0"/>
          <w:bottom w:val="none" w:color="auto" w:sz="0" w:space="0"/>
          <w:right w:val="none" w:color="auto" w:sz="0" w:space="0"/>
          <w:between w:val="none" w:color="auto" w:sz="0" w:space="0"/>
        </w:pBdr>
        <w:spacing w:line="276" w:lineRule="auto"/>
        <w:rPr>
          <w:color w:val="000000"/>
        </w:rPr>
      </w:pPr>
      <w:r>
        <w:rPr>
          <w:color w:val="000000"/>
        </w:rPr>
        <w:t>entidades empresariais que estejam reunidas em consórcio;</w:t>
      </w:r>
    </w:p>
    <w:p>
      <w:pPr>
        <w:spacing w:line="276" w:lineRule="auto"/>
      </w:pPr>
    </w:p>
    <w:p>
      <w:pPr>
        <w:numPr>
          <w:ilvl w:val="2"/>
          <w:numId w:val="9"/>
        </w:numPr>
        <w:pBdr>
          <w:top w:val="none" w:color="auto" w:sz="0" w:space="0"/>
          <w:left w:val="none" w:color="auto" w:sz="0" w:space="0"/>
          <w:bottom w:val="none" w:color="auto" w:sz="0" w:space="0"/>
          <w:right w:val="none" w:color="auto" w:sz="0" w:space="0"/>
          <w:between w:val="none" w:color="auto" w:sz="0" w:space="0"/>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pPr>
        <w:numPr>
          <w:ilvl w:val="3"/>
          <w:numId w:val="9"/>
        </w:numPr>
        <w:tabs>
          <w:tab w:val="left" w:pos="1440"/>
        </w:tabs>
        <w:spacing w:before="120" w:after="120" w:line="276" w:lineRule="auto"/>
        <w:jc w:val="both"/>
        <w:rPr>
          <w:iCs/>
        </w:rPr>
      </w:pPr>
      <w:r>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numPr>
          <w:ilvl w:val="2"/>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está ciente e concorda com as condições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pPr>
        <w:spacing w:before="120" w:after="120" w:line="276" w:lineRule="auto"/>
        <w:ind w:left="425"/>
        <w:jc w:val="both"/>
      </w:pPr>
    </w:p>
    <w:p>
      <w:pPr>
        <w:keepNext/>
        <w:keepLines/>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right="-15" w:hanging="360"/>
        <w:jc w:val="both"/>
        <w:rPr>
          <w:b/>
          <w:color w:val="000000"/>
        </w:rPr>
      </w:pPr>
      <w:r>
        <w:rPr>
          <w:b/>
          <w:color w:val="000000"/>
        </w:rPr>
        <w:t>5.</w:t>
      </w:r>
      <w:r>
        <w:rPr>
          <w:b/>
          <w:color w:val="000000"/>
        </w:rPr>
        <w:tab/>
      </w:r>
      <w:r>
        <w:rPr>
          <w:b/>
          <w:color w:val="000000"/>
        </w:rPr>
        <w:t xml:space="preserve"> DA APRESENTAÇÃO DA PROPOSTA E DOS DOCUMENTOS DE HABILITAÇÃO</w:t>
      </w:r>
    </w:p>
    <w:p>
      <w:pPr>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spacing w:before="120" w:after="120" w:line="276" w:lineRule="auto"/>
        <w:ind w:left="425"/>
        <w:jc w:val="both"/>
      </w:pPr>
      <w:r>
        <w:t>5.2.</w:t>
      </w:r>
      <w:r>
        <w:tab/>
      </w:r>
      <w:r>
        <w:t>O envio da proposta, acompanhada dos documentos de habilitação exigidos neste Edital, ocorrerá por meio de chave de acesso e senha.</w:t>
      </w:r>
    </w:p>
    <w:p>
      <w:pPr>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pPr>
    </w:p>
    <w:p>
      <w:pPr>
        <w:keepNext/>
        <w:keepLines/>
        <w:numPr>
          <w:ilvl w:val="0"/>
          <w:numId w:val="11"/>
        </w:numPr>
        <w:pBdr>
          <w:top w:val="none" w:color="auto" w:sz="0" w:space="0"/>
          <w:left w:val="none" w:color="auto" w:sz="0" w:space="0"/>
          <w:bottom w:val="none" w:color="auto" w:sz="0" w:space="0"/>
          <w:right w:val="none" w:color="auto" w:sz="0" w:space="0"/>
          <w:between w:val="none" w:color="auto" w:sz="0" w:space="0"/>
        </w:pBdr>
        <w:spacing w:before="480" w:after="120" w:line="276" w:lineRule="auto"/>
        <w:ind w:left="425" w:right="-15" w:firstLine="66"/>
        <w:jc w:val="both"/>
        <w:rPr>
          <w:color w:val="000000"/>
        </w:rPr>
      </w:pPr>
      <w:r>
        <w:rPr>
          <w:b/>
          <w:color w:val="000000"/>
        </w:rPr>
        <w:t>DO PREENCHIMENTO DA PROPOSTA</w:t>
      </w:r>
      <w:r>
        <w:t xml:space="preserve">  </w:t>
      </w:r>
    </w:p>
    <w:p>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pPr>
        <w:numPr>
          <w:ilvl w:val="1"/>
          <w:numId w:val="11"/>
        </w:numPr>
        <w:spacing w:before="120" w:after="120" w:line="276" w:lineRule="auto"/>
        <w:ind w:left="425" w:firstLine="0"/>
        <w:jc w:val="both"/>
      </w:pPr>
      <w:r>
        <w:t>Todas as especificações do objeto contidas na proposta vinculam a Contratada.</w:t>
      </w:r>
    </w:p>
    <w:p>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jc w:val="both"/>
        <w:rPr>
          <w:iCs/>
        </w:rPr>
      </w:pPr>
      <w:r>
        <w:rPr>
          <w:iCs/>
        </w:rPr>
        <w:t>A proposta apresentada deverá contemplar o valor total dos custos da contratação, inclusive aqueles estimados para as ocorrências de fatos geradores.</w:t>
      </w:r>
    </w:p>
    <w:p>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11"/>
        </w:numPr>
        <w:spacing w:before="120" w:after="120" w:line="276" w:lineRule="auto"/>
        <w:jc w:val="both"/>
      </w:pPr>
      <w:r>
        <w:t>cotação de percentual menor que o adequado: o percentual será mantido durante toda a execução contratual;</w:t>
      </w:r>
    </w:p>
    <w:p>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11"/>
        </w:numPr>
        <w:spacing w:before="120" w:after="120" w:line="276" w:lineRule="auto"/>
        <w:ind w:left="496" w:firstLine="0"/>
        <w:jc w:val="both"/>
      </w:pPr>
      <w:r>
        <w:t xml:space="preserve">Na presente licitação, a Microempresa e a Empresa de Pequeno Porte poderão se beneficiar do regime de tributação pelo Simples Nacional. </w:t>
      </w:r>
    </w:p>
    <w:p>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ABERTURA DA SESSÃO, CLASSIFICAÇÃO DAS PROPOSTAS E FORMULAÇÃO DE LANCES</w:t>
      </w:r>
    </w:p>
    <w:p>
      <w:pPr>
        <w:numPr>
          <w:ilvl w:val="1"/>
          <w:numId w:val="1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Também será desclassificada a proposta que identifique o licitante.</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pPr>
        <w:numPr>
          <w:ilvl w:val="1"/>
          <w:numId w:val="13"/>
        </w:numPr>
        <w:spacing w:before="120" w:after="120" w:line="276" w:lineRule="auto"/>
        <w:jc w:val="both"/>
      </w:pPr>
      <w:r>
        <w:t>Os licitantes poderão oferecer lances sucessivos, observando o horário fixado para abertura da sessão e as regras estabelecidas no Edital.</w:t>
      </w:r>
    </w:p>
    <w:p>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pPr>
        <w:numPr>
          <w:ilvl w:val="1"/>
          <w:numId w:val="14"/>
        </w:numPr>
        <w:spacing w:before="120" w:after="120" w:line="276" w:lineRule="auto"/>
        <w:jc w:val="both"/>
      </w:pPr>
      <w:r>
        <w:rPr>
          <w:color w:val="000000"/>
        </w:rPr>
        <w:t>Caso o licitante não apresente lances, concorrerá com o valor de sua proposta.</w:t>
      </w:r>
    </w:p>
    <w:p>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prestados por empresas brasileiras; </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invistam em pesquisa e no desenvolvimento de tecnologia no País;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ACEITABILIDADE DA PROPOSTA VENCEDORA.</w:t>
      </w:r>
    </w:p>
    <w:p>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pPr>
        <w:numPr>
          <w:ilvl w:val="2"/>
          <w:numId w:val="16"/>
        </w:numPr>
        <w:pBdr>
          <w:top w:val="none" w:color="auto" w:sz="0" w:space="0"/>
          <w:left w:val="none" w:color="auto" w:sz="0" w:space="0"/>
          <w:bottom w:val="none" w:color="auto" w:sz="0" w:space="0"/>
          <w:right w:val="none" w:color="auto" w:sz="0" w:space="0"/>
          <w:between w:val="none" w:color="auto" w:sz="0" w:space="0"/>
        </w:pBdr>
        <w:spacing w:before="120" w:line="276" w:lineRule="auto"/>
        <w:ind w:right="-15"/>
        <w:jc w:val="both"/>
        <w:rPr>
          <w:color w:val="000000"/>
        </w:rPr>
      </w:pPr>
      <w:r>
        <w:rPr>
          <w:color w:val="000000"/>
        </w:rPr>
        <w:t>não estiver em conformidade com os requisitos estabelecidos neste edital;</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contenha vício insanável ou ilegalidade;</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não apresente as especificações técnicas exigidas pelo Termo de Referência;</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r>
        <w:fldChar w:fldCharType="begin"/>
      </w:r>
      <w:r>
        <w:instrText xml:space="preserve"> HYPERLINK "http://www.gov.br/compras" \h </w:instrText>
      </w:r>
      <w:r>
        <w:fldChar w:fldCharType="separate"/>
      </w:r>
      <w:r>
        <w:rPr>
          <w:b/>
          <w:iCs/>
          <w:u w:val="single"/>
        </w:rPr>
        <w:t>www.gov.br/compras</w:t>
      </w:r>
      <w:r>
        <w:rPr>
          <w:b/>
          <w:iCs/>
          <w:u w:val="single"/>
        </w:rPr>
        <w:fldChar w:fldCharType="end"/>
      </w:r>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pPr>
        <w:numPr>
          <w:ilvl w:val="2"/>
          <w:numId w:val="21"/>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numPr>
          <w:ilvl w:val="1"/>
          <w:numId w:val="21"/>
        </w:numPr>
        <w:spacing w:before="120" w:after="120" w:line="276" w:lineRule="auto"/>
        <w:ind w:right="-1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AMOSTRA: o pregoeiro poderá solicitar Amostra dos Materiais a serem utilizados na execução do Contrato, de forma a garantir a qualidade dos mesmos. Caso julgue necessário, a solicitação será feita por Chat com o prazo e endereço para recebimento.</w:t>
      </w:r>
    </w:p>
    <w:p>
      <w:pPr>
        <w:spacing w:before="120" w:after="120" w:line="276" w:lineRule="auto"/>
        <w:ind w:left="1036" w:right="-15"/>
        <w:jc w:val="both"/>
        <w:rPr>
          <w:color w:val="000000"/>
        </w:rPr>
      </w:pPr>
    </w:p>
    <w:p>
      <w:pPr>
        <w:keepNext/>
        <w:keepLines/>
        <w:numPr>
          <w:ilvl w:val="0"/>
          <w:numId w:val="2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DA HABILITAÇÃO </w:t>
      </w:r>
    </w:p>
    <w:p>
      <w:pPr>
        <w:numPr>
          <w:ilvl w:val="1"/>
          <w:numId w:val="23"/>
        </w:numPr>
        <w:pBdr>
          <w:top w:val="none" w:color="auto" w:sz="0" w:space="0"/>
          <w:left w:val="none" w:color="auto" w:sz="0" w:space="0"/>
          <w:bottom w:val="none" w:color="auto" w:sz="0" w:space="0"/>
          <w:right w:val="none" w:color="auto" w:sz="0" w:space="0"/>
          <w:between w:val="none" w:color="auto" w:sz="0" w:space="0"/>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720" w:firstLine="720"/>
        <w:jc w:val="both"/>
        <w:rPr>
          <w:color w:val="000000"/>
        </w:rPr>
      </w:pPr>
      <w:r>
        <w:t xml:space="preserve">    a</w:t>
      </w:r>
      <w:r>
        <w:rPr>
          <w:color w:val="000000"/>
        </w:rPr>
        <w:t>) SICAF;</w:t>
      </w:r>
    </w:p>
    <w:p>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r>
        <w:fldChar w:fldCharType="begin"/>
      </w:r>
      <w:r>
        <w:instrText xml:space="preserve"> HYPERLINK "http://www.portaldatransparencia.gov.br/ceis" \h </w:instrText>
      </w:r>
      <w:r>
        <w:fldChar w:fldCharType="separate"/>
      </w:r>
      <w:r>
        <w:rPr>
          <w:b/>
          <w:color w:val="0000FF"/>
          <w:u w:val="single"/>
        </w:rPr>
        <w:t>www.portaldatransparencia.gov.br/ceis</w:t>
      </w:r>
      <w:r>
        <w:rPr>
          <w:b/>
          <w:color w:val="0000FF"/>
          <w:u w:val="single"/>
        </w:rPr>
        <w:fldChar w:fldCharType="end"/>
      </w:r>
      <w:r>
        <w:rPr>
          <w:b/>
          <w:color w:val="0000FF"/>
        </w:rPr>
        <w:t>);</w:t>
      </w:r>
    </w:p>
    <w:p>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r>
        <w:fldChar w:fldCharType="begin"/>
      </w:r>
      <w:r>
        <w:instrText xml:space="preserve"> HYPERLINK "http://www.cnj.jus.br/improbidade_adm/consultar_requerido.php" \h </w:instrText>
      </w:r>
      <w:r>
        <w:fldChar w:fldCharType="separate"/>
      </w:r>
      <w:r>
        <w:rPr>
          <w:b/>
          <w:color w:val="0000FF"/>
          <w:u w:val="single"/>
        </w:rPr>
        <w:t>www.cnj.jus.br/improbidade_adm/consultar_requerido.php</w:t>
      </w:r>
      <w:r>
        <w:rPr>
          <w:b/>
          <w:color w:val="0000FF"/>
          <w:u w:val="single"/>
        </w:rPr>
        <w:fldChar w:fldCharType="end"/>
      </w:r>
      <w:r>
        <w:rPr>
          <w:b/>
          <w:color w:val="0000FF"/>
        </w:rPr>
        <w:t>);</w:t>
      </w:r>
    </w:p>
    <w:p>
      <w:pPr>
        <w:ind w:left="1134" w:hanging="1134"/>
      </w:pPr>
      <w:r>
        <w:t xml:space="preserve">                    d) Lista de Inidôneos e o Cadastro Integrado de Condenações por Ilícitos Administrativos            - CADICON, mantidos pelo Tribunal de Contas da União - TCU;</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r>
        <w:fldChar w:fldCharType="begin"/>
      </w:r>
      <w:r>
        <w:instrText xml:space="preserve"> HYPERLINK "https://certidoesapf.apps.tcu.gov.br/" \h </w:instrText>
      </w:r>
      <w:r>
        <w:fldChar w:fldCharType="separate"/>
      </w:r>
      <w:r>
        <w:rPr>
          <w:b/>
          <w:color w:val="0000FF"/>
          <w:u w:val="single"/>
        </w:rPr>
        <w:t>https://certidoesapf.apps.tcu.gov.br/</w:t>
      </w:r>
      <w:r>
        <w:rPr>
          <w:b/>
          <w:color w:val="0000FF"/>
          <w:u w:val="single"/>
        </w:rPr>
        <w:fldChar w:fldCharType="end"/>
      </w:r>
      <w:r>
        <w:rPr>
          <w:b/>
          <w:color w:val="0000FF"/>
        </w:rPr>
        <w:t>)</w:t>
      </w:r>
      <w:r>
        <w:rPr>
          <w:color w:val="000000"/>
        </w:rPr>
        <w:t>.</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 tentativa de burla será verificada por meio dos vínculos societários, linhas de fornecimento similares, dentre outros.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O licitante será convocado para manifestação previamente à sua desclassificação.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numPr>
          <w:ilvl w:val="1"/>
          <w:numId w:val="24"/>
        </w:numPr>
        <w:spacing w:before="120" w:after="120" w:line="276" w:lineRule="auto"/>
        <w:ind w:left="785"/>
        <w:jc w:val="both"/>
        <w:rPr>
          <w:b/>
          <w:color w:val="000000"/>
        </w:rPr>
      </w:pPr>
      <w:r>
        <w:rPr>
          <w:b/>
          <w:color w:val="000000"/>
        </w:rPr>
        <w:t xml:space="preserve">Habilitação jurídica: </w:t>
      </w:r>
    </w:p>
    <w:p>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24"/>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color w:val="000000"/>
        </w:rPr>
      </w:pPr>
      <w:r>
        <w:rPr>
          <w:color w:val="000000"/>
        </w:rPr>
        <w:t>Os documentos acima deverão estar acompanhados de todas as alterações ou da consolidação respectiva.</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hanging="720"/>
        <w:jc w:val="both"/>
        <w:rPr>
          <w:color w:val="000000"/>
        </w:rPr>
      </w:pPr>
    </w:p>
    <w:p>
      <w:pPr>
        <w:numPr>
          <w:ilvl w:val="1"/>
          <w:numId w:val="24"/>
        </w:numPr>
        <w:spacing w:before="120" w:after="120" w:line="276" w:lineRule="auto"/>
        <w:ind w:left="425" w:firstLine="0"/>
        <w:jc w:val="both"/>
        <w:rPr>
          <w:b/>
          <w:color w:val="000000"/>
        </w:rPr>
      </w:pPr>
      <w:r>
        <w:rPr>
          <w:b/>
          <w:color w:val="000000"/>
        </w:rPr>
        <w:t xml:space="preserve">  Regularidade fiscal e trabalhista:</w:t>
      </w:r>
    </w:p>
    <w:p>
      <w:pPr>
        <w:numPr>
          <w:ilvl w:val="2"/>
          <w:numId w:val="24"/>
        </w:numPr>
        <w:tabs>
          <w:tab w:val="left" w:pos="1440"/>
        </w:tabs>
        <w:spacing w:before="120" w:after="120" w:line="276" w:lineRule="auto"/>
        <w:ind w:left="1134" w:firstLine="0"/>
        <w:jc w:val="both"/>
      </w:pPr>
      <w:r>
        <w:t>prova de inscrição no Cadastro Nacional de Pessoas Jurídicas;</w:t>
      </w:r>
    </w:p>
    <w:p>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24"/>
        </w:numPr>
        <w:spacing w:before="120" w:after="120" w:line="276" w:lineRule="auto"/>
        <w:ind w:left="425" w:firstLine="0"/>
        <w:jc w:val="both"/>
        <w:rPr>
          <w:b/>
          <w:color w:val="000000"/>
        </w:rPr>
      </w:pPr>
      <w:r>
        <w:rPr>
          <w:b/>
          <w:color w:val="000000"/>
        </w:rPr>
        <w:t xml:space="preserve"> Qualificação Econômico-Financeira: </w:t>
      </w:r>
    </w:p>
    <w:p>
      <w:p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ind w:left="1854" w:hanging="720"/>
        <w:jc w:val="both"/>
        <w:rPr>
          <w:color w:val="000000"/>
          <w:highlight w:val="yellow"/>
        </w:rPr>
      </w:pPr>
    </w:p>
    <w:p>
      <w:pPr>
        <w:numPr>
          <w:ilvl w:val="2"/>
          <w:numId w:val="24"/>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p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854" w:hanging="720"/>
        <w:jc w:val="both"/>
        <w:rPr>
          <w:color w:val="000000"/>
        </w:rPr>
      </w:pPr>
      <w:bookmarkStart w:id="6" w:name="_heading=h.3dy6vkm" w:colFirst="0" w:colLast="0"/>
      <w:bookmarkEnd w:id="6"/>
    </w:p>
    <w:p>
      <w:pPr>
        <w:numPr>
          <w:ilvl w:val="3"/>
          <w:numId w:val="24"/>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LG =</w:t>
            </w:r>
          </w:p>
        </w:tc>
        <w:tc>
          <w:tcPr>
            <w:tcW w:w="4252" w:type="dxa"/>
            <w:tcBorders>
              <w:bottom w:val="single" w:color="000000" w:sz="4" w:space="0"/>
            </w:tcBorders>
            <w:vAlign w:val="bottom"/>
          </w:tcPr>
          <w:p>
            <w:pPr>
              <w:tabs>
                <w:tab w:val="left" w:pos="1440"/>
              </w:tabs>
              <w:spacing w:line="276" w:lineRule="auto"/>
              <w:jc w:val="both"/>
              <w:rPr>
                <w:color w:val="000000"/>
              </w:rPr>
            </w:pPr>
            <w:r>
              <w:rPr>
                <w:color w:val="00000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252"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SG =</w:t>
            </w:r>
          </w:p>
        </w:tc>
        <w:tc>
          <w:tcPr>
            <w:tcW w:w="4394" w:type="dxa"/>
            <w:tcBorders>
              <w:bottom w:val="single" w:color="000000" w:sz="4" w:space="0"/>
            </w:tcBorders>
            <w:vAlign w:val="bottom"/>
          </w:tcPr>
          <w:p>
            <w:pPr>
              <w:tabs>
                <w:tab w:val="left" w:pos="1440"/>
              </w:tabs>
              <w:spacing w:line="276" w:lineRule="auto"/>
              <w:jc w:val="both"/>
              <w:rPr>
                <w:color w:val="000000"/>
              </w:rPr>
            </w:pPr>
            <w:r>
              <w:rPr>
                <w:color w:val="00000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394"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LC =</w:t>
            </w:r>
          </w:p>
        </w:tc>
        <w:tc>
          <w:tcPr>
            <w:tcW w:w="2551" w:type="dxa"/>
            <w:tcBorders>
              <w:bottom w:val="single" w:color="000000" w:sz="4" w:space="0"/>
            </w:tcBorders>
            <w:vAlign w:val="bottom"/>
          </w:tcPr>
          <w:p>
            <w:pPr>
              <w:tabs>
                <w:tab w:val="left" w:pos="1440"/>
              </w:tabs>
              <w:spacing w:line="276" w:lineRule="auto"/>
              <w:jc w:val="both"/>
              <w:rPr>
                <w:color w:val="000000"/>
              </w:rPr>
            </w:pPr>
            <w:r>
              <w:rPr>
                <w:color w:val="00000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2551" w:type="dxa"/>
            <w:tcBorders>
              <w:top w:val="single" w:color="000000" w:sz="4" w:space="0"/>
            </w:tcBorders>
          </w:tcPr>
          <w:p>
            <w:pPr>
              <w:tabs>
                <w:tab w:val="left" w:pos="1440"/>
              </w:tabs>
              <w:spacing w:line="276" w:lineRule="auto"/>
              <w:jc w:val="both"/>
              <w:rPr>
                <w:color w:val="000000"/>
              </w:rPr>
            </w:pPr>
            <w:r>
              <w:rPr>
                <w:color w:val="000000"/>
              </w:rPr>
              <w:t>Passivo Circulante</w:t>
            </w:r>
          </w:p>
        </w:tc>
      </w:tr>
    </w:tbl>
    <w:p>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numPr>
          <w:ilvl w:val="3"/>
          <w:numId w:val="24"/>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numPr>
          <w:ilvl w:val="3"/>
          <w:numId w:val="24"/>
        </w:numPr>
        <w:spacing w:line="276" w:lineRule="auto"/>
        <w:ind w:left="1701" w:firstLine="0"/>
        <w:jc w:val="both"/>
      </w:pPr>
      <w:r>
        <w:rPr>
          <w:rFonts w:cs="Arial"/>
          <w:color w:val="222222"/>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pPr>
        <w:spacing w:line="276" w:lineRule="auto"/>
        <w:jc w:val="both"/>
      </w:pPr>
    </w:p>
    <w:p>
      <w:pPr>
        <w:numPr>
          <w:ilvl w:val="1"/>
          <w:numId w:val="24"/>
        </w:numPr>
        <w:spacing w:before="120" w:after="120" w:line="276" w:lineRule="auto"/>
        <w:ind w:left="425" w:firstLine="0"/>
        <w:jc w:val="both"/>
        <w:rPr>
          <w:b/>
          <w:color w:val="000000"/>
        </w:rPr>
      </w:pPr>
      <w:r>
        <w:rPr>
          <w:b/>
          <w:color w:val="000000"/>
        </w:rPr>
        <w:t xml:space="preserve"> Qualificação Técnica: </w:t>
      </w:r>
    </w:p>
    <w:p>
      <w:pPr>
        <w:numPr>
          <w:ilvl w:val="2"/>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pPr>
        <w:numPr>
          <w:ilvl w:val="4"/>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bookmarkStart w:id="8" w:name="_heading=h.4d34og8" w:colFirst="0" w:colLast="0"/>
      <w:bookmarkEnd w:id="8"/>
      <w:r>
        <w:rPr>
          <w:color w:val="000000"/>
        </w:rPr>
        <w:t>O licitante deverá apresentar também: Atestado(s) ou declaração(ões) de capacidade técnica expedido(s) por pessoa jurídica de direito público ou privado, que comprove ter a licitante executado ou estar executando serviços de gestão de mão de obra terceirizada ou ainda compatíveis e pertinentes</w:t>
      </w:r>
    </w:p>
    <w:p>
      <w:pPr>
        <w:numPr>
          <w:ilvl w:val="4"/>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 xml:space="preserve">Deverá comprovar que tenha executado contrato com um mínimo de </w:t>
      </w:r>
      <w:r>
        <w:rPr>
          <w:rFonts w:hint="default"/>
          <w:color w:val="000000"/>
          <w:lang w:val="pt-BR"/>
        </w:rPr>
        <w:t>5</w:t>
      </w:r>
      <w:r>
        <w:rPr>
          <w:color w:val="000000"/>
        </w:rPr>
        <w:t xml:space="preserve">0% (quarenta por cento) do número de </w:t>
      </w:r>
      <w:r>
        <w:rPr>
          <w:rFonts w:hint="default"/>
          <w:color w:val="000000"/>
          <w:lang w:val="pt-BR"/>
        </w:rPr>
        <w:t xml:space="preserve">postos </w:t>
      </w:r>
      <w:r>
        <w:rPr>
          <w:color w:val="000000"/>
        </w:rPr>
        <w:t xml:space="preserve"> a serem contratados (mínimo de </w:t>
      </w:r>
      <w:r>
        <w:rPr>
          <w:rFonts w:hint="default"/>
          <w:color w:val="000000"/>
          <w:lang w:val="pt-BR"/>
        </w:rPr>
        <w:t>54 postos</w:t>
      </w:r>
      <w:r>
        <w:rPr>
          <w:color w:val="000000"/>
        </w:rPr>
        <w:t xml:space="preserve">) por pelo menos </w:t>
      </w:r>
      <w:r>
        <w:rPr>
          <w:rFonts w:hint="default"/>
          <w:color w:val="000000"/>
          <w:lang w:val="pt-BR"/>
        </w:rPr>
        <w:t>24</w:t>
      </w:r>
      <w:r>
        <w:rPr>
          <w:color w:val="000000"/>
        </w:rPr>
        <w:t xml:space="preserve"> meses;</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24"/>
        </w:numPr>
        <w:spacing w:before="120" w:after="120" w:line="276" w:lineRule="auto"/>
        <w:ind w:left="1701" w:firstLine="0"/>
        <w:jc w:val="both"/>
        <w:rPr>
          <w:color w:val="000000"/>
        </w:rPr>
      </w:pPr>
      <w:r>
        <w:rPr>
          <w:color w:val="000000"/>
        </w:rPr>
        <w:t>Será aceito o somatório de atestados que comprovem que o licitante gerencia ou gerenciou serviços de terceirização compatíveis com o objeto licitado por período não inferior a 2 (dois) anos, referentes a períodos sucessivos não contínuos, não havendo obrigatoriedade de os dois anos serem ininterruptos.</w:t>
      </w:r>
    </w:p>
    <w:p>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numPr>
          <w:ilvl w:val="2"/>
          <w:numId w:val="24"/>
        </w:numPr>
        <w:tabs>
          <w:tab w:val="left" w:pos="1440"/>
        </w:tabs>
        <w:spacing w:before="120" w:after="120" w:line="276" w:lineRule="auto"/>
        <w:ind w:left="1134" w:firstLine="0"/>
        <w:jc w:val="both"/>
        <w:rPr>
          <w:rFonts w:cs="Arial"/>
          <w:iCs/>
          <w:szCs w:val="20"/>
        </w:rPr>
      </w:pPr>
      <w:r>
        <w:rPr>
          <w:iCs/>
        </w:rPr>
        <w:t>Declaração</w:t>
      </w:r>
      <w:r>
        <w:rPr>
          <w:rFonts w:cs="Arial"/>
          <w:iCs/>
          <w:szCs w:val="20"/>
        </w:rPr>
        <w:t xml:space="preserve"> de que instalará escritório na região metropolitana de Niterói, a ser comprovado no prazo máximo de 60 (sessenta) dias contado a partir da vigência do contrato, ou cidade próxima, cumprimento ao disposto no item 10.6, ‘a’, do anexo VII da IN SEGES/MP nº 05/2017, conforme modelo do Anexo V-A deste Edital. Caso a licitante já disponha de matriz, filial ou escritório no local definido, deverá declarar a instalação/manutenção do escritório.</w:t>
      </w:r>
    </w:p>
    <w:p>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p>
      <w:pPr>
        <w:numPr>
          <w:ilvl w:val="1"/>
          <w:numId w:val="24"/>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ENCAMINHAMENTO DA PROPOSTA VENCEDORA</w:t>
      </w:r>
    </w:p>
    <w:p>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pPr>
        <w:numPr>
          <w:ilvl w:val="2"/>
          <w:numId w:val="25"/>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pPr>
        <w:numPr>
          <w:ilvl w:val="2"/>
          <w:numId w:val="25"/>
        </w:numPr>
        <w:pBdr>
          <w:top w:val="none" w:color="auto" w:sz="0" w:space="0"/>
          <w:left w:val="none" w:color="auto" w:sz="0" w:space="0"/>
          <w:bottom w:val="none" w:color="auto" w:sz="0" w:space="0"/>
          <w:right w:val="none" w:color="auto" w:sz="0" w:space="0"/>
          <w:between w:val="none" w:color="auto" w:sz="0" w:space="0"/>
        </w:pBd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pPr>
        <w:numPr>
          <w:ilvl w:val="2"/>
          <w:numId w:val="25"/>
        </w:numPr>
        <w:pBdr>
          <w:top w:val="none" w:color="auto" w:sz="0" w:space="0"/>
          <w:left w:val="none" w:color="auto" w:sz="0" w:space="0"/>
          <w:bottom w:val="none" w:color="auto" w:sz="0" w:space="0"/>
          <w:right w:val="none" w:color="auto" w:sz="0" w:space="0"/>
          <w:between w:val="none" w:color="auto" w:sz="0" w:space="0"/>
        </w:pBdr>
        <w:spacing w:after="120" w:line="276" w:lineRule="auto"/>
        <w:ind w:left="1134" w:firstLine="0"/>
        <w:jc w:val="both"/>
        <w:rPr>
          <w:iCs/>
        </w:rPr>
      </w:pPr>
      <w:r>
        <w:rPr>
          <w:iCs/>
        </w:rPr>
        <w:t>conter a indicação do banco, número da conta e agência do licitante vencedor, para fins de pagamento.</w:t>
      </w:r>
    </w:p>
    <w:p>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pPr>
        <w:numPr>
          <w:ilvl w:val="2"/>
          <w:numId w:val="25"/>
        </w:numPr>
        <w:spacing w:before="120" w:after="120" w:line="276" w:lineRule="auto"/>
        <w:ind w:left="1134" w:firstLine="0"/>
        <w:jc w:val="both"/>
        <w:rPr>
          <w:iCs/>
        </w:rPr>
      </w:pPr>
      <w:r>
        <w:rPr>
          <w:iCs/>
        </w:rPr>
        <w:t>Todas as especificações do objeto contidas na proposta vinculam a Contratada.</w:t>
      </w:r>
    </w:p>
    <w:p>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25"/>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25"/>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DOS RECURSOS</w:t>
      </w:r>
    </w:p>
    <w:p>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REABERTURA DA SESSÃO PÚBLICA</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color w:val="000000"/>
        </w:rPr>
      </w:pPr>
      <w:r>
        <w:rPr>
          <w:color w:val="000000"/>
        </w:rPr>
        <w:t>A sessão pública poderá ser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ADJUDICAÇÃO E HOMOLOGAÇÃO</w:t>
      </w:r>
    </w:p>
    <w:p>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GARANTIA DE EXECUÇÃO</w:t>
      </w:r>
    </w:p>
    <w:p>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TERMO DE CONTRATO</w:t>
      </w:r>
    </w:p>
    <w:p>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highlight w:val="white"/>
        </w:rPr>
        <w:t>DO REAJUSTAMENTO EM SENTIDO GERAL</w:t>
      </w:r>
    </w:p>
    <w:p>
      <w:pPr>
        <w:keepNext/>
        <w:keepLines/>
        <w:numPr>
          <w:ilvl w:val="1"/>
          <w:numId w:val="26"/>
        </w:numPr>
        <w:pBdr>
          <w:top w:val="none" w:color="auto" w:sz="0" w:space="0"/>
          <w:left w:val="none" w:color="auto" w:sz="0" w:space="0"/>
          <w:bottom w:val="none" w:color="auto" w:sz="0" w:space="0"/>
          <w:right w:val="none" w:color="auto" w:sz="0" w:space="0"/>
          <w:between w:val="none" w:color="auto" w:sz="0" w:space="0"/>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360" w:after="120" w:line="276" w:lineRule="auto"/>
        <w:ind w:right="-15"/>
        <w:jc w:val="both"/>
        <w:rPr>
          <w:b/>
          <w:color w:val="000000"/>
        </w:rPr>
      </w:pPr>
      <w:r>
        <w:rPr>
          <w:b/>
          <w:color w:val="000000"/>
        </w:rPr>
        <w:t>DA ACEITAÇÃO DO OBJETO E DA FISCALIZAÇÃO</w:t>
      </w:r>
    </w:p>
    <w:p>
      <w:pPr>
        <w:numPr>
          <w:ilvl w:val="1"/>
          <w:numId w:val="26"/>
        </w:numPr>
        <w:spacing w:before="120" w:after="120" w:line="276" w:lineRule="auto"/>
        <w:ind w:left="425" w:firstLine="0"/>
        <w:jc w:val="both"/>
      </w:pPr>
      <w:r>
        <w:t>Os critérios de aceitação do objeto e de fiscalização estão previstos no Termo de Referência.</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OBRIGAÇÕES DA CONTRATANTE E DA CONTRATADA</w:t>
      </w:r>
    </w:p>
    <w:p>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PAGAMENTO</w:t>
      </w:r>
    </w:p>
    <w:p>
      <w:pPr>
        <w:numPr>
          <w:ilvl w:val="1"/>
          <w:numId w:val="26"/>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As regras acerca do pagamento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
        </w:rPr>
      </w:pPr>
      <w:r>
        <w:rPr>
          <w:b/>
          <w:i/>
        </w:rPr>
        <w:t>DA CONTA-DEPÓSITO VINCULADA</w:t>
      </w:r>
      <w:r>
        <w:rPr>
          <w:b/>
          <w:i/>
          <w:highlight w:val="white"/>
        </w:rPr>
        <w:t>― BLOQUEADA PARA MOVIMENTAÇÃO</w:t>
      </w:r>
    </w:p>
    <w:p>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SANÇÕES ADMINISTRATIVAS.</w:t>
      </w:r>
    </w:p>
    <w:p>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27"/>
        </w:numPr>
        <w:spacing w:before="120" w:after="120" w:line="276" w:lineRule="auto"/>
        <w:jc w:val="both"/>
        <w:rPr>
          <w:color w:val="000000"/>
        </w:rPr>
      </w:pPr>
      <w:r>
        <w:rPr>
          <w:color w:val="000000"/>
        </w:rPr>
        <w:t>não assinar a ata de registro de preços, quando cabível;</w:t>
      </w:r>
    </w:p>
    <w:p>
      <w:pPr>
        <w:numPr>
          <w:ilvl w:val="2"/>
          <w:numId w:val="27"/>
        </w:numPr>
        <w:spacing w:before="120" w:after="120" w:line="276" w:lineRule="auto"/>
        <w:jc w:val="both"/>
        <w:rPr>
          <w:color w:val="000000"/>
        </w:rPr>
      </w:pPr>
      <w:r>
        <w:rPr>
          <w:color w:val="000000"/>
        </w:rPr>
        <w:t>apresentar documentação falsa;</w:t>
      </w:r>
    </w:p>
    <w:p>
      <w:pPr>
        <w:numPr>
          <w:ilvl w:val="2"/>
          <w:numId w:val="27"/>
        </w:numPr>
        <w:spacing w:before="120" w:after="120" w:line="276" w:lineRule="auto"/>
        <w:jc w:val="both"/>
        <w:rPr>
          <w:color w:val="000000"/>
        </w:rPr>
      </w:pPr>
      <w:r>
        <w:rPr>
          <w:color w:val="000000"/>
        </w:rPr>
        <w:t>deixar de entregar os documentos exigidos no certame;</w:t>
      </w:r>
    </w:p>
    <w:p>
      <w:pPr>
        <w:numPr>
          <w:ilvl w:val="2"/>
          <w:numId w:val="27"/>
        </w:numPr>
        <w:spacing w:before="120" w:after="120" w:line="276" w:lineRule="auto"/>
        <w:jc w:val="both"/>
        <w:rPr>
          <w:color w:val="000000"/>
        </w:rPr>
      </w:pPr>
      <w:r>
        <w:rPr>
          <w:color w:val="000000"/>
        </w:rPr>
        <w:t>ensejar o retardamento da execução do objeto;</w:t>
      </w:r>
    </w:p>
    <w:p>
      <w:pPr>
        <w:numPr>
          <w:ilvl w:val="2"/>
          <w:numId w:val="27"/>
        </w:numPr>
        <w:spacing w:before="120" w:after="120" w:line="276" w:lineRule="auto"/>
        <w:jc w:val="both"/>
        <w:rPr>
          <w:color w:val="000000"/>
        </w:rPr>
      </w:pPr>
      <w:r>
        <w:rPr>
          <w:color w:val="000000"/>
        </w:rPr>
        <w:t>não mantiver a proposta;</w:t>
      </w:r>
    </w:p>
    <w:p>
      <w:pPr>
        <w:numPr>
          <w:ilvl w:val="2"/>
          <w:numId w:val="27"/>
        </w:numPr>
        <w:spacing w:before="120" w:after="120" w:line="276" w:lineRule="auto"/>
        <w:jc w:val="both"/>
        <w:rPr>
          <w:color w:val="000000"/>
        </w:rPr>
      </w:pPr>
      <w:r>
        <w:rPr>
          <w:color w:val="000000"/>
        </w:rPr>
        <w:t>cometer fraude fiscal;</w:t>
      </w:r>
    </w:p>
    <w:p>
      <w:pPr>
        <w:numPr>
          <w:ilvl w:val="2"/>
          <w:numId w:val="27"/>
        </w:numPr>
        <w:spacing w:before="120" w:after="120" w:line="276" w:lineRule="auto"/>
        <w:jc w:val="both"/>
        <w:rPr>
          <w:color w:val="000000"/>
        </w:rPr>
      </w:pPr>
      <w:r>
        <w:rPr>
          <w:color w:val="000000"/>
        </w:rPr>
        <w:t>comportar-se de modo inidôneo;</w:t>
      </w:r>
    </w:p>
    <w:p>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pPr>
        <w:numPr>
          <w:ilvl w:val="2"/>
          <w:numId w:val="27"/>
        </w:numPr>
        <w:pBdr>
          <w:top w:val="none" w:color="auto" w:sz="0" w:space="0"/>
          <w:left w:val="none" w:color="auto" w:sz="0" w:space="0"/>
          <w:bottom w:val="none" w:color="auto" w:sz="0" w:space="0"/>
          <w:right w:val="none" w:color="auto" w:sz="0" w:space="0"/>
          <w:between w:val="none" w:color="auto" w:sz="0" w:space="0"/>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7"/>
        </w:numPr>
        <w:spacing w:before="120" w:after="120" w:line="276" w:lineRule="auto"/>
        <w:ind w:left="425" w:firstLine="0"/>
        <w:jc w:val="both"/>
        <w:rPr>
          <w:color w:val="000000"/>
        </w:rPr>
      </w:pPr>
      <w:r>
        <w:rPr>
          <w:color w:val="000000"/>
        </w:rPr>
        <w:t>As penalidades serão obrigatoriamente registradas no SICAF.</w:t>
      </w:r>
    </w:p>
    <w:p>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IMPUGNAÇÃO AO EDITAL E DO PEDIDO DE ESCLARECIMENTO</w:t>
      </w:r>
    </w:p>
    <w:p>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27"/>
        </w:numPr>
        <w:tabs>
          <w:tab w:val="left" w:pos="284"/>
        </w:tabs>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 cpl@id.uff.br.</w:t>
      </w:r>
    </w:p>
    <w:p>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DISPOSIÇÕES GERAIS</w:t>
      </w:r>
    </w:p>
    <w:p>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27"/>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27"/>
        </w:numPr>
        <w:spacing w:before="120" w:after="120" w:line="276" w:lineRule="auto"/>
        <w:ind w:left="425" w:firstLine="0"/>
        <w:jc w:val="both"/>
        <w:rPr>
          <w:color w:val="000000"/>
        </w:rPr>
      </w:pPr>
      <w:r>
        <w:rPr>
          <w:color w:val="000000"/>
        </w:rPr>
        <w:t>Integram este Edital, para todos os fins e efeitos, os seguintes anexos:</w:t>
      </w:r>
    </w:p>
    <w:p>
      <w:pPr>
        <w:autoSpaceDE w:val="0"/>
        <w:autoSpaceDN w:val="0"/>
        <w:adjustRightInd w:val="0"/>
        <w:spacing w:before="120" w:after="120"/>
        <w:jc w:val="both"/>
        <w:rPr>
          <w:rFonts w:cs="Arial"/>
          <w:szCs w:val="20"/>
        </w:rPr>
      </w:pPr>
      <w:r>
        <w:rPr>
          <w:rFonts w:cs="Arial"/>
          <w:b/>
          <w:szCs w:val="20"/>
        </w:rPr>
        <w:t>Anexo I</w:t>
      </w:r>
      <w:r>
        <w:rPr>
          <w:rFonts w:cs="Arial"/>
          <w:szCs w:val="20"/>
        </w:rPr>
        <w:t xml:space="preserve"> - Termo de Referência;</w:t>
      </w:r>
    </w:p>
    <w:p>
      <w:pPr>
        <w:autoSpaceDE w:val="0"/>
        <w:autoSpaceDN w:val="0"/>
        <w:adjustRightInd w:val="0"/>
        <w:spacing w:before="120" w:after="120"/>
        <w:jc w:val="both"/>
        <w:rPr>
          <w:rFonts w:hint="default" w:cs="Arial"/>
          <w:b w:val="0"/>
          <w:bCs/>
          <w:szCs w:val="20"/>
          <w:lang w:val="pt-BR"/>
        </w:rPr>
      </w:pPr>
      <w:r>
        <w:rPr>
          <w:rFonts w:cs="Arial"/>
          <w:b/>
          <w:szCs w:val="20"/>
        </w:rPr>
        <w:t>Anexo II</w:t>
      </w:r>
      <w:r>
        <w:rPr>
          <w:rFonts w:hint="default" w:cs="Arial"/>
          <w:b/>
          <w:szCs w:val="20"/>
          <w:lang w:val="pt-BR"/>
        </w:rPr>
        <w:t xml:space="preserve">, III e IV - </w:t>
      </w:r>
      <w:r>
        <w:rPr>
          <w:rFonts w:hint="default" w:cs="Arial"/>
          <w:b w:val="0"/>
          <w:bCs/>
          <w:szCs w:val="20"/>
          <w:lang w:val="pt-BR"/>
        </w:rPr>
        <w:t>Planilhas de Formação de Custos;</w:t>
      </w:r>
    </w:p>
    <w:p>
      <w:pPr>
        <w:autoSpaceDE w:val="0"/>
        <w:autoSpaceDN w:val="0"/>
        <w:adjustRightInd w:val="0"/>
        <w:spacing w:before="120" w:after="120"/>
        <w:jc w:val="both"/>
        <w:rPr>
          <w:rFonts w:cs="Arial"/>
          <w:szCs w:val="20"/>
        </w:rPr>
      </w:pPr>
      <w:r>
        <w:rPr>
          <w:rFonts w:cs="Arial"/>
          <w:b/>
          <w:szCs w:val="20"/>
        </w:rPr>
        <w:t>Anexo V-A</w:t>
      </w:r>
      <w:r>
        <w:rPr>
          <w:rFonts w:cs="Arial"/>
          <w:szCs w:val="20"/>
        </w:rPr>
        <w:t xml:space="preserve"> – Modelo de Proposta Comercial;</w:t>
      </w:r>
    </w:p>
    <w:p>
      <w:pPr>
        <w:autoSpaceDE w:val="0"/>
        <w:autoSpaceDN w:val="0"/>
        <w:adjustRightInd w:val="0"/>
        <w:spacing w:before="120" w:after="120"/>
        <w:jc w:val="both"/>
        <w:rPr>
          <w:rFonts w:cs="Arial"/>
          <w:szCs w:val="20"/>
        </w:rPr>
      </w:pPr>
      <w:r>
        <w:rPr>
          <w:rFonts w:cs="Arial"/>
          <w:b/>
          <w:szCs w:val="20"/>
        </w:rPr>
        <w:t xml:space="preserve">Anexo V-B </w:t>
      </w:r>
      <w:r>
        <w:rPr>
          <w:rFonts w:cs="Arial"/>
          <w:szCs w:val="20"/>
        </w:rPr>
        <w:t>– Modelo de Declaração de Vistoria</w:t>
      </w:r>
    </w:p>
    <w:p>
      <w:pPr>
        <w:autoSpaceDE w:val="0"/>
        <w:autoSpaceDN w:val="0"/>
        <w:adjustRightInd w:val="0"/>
        <w:spacing w:before="120" w:after="120"/>
        <w:jc w:val="both"/>
        <w:rPr>
          <w:rFonts w:cs="Arial"/>
          <w:szCs w:val="20"/>
        </w:rPr>
      </w:pPr>
      <w:r>
        <w:rPr>
          <w:rFonts w:cs="Arial"/>
          <w:b/>
          <w:szCs w:val="20"/>
        </w:rPr>
        <w:t>Anexo VI</w:t>
      </w:r>
      <w:r>
        <w:rPr>
          <w:rFonts w:cs="Arial"/>
          <w:szCs w:val="20"/>
        </w:rPr>
        <w:t xml:space="preserve"> – Termo de Conciliação Judicial </w:t>
      </w:r>
    </w:p>
    <w:p>
      <w:pPr>
        <w:pBdr>
          <w:between w:val="none" w:color="auto" w:sz="0" w:space="0"/>
        </w:pBd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pPr>
        <w:pBdr>
          <w:between w:val="none" w:color="auto" w:sz="0" w:space="0"/>
        </w:pBdr>
        <w:spacing w:before="120" w:after="120" w:line="276" w:lineRule="auto"/>
        <w:jc w:val="both"/>
        <w:rPr>
          <w:rFonts w:hint="default" w:cs="Arial"/>
          <w:szCs w:val="20"/>
          <w:lang w:val="pt-BR"/>
        </w:rPr>
      </w:pPr>
      <w:r>
        <w:rPr>
          <w:rFonts w:cs="Arial"/>
          <w:b/>
          <w:szCs w:val="20"/>
        </w:rPr>
        <w:t xml:space="preserve">Anexo VIII </w:t>
      </w:r>
      <w:r>
        <w:rPr>
          <w:rFonts w:cs="Arial"/>
          <w:szCs w:val="20"/>
        </w:rPr>
        <w:t>- Instrumento de Medição de Resultados (IMR)</w:t>
      </w:r>
      <w:r>
        <w:rPr>
          <w:rFonts w:hint="default" w:cs="Arial"/>
          <w:szCs w:val="20"/>
          <w:lang w:val="pt-BR"/>
        </w:rPr>
        <w:t>;</w:t>
      </w:r>
    </w:p>
    <w:p>
      <w:pPr>
        <w:autoSpaceDE w:val="0"/>
        <w:autoSpaceDN w:val="0"/>
        <w:adjustRightInd w:val="0"/>
        <w:spacing w:before="120" w:after="120"/>
        <w:jc w:val="both"/>
        <w:rPr>
          <w:rFonts w:hint="default" w:cs="Arial"/>
          <w:szCs w:val="20"/>
          <w:lang w:val="pt-BR"/>
        </w:rPr>
      </w:pPr>
      <w:r>
        <w:rPr>
          <w:rFonts w:cs="Arial"/>
          <w:b/>
          <w:szCs w:val="20"/>
        </w:rPr>
        <w:t xml:space="preserve">Anexo IX - </w:t>
      </w:r>
      <w:r>
        <w:rPr>
          <w:rFonts w:cs="Arial"/>
          <w:szCs w:val="20"/>
        </w:rPr>
        <w:t>C</w:t>
      </w:r>
      <w:r>
        <w:rPr>
          <w:rFonts w:hint="default" w:cs="Arial"/>
          <w:szCs w:val="20"/>
          <w:lang w:val="pt-BR"/>
        </w:rPr>
        <w:t>CT RJ 002912.2021;</w:t>
      </w:r>
    </w:p>
    <w:p>
      <w:pPr>
        <w:autoSpaceDE w:val="0"/>
        <w:autoSpaceDN w:val="0"/>
        <w:adjustRightInd w:val="0"/>
        <w:spacing w:before="120" w:after="120"/>
        <w:jc w:val="both"/>
        <w:rPr>
          <w:rFonts w:hint="default" w:cs="Arial"/>
          <w:szCs w:val="20"/>
          <w:lang w:val="pt-BR"/>
        </w:rPr>
      </w:pPr>
      <w:r>
        <w:rPr>
          <w:rFonts w:hint="default" w:cs="Arial"/>
          <w:b/>
          <w:bCs/>
          <w:szCs w:val="20"/>
          <w:lang w:val="pt-BR"/>
        </w:rPr>
        <w:t>Anexo X</w:t>
      </w:r>
      <w:r>
        <w:rPr>
          <w:rFonts w:hint="default" w:cs="Arial"/>
          <w:szCs w:val="20"/>
          <w:lang w:val="pt-BR"/>
        </w:rPr>
        <w:t xml:space="preserve"> - CCT RJ 001377.2021;</w:t>
      </w:r>
    </w:p>
    <w:p>
      <w:pPr>
        <w:autoSpaceDE w:val="0"/>
        <w:autoSpaceDN w:val="0"/>
        <w:adjustRightInd w:val="0"/>
        <w:spacing w:before="120" w:after="120"/>
        <w:jc w:val="both"/>
        <w:rPr>
          <w:rFonts w:hint="default" w:cs="Arial"/>
          <w:szCs w:val="20"/>
          <w:lang w:val="pt-BR"/>
        </w:rPr>
      </w:pPr>
      <w:r>
        <w:rPr>
          <w:rFonts w:cs="Arial"/>
          <w:b/>
          <w:szCs w:val="20"/>
        </w:rPr>
        <w:t>Anexo X</w:t>
      </w:r>
      <w:r>
        <w:rPr>
          <w:rFonts w:hint="default" w:cs="Arial"/>
          <w:b/>
          <w:szCs w:val="20"/>
          <w:lang w:val="pt-BR"/>
        </w:rPr>
        <w:t>I</w:t>
      </w:r>
      <w:r>
        <w:rPr>
          <w:rFonts w:cs="Arial"/>
          <w:b/>
          <w:szCs w:val="20"/>
        </w:rPr>
        <w:t xml:space="preserve"> </w:t>
      </w:r>
      <w:r>
        <w:rPr>
          <w:rFonts w:cs="Arial"/>
          <w:szCs w:val="20"/>
        </w:rPr>
        <w:t>– Memória de Cálculo da Planilha de Custos e Formação de Preços</w:t>
      </w:r>
      <w:r>
        <w:rPr>
          <w:rFonts w:hint="default" w:cs="Arial"/>
          <w:szCs w:val="20"/>
          <w:lang w:val="pt-BR"/>
        </w:rPr>
        <w:t>;</w:t>
      </w:r>
    </w:p>
    <w:p>
      <w:pPr>
        <w:autoSpaceDE w:val="0"/>
        <w:autoSpaceDN w:val="0"/>
        <w:adjustRightInd w:val="0"/>
        <w:spacing w:before="120" w:after="120"/>
        <w:jc w:val="both"/>
        <w:rPr>
          <w:rFonts w:hint="default" w:cs="Arial"/>
          <w:szCs w:val="20"/>
          <w:lang w:val="pt-BR"/>
        </w:rPr>
      </w:pPr>
      <w:r>
        <w:rPr>
          <w:rFonts w:hint="default" w:cs="Arial"/>
          <w:b/>
          <w:bCs/>
          <w:szCs w:val="20"/>
          <w:lang w:val="pt-BR"/>
        </w:rPr>
        <w:t>Anexo XII</w:t>
      </w:r>
      <w:r>
        <w:rPr>
          <w:rFonts w:hint="default" w:cs="Arial"/>
          <w:szCs w:val="20"/>
          <w:lang w:val="pt-BR"/>
        </w:rPr>
        <w:t xml:space="preserve"> - Modelo Termo de Cooperação Técnica.</w:t>
      </w:r>
    </w:p>
    <w:p>
      <w:pPr>
        <w:autoSpaceDE w:val="0"/>
        <w:autoSpaceDN w:val="0"/>
        <w:adjustRightInd w:val="0"/>
        <w:spacing w:before="120" w:after="120"/>
        <w:jc w:val="both"/>
        <w:rPr>
          <w:rFonts w:cs="Arial"/>
          <w:szCs w:val="20"/>
        </w:rPr>
      </w:pPr>
    </w:p>
    <w:p>
      <w:pPr>
        <w:spacing w:before="120" w:after="120" w:line="276" w:lineRule="auto"/>
        <w:jc w:val="both"/>
        <w:rPr>
          <w:color w:val="000000"/>
        </w:rPr>
      </w:pPr>
    </w:p>
    <w:p>
      <w:pPr>
        <w:spacing w:before="120" w:after="120" w:line="276" w:lineRule="auto"/>
        <w:jc w:val="center"/>
        <w:rPr>
          <w:color w:val="000000"/>
        </w:rPr>
      </w:pPr>
    </w:p>
    <w:p>
      <w:pPr>
        <w:spacing w:before="120" w:after="120" w:line="276" w:lineRule="auto"/>
        <w:jc w:val="center"/>
        <w:rPr>
          <w:color w:val="000000"/>
        </w:rPr>
      </w:pPr>
    </w:p>
    <w:p>
      <w:pPr>
        <w:spacing w:before="120" w:after="120" w:line="276" w:lineRule="auto"/>
        <w:jc w:val="center"/>
        <w:rPr>
          <w:color w:val="000000"/>
        </w:rPr>
      </w:pPr>
      <w:r>
        <w:rPr>
          <w:color w:val="000000"/>
        </w:rPr>
        <w:t xml:space="preserve">Niterói, </w:t>
      </w:r>
      <w:r>
        <w:rPr>
          <w:rFonts w:hint="default"/>
          <w:color w:val="000000"/>
          <w:lang w:val="pt-BR"/>
        </w:rPr>
        <w:t>25 de janeiro de 2022</w:t>
      </w:r>
      <w:r>
        <w:rPr>
          <w:color w:val="000000"/>
        </w:rPr>
        <w:t>.</w:t>
      </w:r>
    </w:p>
    <w:p>
      <w:pPr>
        <w:spacing w:before="120" w:after="120" w:line="276" w:lineRule="auto"/>
        <w:jc w:val="center"/>
      </w:pPr>
    </w:p>
    <w:p>
      <w:pPr>
        <w:spacing w:before="120" w:after="120" w:line="276" w:lineRule="auto"/>
        <w:jc w:val="center"/>
      </w:pPr>
    </w:p>
    <w:p>
      <w:pPr>
        <w:spacing w:before="120" w:after="120" w:line="276" w:lineRule="auto"/>
        <w:jc w:val="center"/>
        <w:rPr>
          <w:rFonts w:hint="default"/>
          <w:lang w:val="pt-BR"/>
        </w:rPr>
      </w:pPr>
      <w:r>
        <w:rPr>
          <w:rFonts w:hint="default"/>
          <w:lang w:val="pt-BR"/>
        </w:rPr>
        <w:t>__________________________</w:t>
      </w:r>
    </w:p>
    <w:p>
      <w:pPr>
        <w:spacing w:before="120" w:after="120" w:line="276" w:lineRule="auto"/>
        <w:jc w:val="center"/>
        <w:rPr>
          <w:rFonts w:hint="default"/>
          <w:color w:val="000000"/>
          <w:lang w:val="pt-BR"/>
        </w:rPr>
      </w:pPr>
      <w:r>
        <w:rPr>
          <w:rFonts w:hint="default"/>
          <w:color w:val="000000"/>
          <w:lang w:val="pt-BR"/>
        </w:rPr>
        <w:t>CLI/PROAD/UFF</w:t>
      </w:r>
    </w:p>
    <w:sectPr>
      <w:headerReference r:id="rId3" w:type="default"/>
      <w:footerReference r:id="rId4" w:type="default"/>
      <w:pgSz w:w="11906" w:h="16838"/>
      <w:pgMar w:top="1418" w:right="1134"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hint="default"/>
        <w:color w:val="000000"/>
        <w:lang w:val="pt-BR"/>
      </w:rPr>
    </w:pPr>
    <w:bookmarkStart w:id="11" w:name="_heading=h.3znysh7" w:colFirst="0" w:colLast="0"/>
    <w:bookmarkEnd w:id="11"/>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23069.170671/2021-81 </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Verdana" w:hAnsi="Verdana" w:eastAsia="Verdana" w:cs="Verdana"/>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61541"/>
    <w:multiLevelType w:val="multilevel"/>
    <w:tmpl w:val="00A61541"/>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0286043D"/>
    <w:multiLevelType w:val="multilevel"/>
    <w:tmpl w:val="0286043D"/>
    <w:lvl w:ilvl="0" w:tentative="0">
      <w:start w:val="8"/>
      <w:numFmt w:val="decimal"/>
      <w:lvlText w:val="%1"/>
      <w:lvlJc w:val="left"/>
      <w:pPr>
        <w:ind w:left="540" w:hanging="540"/>
      </w:pPr>
    </w:lvl>
    <w:lvl w:ilvl="1" w:tentative="0">
      <w:start w:val="6"/>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
    <w:nsid w:val="0523419A"/>
    <w:multiLevelType w:val="multilevel"/>
    <w:tmpl w:val="0523419A"/>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3">
    <w:nsid w:val="0AB56447"/>
    <w:multiLevelType w:val="multilevel"/>
    <w:tmpl w:val="0AB56447"/>
    <w:lvl w:ilvl="0" w:tentative="0">
      <w:start w:val="21"/>
      <w:numFmt w:val="decimal"/>
      <w:lvlText w:val="%1"/>
      <w:lvlJc w:val="left"/>
      <w:pPr>
        <w:ind w:left="375" w:hanging="375"/>
      </w:p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D390840"/>
    <w:multiLevelType w:val="multilevel"/>
    <w:tmpl w:val="0D390840"/>
    <w:lvl w:ilvl="0" w:tentative="0">
      <w:start w:val="1"/>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E017A58"/>
    <w:multiLevelType w:val="multilevel"/>
    <w:tmpl w:val="0E017A58"/>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6">
    <w:nsid w:val="11B742B1"/>
    <w:multiLevelType w:val="multilevel"/>
    <w:tmpl w:val="11B742B1"/>
    <w:lvl w:ilvl="0" w:tentative="0">
      <w:start w:val="1"/>
      <w:numFmt w:val="decimal"/>
      <w:lvlText w:val="%1."/>
      <w:lvlJc w:val="left"/>
      <w:pPr>
        <w:ind w:left="360" w:hanging="360"/>
      </w:pPr>
      <w:rPr>
        <w:rFonts w:ascii="Arial" w:hAnsi="Arial" w:eastAsia="Arial" w:cs="Arial"/>
        <w:b/>
      </w:rPr>
    </w:lvl>
    <w:lvl w:ilvl="1" w:tentative="0">
      <w:start w:val="13"/>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B6060CF"/>
    <w:multiLevelType w:val="multilevel"/>
    <w:tmpl w:val="1B6060CF"/>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8">
    <w:nsid w:val="24D07EBA"/>
    <w:multiLevelType w:val="multilevel"/>
    <w:tmpl w:val="24D07EBA"/>
    <w:lvl w:ilvl="0" w:tentative="0">
      <w:start w:val="4"/>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2EEE1BE3"/>
    <w:multiLevelType w:val="multilevel"/>
    <w:tmpl w:val="2EEE1BE3"/>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b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31153A8C"/>
    <w:multiLevelType w:val="multilevel"/>
    <w:tmpl w:val="31153A8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1">
    <w:nsid w:val="34573D8B"/>
    <w:multiLevelType w:val="multilevel"/>
    <w:tmpl w:val="34573D8B"/>
    <w:lvl w:ilvl="0" w:tentative="0">
      <w:start w:val="6"/>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38DA3220"/>
    <w:multiLevelType w:val="multilevel"/>
    <w:tmpl w:val="38DA3220"/>
    <w:lvl w:ilvl="0" w:tentative="0">
      <w:start w:val="10"/>
      <w:numFmt w:val="decimal"/>
      <w:lvlText w:val="%1"/>
      <w:lvlJc w:val="left"/>
      <w:pPr>
        <w:ind w:left="360" w:hanging="360"/>
      </w:pPr>
    </w:lvl>
    <w:lvl w:ilvl="1" w:tentative="0">
      <w:start w:val="1"/>
      <w:numFmt w:val="decimal"/>
      <w:lvlText w:val="%1.%2"/>
      <w:lvlJc w:val="left"/>
      <w:pPr>
        <w:ind w:left="785" w:hanging="360"/>
      </w:pPr>
      <w:rPr>
        <w:b w:val="0"/>
        <w:color w:val="00000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39390FA0"/>
    <w:multiLevelType w:val="multilevel"/>
    <w:tmpl w:val="39390FA0"/>
    <w:lvl w:ilvl="0" w:tentative="0">
      <w:start w:val="6"/>
      <w:numFmt w:val="decimal"/>
      <w:lvlText w:val="%1."/>
      <w:lvlJc w:val="left"/>
      <w:pPr>
        <w:ind w:left="360" w:hanging="360"/>
      </w:pPr>
      <w:rPr>
        <w:rFonts w:ascii="Arial" w:hAnsi="Arial" w:eastAsia="Arial" w:cs="Arial"/>
        <w:b/>
      </w:rPr>
    </w:lvl>
    <w:lvl w:ilvl="1" w:tentative="0">
      <w:start w:val="9"/>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3F3E6BAA"/>
    <w:multiLevelType w:val="multilevel"/>
    <w:tmpl w:val="3F3E6BAA"/>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5">
    <w:nsid w:val="47A26325"/>
    <w:multiLevelType w:val="multilevel"/>
    <w:tmpl w:val="47A26325"/>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16">
    <w:nsid w:val="48204390"/>
    <w:multiLevelType w:val="multilevel"/>
    <w:tmpl w:val="48204390"/>
    <w:lvl w:ilvl="0" w:tentative="0">
      <w:start w:val="9"/>
      <w:numFmt w:val="decimal"/>
      <w:lvlText w:val="%1"/>
      <w:lvlJc w:val="left"/>
      <w:pPr>
        <w:ind w:left="360" w:hanging="360"/>
      </w:pPr>
    </w:lvl>
    <w:lvl w:ilvl="1" w:tentative="0">
      <w:start w:val="8"/>
      <w:numFmt w:val="decimal"/>
      <w:lvlText w:val="%1.%2"/>
      <w:lvlJc w:val="left"/>
      <w:pPr>
        <w:ind w:left="927" w:hanging="360"/>
      </w:pPr>
      <w:rPr>
        <w:b w:val="0"/>
      </w:rPr>
    </w:lvl>
    <w:lvl w:ilvl="2" w:tentative="0">
      <w:start w:val="1"/>
      <w:numFmt w:val="decimal"/>
      <w:lvlText w:val="%1.%2.%3"/>
      <w:lvlJc w:val="left"/>
      <w:pPr>
        <w:ind w:left="2280" w:hanging="720"/>
      </w:pPr>
      <w:rPr>
        <w:b w:val="0"/>
        <w:i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7">
    <w:nsid w:val="4FFA6BD6"/>
    <w:multiLevelType w:val="multilevel"/>
    <w:tmpl w:val="4FFA6BD6"/>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color w:val="000000"/>
      </w:rPr>
    </w:lvl>
    <w:lvl w:ilvl="3" w:tentative="0">
      <w:start w:val="1"/>
      <w:numFmt w:val="decimal"/>
      <w:lvlText w:val="%1.%2.%3.%4"/>
      <w:lvlJc w:val="left"/>
      <w:pPr>
        <w:ind w:left="2208" w:hanging="720"/>
      </w:pPr>
      <w:rPr>
        <w:i w:val="0"/>
        <w:color w:val="000000"/>
      </w:rPr>
    </w:lvl>
    <w:lvl w:ilvl="4" w:tentative="0">
      <w:start w:val="1"/>
      <w:numFmt w:val="decimal"/>
      <w:lvlText w:val="%1.%2.%3.%4.%5"/>
      <w:lvlJc w:val="left"/>
      <w:pPr>
        <w:ind w:left="3064" w:hanging="1080"/>
      </w:pPr>
      <w:rPr>
        <w:color w:val="00000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8">
    <w:nsid w:val="504C48B7"/>
    <w:multiLevelType w:val="multilevel"/>
    <w:tmpl w:val="504C48B7"/>
    <w:lvl w:ilvl="0" w:tentative="0">
      <w:start w:val="2"/>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55F67492"/>
    <w:multiLevelType w:val="multilevel"/>
    <w:tmpl w:val="55F67492"/>
    <w:lvl w:ilvl="0" w:tentative="0">
      <w:start w:val="8"/>
      <w:numFmt w:val="decimal"/>
      <w:lvlText w:val="%1"/>
      <w:lvlJc w:val="left"/>
      <w:pPr>
        <w:ind w:left="540" w:hanging="540"/>
      </w:pPr>
    </w:lvl>
    <w:lvl w:ilvl="1" w:tentative="0">
      <w:start w:val="10"/>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0">
    <w:nsid w:val="587005BD"/>
    <w:multiLevelType w:val="multilevel"/>
    <w:tmpl w:val="587005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F2A140C"/>
    <w:multiLevelType w:val="multilevel"/>
    <w:tmpl w:val="5F2A140C"/>
    <w:lvl w:ilvl="0" w:tentative="0">
      <w:start w:val="7"/>
      <w:numFmt w:val="decimal"/>
      <w:lvlText w:val="%1"/>
      <w:lvlJc w:val="left"/>
      <w:pPr>
        <w:ind w:left="360" w:hanging="360"/>
      </w:pPr>
    </w:lvl>
    <w:lvl w:ilvl="1" w:tentative="0">
      <w:start w:val="1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5F742B83"/>
    <w:multiLevelType w:val="multilevel"/>
    <w:tmpl w:val="5F742B83"/>
    <w:lvl w:ilvl="0" w:tentative="0">
      <w:start w:val="3"/>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683E68EF"/>
    <w:multiLevelType w:val="multilevel"/>
    <w:tmpl w:val="683E68EF"/>
    <w:lvl w:ilvl="0" w:tentative="0">
      <w:start w:val="7"/>
      <w:numFmt w:val="decimal"/>
      <w:pStyle w:val="19"/>
      <w:lvlText w:val="%1"/>
      <w:lvlJc w:val="left"/>
      <w:pPr>
        <w:ind w:left="360" w:hanging="360"/>
      </w:pPr>
    </w:lvl>
    <w:lvl w:ilvl="1" w:tentative="0">
      <w:start w:val="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4">
    <w:nsid w:val="72F1526A"/>
    <w:multiLevelType w:val="multilevel"/>
    <w:tmpl w:val="72F1526A"/>
    <w:lvl w:ilvl="0" w:tentative="0">
      <w:start w:val="15"/>
      <w:numFmt w:val="decimal"/>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5">
    <w:nsid w:val="7A402EA0"/>
    <w:multiLevelType w:val="multilevel"/>
    <w:tmpl w:val="7A402EA0"/>
    <w:lvl w:ilvl="0" w:tentative="0">
      <w:start w:val="8"/>
      <w:numFmt w:val="decimal"/>
      <w:lvlText w:val="%1"/>
      <w:lvlJc w:val="left"/>
      <w:pPr>
        <w:ind w:left="540" w:hanging="540"/>
      </w:pPr>
    </w:lvl>
    <w:lvl w:ilvl="1" w:tentative="0">
      <w:start w:val="1"/>
      <w:numFmt w:val="decimal"/>
      <w:lvlText w:val="%1.%2"/>
      <w:lvlJc w:val="left"/>
      <w:pPr>
        <w:ind w:left="1036" w:hanging="540"/>
      </w:pPr>
      <w:rPr>
        <w:i w:val="0"/>
      </w:rPr>
    </w:lvl>
    <w:lvl w:ilvl="2" w:tentative="0">
      <w:start w:val="2"/>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6">
    <w:nsid w:val="7AB12D31"/>
    <w:multiLevelType w:val="multilevel"/>
    <w:tmpl w:val="7AB12D31"/>
    <w:lvl w:ilvl="0" w:tentative="0">
      <w:start w:val="4"/>
      <w:numFmt w:val="decimal"/>
      <w:pStyle w:val="46"/>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43"/>
    <w:rsid w:val="00022F87"/>
    <w:rsid w:val="000654EC"/>
    <w:rsid w:val="00065D28"/>
    <w:rsid w:val="000E64A7"/>
    <w:rsid w:val="00107E3A"/>
    <w:rsid w:val="00121CC0"/>
    <w:rsid w:val="00144EC8"/>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 w:val="36E459A5"/>
    <w:rsid w:val="452B028C"/>
    <w:rsid w:val="45C23D0B"/>
    <w:rsid w:val="542847F3"/>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Arial" w:cs="Tahoma"/>
      <w:szCs w:val="24"/>
      <w:lang w:val="pt-BR" w:eastAsia="pt-BR" w:bidi="ar-SA"/>
    </w:rPr>
  </w:style>
  <w:style w:type="paragraph" w:styleId="2">
    <w:name w:val="heading 1"/>
    <w:basedOn w:val="1"/>
    <w:next w:val="1"/>
    <w:link w:val="4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0"/>
    <w:semiHidden/>
    <w:unhideWhenUsed/>
    <w:qFormat/>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Cs w:val="20"/>
    </w:rPr>
  </w:style>
  <w:style w:type="paragraph" w:styleId="8">
    <w:name w:val="heading 9"/>
    <w:basedOn w:val="1"/>
    <w:next w:val="1"/>
    <w:link w:val="7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annotation reference"/>
    <w:basedOn w:val="9"/>
    <w:unhideWhenUsed/>
    <w:uiPriority w:val="99"/>
    <w:rPr>
      <w:sz w:val="16"/>
      <w:szCs w:val="16"/>
    </w:rPr>
  </w:style>
  <w:style w:type="character" w:styleId="13">
    <w:name w:val="Emphasis"/>
    <w:basedOn w:val="9"/>
    <w:qFormat/>
    <w:uiPriority w:val="20"/>
    <w:rPr>
      <w:i/>
      <w:iCs/>
    </w:rPr>
  </w:style>
  <w:style w:type="character" w:styleId="14">
    <w:name w:val="Hyperlink"/>
    <w:qFormat/>
    <w:uiPriority w:val="0"/>
    <w:rPr>
      <w:color w:val="000080"/>
      <w:u w:val="single"/>
    </w:rPr>
  </w:style>
  <w:style w:type="paragraph" w:styleId="15">
    <w:name w:val="Body Text"/>
    <w:basedOn w:val="1"/>
    <w:link w:val="65"/>
    <w:unhideWhenUsed/>
    <w:uiPriority w:val="99"/>
    <w:pPr>
      <w:spacing w:before="100" w:beforeAutospacing="1" w:after="100" w:afterAutospacing="1"/>
    </w:pPr>
    <w:rPr>
      <w:rFonts w:ascii="Times New Roman" w:hAnsi="Times New Roman" w:cs="Times New Roman"/>
      <w:sz w:val="24"/>
    </w:rPr>
  </w:style>
  <w:style w:type="paragraph" w:styleId="16">
    <w:name w:val="annotation text"/>
    <w:basedOn w:val="1"/>
    <w:link w:val="43"/>
    <w:unhideWhenUsed/>
    <w:uiPriority w:val="99"/>
    <w:rPr>
      <w:szCs w:val="20"/>
    </w:rPr>
  </w:style>
  <w:style w:type="paragraph" w:styleId="17">
    <w:name w:val="Body Text Indent 2"/>
    <w:basedOn w:val="1"/>
    <w:link w:val="74"/>
    <w:unhideWhenUsed/>
    <w:uiPriority w:val="99"/>
    <w:pPr>
      <w:spacing w:after="120" w:line="480" w:lineRule="auto"/>
      <w:ind w:left="283"/>
    </w:pPr>
    <w:rPr>
      <w:rFonts w:asciiTheme="minorHAnsi" w:hAnsiTheme="minorHAnsi" w:eastAsiaTheme="minorHAnsi" w:cstheme="minorBidi"/>
      <w:sz w:val="22"/>
      <w:szCs w:val="22"/>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List Bullet 5"/>
    <w:basedOn w:val="1"/>
    <w:uiPriority w:val="0"/>
    <w:pPr>
      <w:numPr>
        <w:ilvl w:val="0"/>
        <w:numId w:val="1"/>
      </w:numPr>
      <w:contextualSpacing/>
    </w:pPr>
  </w:style>
  <w:style w:type="paragraph" w:styleId="20">
    <w:name w:val="Normal (Web)"/>
    <w:basedOn w:val="1"/>
    <w:uiPriority w:val="99"/>
    <w:pPr>
      <w:spacing w:before="100" w:beforeAutospacing="1" w:after="100" w:afterAutospacing="1"/>
    </w:pPr>
    <w:rPr>
      <w:rFonts w:ascii="Times New Roman" w:hAnsi="Times New Roman" w:cs="Times New Roman"/>
    </w:rPr>
  </w:style>
  <w:style w:type="paragraph" w:styleId="21">
    <w:name w:val="header"/>
    <w:basedOn w:val="1"/>
    <w:link w:val="38"/>
    <w:uiPriority w:val="99"/>
    <w:pPr>
      <w:tabs>
        <w:tab w:val="center" w:pos="4252"/>
        <w:tab w:val="right" w:pos="8504"/>
      </w:tabs>
    </w:pPr>
  </w:style>
  <w:style w:type="paragraph" w:styleId="22">
    <w:name w:val="annotation subject"/>
    <w:basedOn w:val="16"/>
    <w:next w:val="16"/>
    <w:link w:val="44"/>
    <w:semiHidden/>
    <w:unhideWhenUsed/>
    <w:uiPriority w:val="0"/>
    <w:rPr>
      <w:b/>
      <w:bCs/>
    </w:rPr>
  </w:style>
  <w:style w:type="paragraph" w:styleId="23">
    <w:name w:val="footer"/>
    <w:basedOn w:val="1"/>
    <w:link w:val="39"/>
    <w:uiPriority w:val="99"/>
    <w:pPr>
      <w:tabs>
        <w:tab w:val="center" w:pos="4252"/>
        <w:tab w:val="right" w:pos="8504"/>
      </w:tabs>
    </w:pPr>
  </w:style>
  <w:style w:type="paragraph" w:styleId="24">
    <w:name w:val="Balloon Text"/>
    <w:basedOn w:val="1"/>
    <w:link w:val="29"/>
    <w:qFormat/>
    <w:uiPriority w:val="99"/>
    <w:rPr>
      <w:rFonts w:ascii="Tahoma" w:hAnsi="Tahoma"/>
      <w:sz w:val="16"/>
      <w:szCs w:val="16"/>
    </w:rPr>
  </w:style>
  <w:style w:type="paragraph" w:styleId="2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6">
    <w:name w:val="Table Grid"/>
    <w:basedOn w:val="10"/>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
    <w:qFormat/>
    <w:uiPriority w:val="0"/>
    <w:tblPr>
      <w:tblCellMar>
        <w:top w:w="0" w:type="dxa"/>
        <w:left w:w="0" w:type="dxa"/>
        <w:bottom w:w="0" w:type="dxa"/>
        <w:right w:w="0" w:type="dxa"/>
      </w:tblCellMar>
    </w:tblPr>
  </w:style>
  <w:style w:type="paragraph" w:styleId="28">
    <w:name w:val="List Paragraph"/>
    <w:basedOn w:val="1"/>
    <w:qFormat/>
    <w:uiPriority w:val="34"/>
    <w:pPr>
      <w:ind w:left="720"/>
      <w:contextualSpacing/>
    </w:pPr>
  </w:style>
  <w:style w:type="character" w:customStyle="1" w:styleId="29">
    <w:name w:val="Texto de balão Char"/>
    <w:link w:val="24"/>
    <w:qFormat/>
    <w:uiPriority w:val="99"/>
    <w:rPr>
      <w:rFonts w:ascii="Tahoma" w:hAnsi="Tahoma" w:cs="Tahoma"/>
      <w:sz w:val="16"/>
      <w:szCs w:val="16"/>
    </w:rPr>
  </w:style>
  <w:style w:type="character" w:customStyle="1" w:styleId="30">
    <w:name w:val="Título 2 Char"/>
    <w:link w:val="3"/>
    <w:qFormat/>
    <w:uiPriority w:val="0"/>
    <w:rPr>
      <w:b/>
      <w:color w:val="000000"/>
      <w:sz w:val="24"/>
    </w:rPr>
  </w:style>
  <w:style w:type="paragraph" w:customStyle="1" w:styleId="31">
    <w:name w:val="Nível 2"/>
    <w:basedOn w:val="1"/>
    <w:next w:val="1"/>
    <w:qFormat/>
    <w:uiPriority w:val="0"/>
    <w:pPr>
      <w:spacing w:after="120"/>
      <w:jc w:val="both"/>
    </w:pPr>
    <w:rPr>
      <w:rFonts w:cs="Times New Roman"/>
      <w:b/>
      <w:szCs w:val="20"/>
    </w:rPr>
  </w:style>
  <w:style w:type="character" w:customStyle="1" w:styleId="32">
    <w:name w:val="normal__char1"/>
    <w:qFormat/>
    <w:uiPriority w:val="0"/>
    <w:rPr>
      <w:rFonts w:hint="default" w:ascii="Arial" w:hAnsi="Arial" w:cs="Arial"/>
      <w:sz w:val="24"/>
      <w:szCs w:val="24"/>
      <w:u w:val="none"/>
    </w:rPr>
  </w:style>
  <w:style w:type="character" w:customStyle="1" w:styleId="33">
    <w:name w:val="apple-style-span"/>
    <w:basedOn w:val="9"/>
    <w:qFormat/>
    <w:uiPriority w:val="0"/>
  </w:style>
  <w:style w:type="paragraph" w:styleId="34">
    <w:name w:val="Quote"/>
    <w:basedOn w:val="1"/>
    <w:next w:val="1"/>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5">
    <w:name w:val="Citação Char"/>
    <w:link w:val="34"/>
    <w:qFormat/>
    <w:uiPriority w:val="0"/>
    <w:rPr>
      <w:rFonts w:ascii="Arial" w:hAnsi="Arial" w:eastAsia="Calibri" w:cs="Tahoma"/>
      <w:i/>
      <w:iCs/>
      <w:color w:val="000000"/>
      <w:szCs w:val="24"/>
      <w:shd w:val="clear" w:color="auto" w:fill="FFFFCC"/>
      <w:lang w:eastAsia="en-US"/>
    </w:rPr>
  </w:style>
  <w:style w:type="paragraph" w:customStyle="1" w:styleId="36">
    <w:name w:val="citação 2"/>
    <w:basedOn w:val="34"/>
    <w:link w:val="37"/>
    <w:qFormat/>
    <w:uiPriority w:val="0"/>
    <w:rPr>
      <w:szCs w:val="20"/>
    </w:rPr>
  </w:style>
  <w:style w:type="character" w:customStyle="1" w:styleId="37">
    <w:name w:val="citação 2 Char"/>
    <w:basedOn w:val="35"/>
    <w:link w:val="36"/>
    <w:qFormat/>
    <w:uiPriority w:val="0"/>
    <w:rPr>
      <w:rFonts w:ascii="Arial" w:hAnsi="Arial" w:eastAsia="Calibri" w:cs="Tahoma"/>
      <w:color w:val="000000"/>
      <w:szCs w:val="24"/>
      <w:shd w:val="clear" w:color="auto" w:fill="FFFFCC"/>
      <w:lang w:eastAsia="en-US"/>
    </w:rPr>
  </w:style>
  <w:style w:type="character" w:customStyle="1" w:styleId="38">
    <w:name w:val="Cabeçalho Char"/>
    <w:link w:val="21"/>
    <w:qFormat/>
    <w:uiPriority w:val="99"/>
    <w:rPr>
      <w:rFonts w:ascii="Ecofont_Spranq_eco_Sans" w:hAnsi="Ecofont_Spranq_eco_Sans" w:cs="Tahoma"/>
      <w:sz w:val="24"/>
      <w:szCs w:val="24"/>
    </w:rPr>
  </w:style>
  <w:style w:type="character" w:customStyle="1" w:styleId="39">
    <w:name w:val="Rodapé Char"/>
    <w:link w:val="23"/>
    <w:qFormat/>
    <w:uiPriority w:val="99"/>
    <w:rPr>
      <w:rFonts w:ascii="Ecofont_Spranq_eco_Sans" w:hAnsi="Ecofont_Spranq_eco_Sans" w:cs="Tahoma"/>
      <w:sz w:val="24"/>
      <w:szCs w:val="24"/>
    </w:rPr>
  </w:style>
  <w:style w:type="paragraph" w:customStyle="1" w:styleId="40">
    <w:name w:val="em_0020ementa"/>
    <w:basedOn w:val="1"/>
    <w:qFormat/>
    <w:uiPriority w:val="0"/>
    <w:pPr>
      <w:ind w:left="4160"/>
      <w:jc w:val="both"/>
    </w:pPr>
    <w:rPr>
      <w:rFonts w:ascii="Times New Roman" w:hAnsi="Times New Roman" w:cs="Times New Roman"/>
      <w:sz w:val="28"/>
      <w:szCs w:val="28"/>
    </w:rPr>
  </w:style>
  <w:style w:type="character" w:customStyle="1" w:styleId="41">
    <w:name w:val="cp_0020corpodespacho__char1"/>
    <w:qFormat/>
    <w:uiPriority w:val="0"/>
    <w:rPr>
      <w:rFonts w:hint="default" w:ascii="Times New Roman" w:hAnsi="Times New Roman" w:cs="Times New Roman"/>
      <w:sz w:val="26"/>
      <w:szCs w:val="26"/>
      <w:u w:val="none"/>
    </w:rPr>
  </w:style>
  <w:style w:type="character" w:customStyle="1" w:styleId="42">
    <w:name w:val="em_0020ementa__char1"/>
    <w:qFormat/>
    <w:uiPriority w:val="0"/>
    <w:rPr>
      <w:rFonts w:hint="default" w:ascii="Times New Roman" w:hAnsi="Times New Roman" w:cs="Times New Roman"/>
      <w:sz w:val="28"/>
      <w:szCs w:val="28"/>
      <w:u w:val="none"/>
    </w:rPr>
  </w:style>
  <w:style w:type="character" w:customStyle="1" w:styleId="43">
    <w:name w:val="Texto de comentário Char"/>
    <w:basedOn w:val="9"/>
    <w:link w:val="16"/>
    <w:qFormat/>
    <w:uiPriority w:val="99"/>
    <w:rPr>
      <w:rFonts w:ascii="Ecofont_Spranq_eco_Sans" w:hAnsi="Ecofont_Spranq_eco_Sans" w:cs="Tahoma"/>
    </w:rPr>
  </w:style>
  <w:style w:type="character" w:customStyle="1" w:styleId="44">
    <w:name w:val="Assunto do comentário Char"/>
    <w:basedOn w:val="43"/>
    <w:link w:val="22"/>
    <w:semiHidden/>
    <w:qFormat/>
    <w:uiPriority w:val="0"/>
    <w:rPr>
      <w:rFonts w:ascii="Ecofont_Spranq_eco_Sans" w:hAnsi="Ecofont_Spranq_eco_Sans" w:cs="Tahoma"/>
      <w:b/>
      <w:bCs/>
    </w:rPr>
  </w:style>
  <w:style w:type="paragraph" w:customStyle="1" w:styleId="45">
    <w:name w:val="Revision"/>
    <w:hidden/>
    <w:semiHidden/>
    <w:qFormat/>
    <w:uiPriority w:val="99"/>
    <w:rPr>
      <w:rFonts w:ascii="Ecofont_Spranq_eco_Sans" w:hAnsi="Ecofont_Spranq_eco_Sans" w:eastAsia="Arial" w:cs="Tahoma"/>
      <w:sz w:val="24"/>
      <w:szCs w:val="24"/>
      <w:lang w:val="pt-BR" w:eastAsia="pt-BR" w:bidi="ar-SA"/>
    </w:rPr>
  </w:style>
  <w:style w:type="paragraph" w:customStyle="1" w:styleId="46">
    <w:name w:val="Nivel 01"/>
    <w:basedOn w:val="2"/>
    <w:next w:val="1"/>
    <w:link w:val="48"/>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7">
    <w:name w:val="Título 1 Char"/>
    <w:basedOn w:val="9"/>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8">
    <w:name w:val="Nivel 01 Char"/>
    <w:basedOn w:val="47"/>
    <w:link w:val="46"/>
    <w:qFormat/>
    <w:uiPriority w:val="0"/>
    <w:rPr>
      <w:rFonts w:ascii="Arial" w:hAnsi="Arial" w:eastAsiaTheme="majorEastAsia" w:cstheme="majorBidi"/>
      <w:color w:val="000000"/>
      <w:sz w:val="28"/>
      <w:szCs w:val="28"/>
    </w:rPr>
  </w:style>
  <w:style w:type="paragraph" w:customStyle="1" w:styleId="49">
    <w:name w:val="Nivel1"/>
    <w:basedOn w:val="2"/>
    <w:link w:val="70"/>
    <w:qFormat/>
    <w:uiPriority w:val="0"/>
    <w:pPr>
      <w:spacing w:line="276" w:lineRule="auto"/>
      <w:ind w:left="357" w:hanging="357"/>
      <w:jc w:val="both"/>
    </w:pPr>
    <w:rPr>
      <w:rFonts w:ascii="Arial" w:hAnsi="Arial" w:cs="Arial"/>
      <w:bCs w:val="0"/>
      <w:color w:val="000000"/>
      <w:sz w:val="20"/>
      <w:szCs w:val="20"/>
    </w:rPr>
  </w:style>
  <w:style w:type="paragraph" w:customStyle="1" w:styleId="5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1">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52">
    <w:name w:val="normaltextrun"/>
    <w:basedOn w:val="9"/>
    <w:qFormat/>
    <w:uiPriority w:val="0"/>
  </w:style>
  <w:style w:type="character" w:customStyle="1" w:styleId="53">
    <w:name w:val="eop"/>
    <w:basedOn w:val="9"/>
    <w:qFormat/>
    <w:uiPriority w:val="0"/>
  </w:style>
  <w:style w:type="character" w:customStyle="1" w:styleId="54">
    <w:name w:val="spellingerror"/>
    <w:basedOn w:val="9"/>
    <w:qFormat/>
    <w:uiPriority w:val="0"/>
  </w:style>
  <w:style w:type="character" w:customStyle="1" w:styleId="55">
    <w:name w:val="Quote Char"/>
    <w:basedOn w:val="9"/>
    <w:link w:val="56"/>
    <w:qFormat/>
    <w:uiPriority w:val="0"/>
    <w:rPr>
      <w:rFonts w:ascii="Ecofont_Spranq_eco_Sans" w:hAnsi="Ecofont_Spranq_eco_Sans" w:eastAsia="Calibri" w:cs="Tahoma"/>
      <w:i/>
      <w:iCs/>
      <w:color w:val="000000"/>
      <w:shd w:val="clear" w:color="auto" w:fill="FFFFCC"/>
      <w:lang w:eastAsia="en-US"/>
    </w:rPr>
  </w:style>
  <w:style w:type="paragraph" w:customStyle="1" w:styleId="56">
    <w:name w:val="Citação1"/>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7">
    <w:name w:val="Manoel"/>
    <w:qFormat/>
    <w:uiPriority w:val="0"/>
    <w:rPr>
      <w:rFonts w:ascii="Arial" w:hAnsi="Arial" w:cs="Arial"/>
      <w:color w:val="7030A0"/>
      <w:sz w:val="20"/>
    </w:rPr>
  </w:style>
  <w:style w:type="character" w:customStyle="1" w:styleId="58">
    <w:name w:val="ListLabel 12"/>
    <w:qFormat/>
    <w:uiPriority w:val="0"/>
    <w:rPr>
      <w:b/>
    </w:rPr>
  </w:style>
  <w:style w:type="paragraph" w:customStyle="1" w:styleId="59">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60">
    <w:name w:val="Grade Colorida - Ênfase 11"/>
    <w:basedOn w:val="1"/>
    <w:next w:val="1"/>
    <w:link w:val="6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61">
    <w:name w:val="Grade Colorida - Ênfase 1 Char"/>
    <w:link w:val="60"/>
    <w:qFormat/>
    <w:uiPriority w:val="29"/>
    <w:rPr>
      <w:rFonts w:ascii="Arial" w:hAnsi="Arial" w:eastAsia="Calibri"/>
      <w:i/>
      <w:iCs/>
      <w:color w:val="000000"/>
      <w:szCs w:val="24"/>
      <w:shd w:val="clear" w:color="auto" w:fill="FFFFCC"/>
      <w:lang w:eastAsia="en-US"/>
    </w:rPr>
  </w:style>
  <w:style w:type="paragraph" w:customStyle="1" w:styleId="62">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63">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64">
    <w:name w:val="Normal_1"/>
    <w:qFormat/>
    <w:uiPriority w:val="0"/>
    <w:rPr>
      <w:rFonts w:ascii="Arial" w:hAnsi="Arial" w:eastAsia="Arial" w:cs="Arial"/>
      <w:sz w:val="24"/>
      <w:szCs w:val="22"/>
      <w:lang w:val="pt-BR" w:eastAsia="en-US" w:bidi="ar-SA"/>
    </w:rPr>
  </w:style>
  <w:style w:type="character" w:customStyle="1" w:styleId="65">
    <w:name w:val="Corpo de texto Char"/>
    <w:basedOn w:val="9"/>
    <w:link w:val="15"/>
    <w:qFormat/>
    <w:uiPriority w:val="99"/>
    <w:rPr>
      <w:sz w:val="24"/>
      <w:szCs w:val="24"/>
    </w:rPr>
  </w:style>
  <w:style w:type="paragraph" w:customStyle="1" w:styleId="66">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7">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8">
    <w:name w:val="highlight"/>
    <w:basedOn w:val="9"/>
    <w:qFormat/>
    <w:uiPriority w:val="0"/>
  </w:style>
  <w:style w:type="paragraph" w:customStyle="1" w:styleId="69">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70">
    <w:name w:val="Nivel1 Char"/>
    <w:basedOn w:val="47"/>
    <w:link w:val="49"/>
    <w:qFormat/>
    <w:uiPriority w:val="0"/>
    <w:rPr>
      <w:rFonts w:ascii="Arial" w:hAnsi="Arial" w:cs="Arial" w:eastAsiaTheme="majorEastAsia"/>
      <w:bCs w:val="0"/>
      <w:color w:val="000000"/>
      <w:sz w:val="28"/>
      <w:szCs w:val="28"/>
    </w:rPr>
  </w:style>
  <w:style w:type="paragraph" w:customStyle="1" w:styleId="71">
    <w:name w:val="Parágrafo da Lista1"/>
    <w:basedOn w:val="1"/>
    <w:qFormat/>
    <w:uiPriority w:val="0"/>
    <w:pPr>
      <w:ind w:left="720"/>
    </w:pPr>
    <w:rPr>
      <w:rFonts w:ascii="Ecofont_Spranq_eco_Sans" w:hAnsi="Ecofont_Spranq_eco_Sans" w:cs="Ecofont_Spranq_eco_Sans"/>
      <w:sz w:val="24"/>
    </w:rPr>
  </w:style>
  <w:style w:type="paragraph" w:customStyle="1" w:styleId="72">
    <w:name w:val="textbody"/>
    <w:basedOn w:val="1"/>
    <w:qFormat/>
    <w:uiPriority w:val="0"/>
    <w:pPr>
      <w:spacing w:before="100" w:beforeAutospacing="1" w:after="100" w:afterAutospacing="1"/>
    </w:pPr>
    <w:rPr>
      <w:rFonts w:ascii="Times New Roman" w:hAnsi="Times New Roman" w:cs="Times New Roman"/>
      <w:sz w:val="24"/>
    </w:rPr>
  </w:style>
  <w:style w:type="character" w:customStyle="1" w:styleId="73">
    <w:name w:val="Título 9 Char"/>
    <w:basedOn w:val="9"/>
    <w:link w:val="8"/>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74">
    <w:name w:val="Recuo de corpo de texto 2 Char"/>
    <w:basedOn w:val="9"/>
    <w:link w:val="17"/>
    <w:qFormat/>
    <w:uiPriority w:val="99"/>
    <w:rPr>
      <w:rFonts w:asciiTheme="minorHAnsi" w:hAnsiTheme="minorHAnsi" w:eastAsiaTheme="minorHAnsi" w:cstheme="minorBidi"/>
      <w:sz w:val="22"/>
      <w:szCs w:val="22"/>
      <w:lang w:eastAsia="en-US"/>
    </w:rPr>
  </w:style>
  <w:style w:type="table" w:customStyle="1" w:styleId="75">
    <w:name w:val="_Style 75"/>
    <w:basedOn w:val="27"/>
    <w:qFormat/>
    <w:uiPriority w:val="0"/>
    <w:tblPr>
      <w:tblCellMar>
        <w:left w:w="115" w:type="dxa"/>
        <w:right w:w="115" w:type="dxa"/>
      </w:tblCellMar>
    </w:tblPr>
  </w:style>
  <w:style w:type="table" w:customStyle="1" w:styleId="76">
    <w:name w:val="_Style 76"/>
    <w:basedOn w:val="27"/>
    <w:qFormat/>
    <w:uiPriority w:val="0"/>
    <w:tblPr>
      <w:tblCellMar>
        <w:left w:w="108" w:type="dxa"/>
        <w:right w:w="108" w:type="dxa"/>
      </w:tblCellMar>
    </w:tblPr>
  </w:style>
  <w:style w:type="table" w:customStyle="1" w:styleId="77">
    <w:name w:val="_Style 77"/>
    <w:basedOn w:val="27"/>
    <w:qFormat/>
    <w:uiPriority w:val="0"/>
    <w:tblPr>
      <w:tblCellMar>
        <w:left w:w="108" w:type="dxa"/>
        <w:right w:w="108" w:type="dxa"/>
      </w:tblCellMar>
    </w:tblPr>
  </w:style>
  <w:style w:type="table" w:customStyle="1" w:styleId="78">
    <w:name w:val="_Style 78"/>
    <w:basedOn w:val="27"/>
    <w:qFormat/>
    <w:uiPriority w:val="0"/>
    <w:tblPr>
      <w:tblCellMar>
        <w:left w:w="108" w:type="dxa"/>
        <w:right w:w="108" w:type="dxa"/>
      </w:tblCellMar>
    </w:tblPr>
  </w:style>
  <w:style w:type="paragraph" w:customStyle="1" w:styleId="79">
    <w:name w:val="LO-normal"/>
    <w:qFormat/>
    <w:uiPriority w:val="0"/>
    <w:rPr>
      <w:rFonts w:ascii="Arial" w:hAnsi="Arial" w:eastAsia="Arial" w:cs="Arial"/>
      <w:lang w:val="pt-BR" w:eastAsia="zh-CN" w:bidi="hi-IN"/>
    </w:rPr>
  </w:style>
  <w:style w:type="table" w:customStyle="1" w:styleId="80">
    <w:name w:val="_Style 80"/>
    <w:basedOn w:val="27"/>
    <w:qFormat/>
    <w:uiPriority w:val="0"/>
    <w:tblPr>
      <w:tblCellMar>
        <w:left w:w="108" w:type="dxa"/>
        <w:right w:w="108" w:type="dxa"/>
      </w:tblCellMar>
    </w:tblPr>
  </w:style>
  <w:style w:type="table" w:customStyle="1" w:styleId="81">
    <w:name w:val="_Style 81"/>
    <w:basedOn w:val="27"/>
    <w:qFormat/>
    <w:uiPriority w:val="0"/>
    <w:tblPr>
      <w:tblCellMar>
        <w:left w:w="108" w:type="dxa"/>
        <w:right w:w="108" w:type="dxa"/>
      </w:tblCellMar>
    </w:tblPr>
  </w:style>
  <w:style w:type="table" w:customStyle="1" w:styleId="82">
    <w:name w:val="_Style 82"/>
    <w:basedOn w:val="27"/>
    <w:qFormat/>
    <w:uiPriority w:val="0"/>
    <w:tblPr>
      <w:tblCellMar>
        <w:left w:w="108" w:type="dxa"/>
        <w:right w:w="108" w:type="dxa"/>
      </w:tblCellMar>
    </w:tblPr>
  </w:style>
  <w:style w:type="table" w:customStyle="1" w:styleId="83">
    <w:name w:val="_Style 83"/>
    <w:basedOn w:val="27"/>
    <w:qFormat/>
    <w:uiPriority w:val="0"/>
    <w:tblPr>
      <w:tblCellMar>
        <w:left w:w="108" w:type="dxa"/>
        <w:right w:w="108" w:type="dxa"/>
      </w:tblCellMar>
    </w:tblPr>
  </w:style>
  <w:style w:type="table" w:customStyle="1" w:styleId="84">
    <w:name w:val="_Style 84"/>
    <w:basedOn w:val="2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11441</Words>
  <Characters>61783</Characters>
  <Lines>514</Lines>
  <Paragraphs>146</Paragraphs>
  <TotalTime>74</TotalTime>
  <ScaleCrop>false</ScaleCrop>
  <LinksUpToDate>false</LinksUpToDate>
  <CharactersWithSpaces>73078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2021-08-17T17:05:00Z</dcterms:created>
  <dc:creator>Manoel Paz e Silva Filho</dc:creator>
  <cp:lastModifiedBy>Juliana Borsoi</cp:lastModifiedBy>
  <dcterms:modified xsi:type="dcterms:W3CDTF">2022-01-28T16:54:27Z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1046-11.2.0.10463</vt:lpwstr>
  </property>
  <property fmtid="{D5CDD505-2E9C-101B-9397-08002B2CF9AE}" pid="4" name="ICV">
    <vt:lpwstr>FB5072437A774443B40297DF349716B4</vt:lpwstr>
  </property>
</Properties>
</file>