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27AC7423"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7F666C">
        <w:rPr>
          <w:rFonts w:ascii="Calibri" w:hAnsi="Calibri"/>
          <w:sz w:val="22"/>
          <w:szCs w:val="22"/>
        </w:rPr>
        <w:t>V</w:t>
      </w:r>
      <w:r w:rsidR="000F7AE1">
        <w:rPr>
          <w:rFonts w:ascii="Calibri" w:hAnsi="Calibri"/>
          <w:sz w:val="22"/>
          <w:szCs w:val="22"/>
        </w:rPr>
        <w:t>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574CC2DF"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5A1AD6" w:rsidR="00DD5D63" w:rsidRPr="00067D9A" w:rsidRDefault="00DD5D63" w:rsidP="00C40D25">
      <w:pPr>
        <w:pStyle w:val="PargrafodaLista"/>
        <w:tabs>
          <w:tab w:val="left" w:pos="0"/>
        </w:tabs>
        <w:ind w:left="426" w:firstLine="708"/>
        <w:jc w:val="both"/>
        <w:rPr>
          <w:rFonts w:asciiTheme="minorHAnsi" w:eastAsia="Arial Unicode MS" w:hAnsiTheme="minorHAnsi" w:cstheme="minorHAnsi"/>
          <w:szCs w:val="20"/>
        </w:rPr>
      </w:pPr>
      <w:r w:rsidRPr="00067D9A">
        <w:rPr>
          <w:rFonts w:asciiTheme="minorHAnsi" w:eastAsia="Arial Unicode MS" w:hAnsiTheme="minorHAnsi" w:cstheme="minorHAnsi"/>
          <w:szCs w:val="20"/>
        </w:rPr>
        <w:t xml:space="preserve">O procedimento a ser adotado pela </w:t>
      </w:r>
      <w:r w:rsidR="000F7AE1">
        <w:rPr>
          <w:rFonts w:asciiTheme="minorHAnsi" w:eastAsia="Arial Unicode MS" w:hAnsiTheme="minorHAnsi" w:cstheme="minorHAnsi"/>
          <w:szCs w:val="20"/>
        </w:rPr>
        <w:t>locação de módulos habitacionais</w:t>
      </w:r>
      <w:r w:rsidRPr="00067D9A">
        <w:rPr>
          <w:rFonts w:asciiTheme="minorHAnsi" w:eastAsia="Arial Unicode MS" w:hAnsiTheme="minorHAnsi" w:cstheme="minorHAnsi"/>
          <w:b/>
          <w:szCs w:val="20"/>
        </w:rPr>
        <w:t>,</w:t>
      </w:r>
      <w:r w:rsidRPr="00067D9A">
        <w:rPr>
          <w:rFonts w:asciiTheme="minorHAnsi" w:eastAsia="Arial Unicode MS" w:hAnsiTheme="minorHAnsi" w:cstheme="minorHAnsi"/>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067D9A" w:rsidRDefault="00C42008" w:rsidP="00C40D25">
      <w:pPr>
        <w:pStyle w:val="PargrafodaLista"/>
        <w:tabs>
          <w:tab w:val="left" w:pos="426"/>
        </w:tabs>
        <w:ind w:left="426" w:firstLine="708"/>
        <w:jc w:val="both"/>
        <w:rPr>
          <w:rFonts w:asciiTheme="minorHAnsi" w:eastAsia="Arial Unicode MS" w:hAnsiTheme="minorHAnsi" w:cstheme="minorHAnsi"/>
          <w:szCs w:val="20"/>
        </w:rPr>
      </w:pPr>
      <w:r w:rsidRPr="00067D9A">
        <w:rPr>
          <w:rFonts w:asciiTheme="minorHAnsi" w:eastAsia="Arial Unicode MS" w:hAnsiTheme="minorHAnsi" w:cstheme="minorHAnsi"/>
          <w:szCs w:val="20"/>
        </w:rPr>
        <w:t>Parametrizar</w:t>
      </w:r>
      <w:r w:rsidR="00DD5D63" w:rsidRPr="00067D9A">
        <w:rPr>
          <w:rFonts w:asciiTheme="minorHAnsi" w:eastAsia="Arial Unicode MS" w:hAnsiTheme="minorHAnsi" w:cstheme="minorHAnsi"/>
          <w:szCs w:val="20"/>
        </w:rPr>
        <w:t xml:space="preserve"> e padronizar a avaliação de desempenho e qualidade dos serviços prestados pela CONTRATADA na execução do contrato de prestação de serviços.</w:t>
      </w:r>
    </w:p>
    <w:p w14:paraId="04BA10CC" w14:textId="77777777" w:rsidR="00DD5D63" w:rsidRPr="00067D9A" w:rsidRDefault="00DD5D63" w:rsidP="00DD5D63">
      <w:pPr>
        <w:pStyle w:val="PargrafodaLista"/>
        <w:tabs>
          <w:tab w:val="left" w:pos="426"/>
        </w:tabs>
        <w:jc w:val="both"/>
        <w:rPr>
          <w:rFonts w:asciiTheme="minorHAnsi" w:eastAsia="Arial Unicode MS" w:hAnsiTheme="minorHAnsi" w:cstheme="minorHAnsi"/>
          <w:b/>
          <w:szCs w:val="20"/>
        </w:rPr>
      </w:pPr>
    </w:p>
    <w:p w14:paraId="712324DE" w14:textId="77777777" w:rsidR="00DD5D63" w:rsidRPr="00067D9A" w:rsidRDefault="00DD5D63" w:rsidP="00DD5D63">
      <w:pPr>
        <w:pStyle w:val="PargrafodaLista"/>
        <w:numPr>
          <w:ilvl w:val="0"/>
          <w:numId w:val="3"/>
        </w:numPr>
        <w:tabs>
          <w:tab w:val="left" w:pos="426"/>
        </w:tabs>
        <w:jc w:val="both"/>
        <w:rPr>
          <w:rFonts w:asciiTheme="minorHAnsi" w:eastAsia="Arial Unicode MS" w:hAnsiTheme="minorHAnsi" w:cstheme="minorHAnsi"/>
          <w:b/>
          <w:szCs w:val="20"/>
        </w:rPr>
      </w:pPr>
      <w:r w:rsidRPr="00067D9A">
        <w:rPr>
          <w:rFonts w:asciiTheme="minorHAnsi" w:eastAsia="Arial Unicode MS" w:hAnsiTheme="minorHAnsi" w:cstheme="minorHAnsi"/>
          <w:b/>
          <w:szCs w:val="20"/>
        </w:rPr>
        <w:t>REGRAS GERAIS</w:t>
      </w:r>
    </w:p>
    <w:p w14:paraId="17D42052" w14:textId="77777777" w:rsidR="00C6037F" w:rsidRPr="00067D9A" w:rsidRDefault="00C6037F" w:rsidP="00DD5D63">
      <w:pPr>
        <w:pStyle w:val="PargrafodaLista"/>
        <w:tabs>
          <w:tab w:val="left" w:pos="426"/>
        </w:tabs>
        <w:ind w:left="426"/>
        <w:jc w:val="both"/>
        <w:rPr>
          <w:rFonts w:asciiTheme="minorHAnsi" w:eastAsia="Arial Unicode MS" w:hAnsiTheme="minorHAnsi" w:cstheme="minorHAnsi"/>
          <w:szCs w:val="20"/>
        </w:rPr>
      </w:pPr>
    </w:p>
    <w:p w14:paraId="6C4A52C7" w14:textId="41596A9B" w:rsidR="00DD5D63" w:rsidRPr="00067D9A" w:rsidRDefault="00DD5D63" w:rsidP="00C40D25">
      <w:pPr>
        <w:pStyle w:val="PargrafodaLista"/>
        <w:tabs>
          <w:tab w:val="left" w:pos="426"/>
        </w:tabs>
        <w:ind w:left="426" w:firstLine="708"/>
        <w:jc w:val="both"/>
        <w:rPr>
          <w:rFonts w:asciiTheme="minorHAnsi" w:eastAsia="Arial Unicode MS" w:hAnsiTheme="minorHAnsi" w:cstheme="minorHAnsi"/>
          <w:szCs w:val="20"/>
        </w:rPr>
      </w:pPr>
      <w:r w:rsidRPr="00067D9A">
        <w:rPr>
          <w:rFonts w:asciiTheme="minorHAnsi" w:eastAsia="Arial Unicode MS" w:hAnsiTheme="minorHAnsi" w:cstheme="minorHAnsi"/>
          <w:szCs w:val="20"/>
        </w:rPr>
        <w:t xml:space="preserve">A avaliação da CONTRATADA na prestação de serviços será feita por meio da análise </w:t>
      </w:r>
      <w:r w:rsidR="00C30570" w:rsidRPr="00067D9A">
        <w:rPr>
          <w:rFonts w:asciiTheme="minorHAnsi" w:eastAsia="Arial Unicode MS" w:hAnsiTheme="minorHAnsi" w:cstheme="minorHAnsi"/>
          <w:szCs w:val="20"/>
        </w:rPr>
        <w:t xml:space="preserve">de </w:t>
      </w:r>
      <w:r w:rsidR="004500FD" w:rsidRPr="00067D9A">
        <w:rPr>
          <w:rFonts w:asciiTheme="minorHAnsi" w:eastAsia="Arial Unicode MS" w:hAnsiTheme="minorHAnsi" w:cstheme="minorHAnsi"/>
          <w:szCs w:val="20"/>
        </w:rPr>
        <w:t>Efetividade da Qualidade</w:t>
      </w:r>
      <w:r w:rsidR="00C30570" w:rsidRPr="00067D9A">
        <w:rPr>
          <w:rFonts w:asciiTheme="minorHAnsi" w:eastAsia="Arial Unicode MS" w:hAnsiTheme="minorHAnsi" w:cstheme="minorHAnsi"/>
          <w:szCs w:val="20"/>
        </w:rPr>
        <w:t xml:space="preserve"> (EQ)</w:t>
      </w:r>
      <w:r w:rsidR="004500FD" w:rsidRPr="00067D9A">
        <w:rPr>
          <w:rFonts w:asciiTheme="minorHAnsi" w:eastAsia="Arial Unicode MS" w:hAnsiTheme="minorHAnsi" w:cstheme="minorHAnsi"/>
          <w:szCs w:val="20"/>
        </w:rPr>
        <w:t xml:space="preserve"> na prestação dos serviços</w:t>
      </w:r>
      <w:r w:rsidRPr="00067D9A">
        <w:rPr>
          <w:rFonts w:asciiTheme="minorHAnsi" w:eastAsia="Arial Unicode MS" w:hAnsiTheme="minorHAnsi" w:cstheme="minorHAnsi"/>
          <w:szCs w:val="20"/>
        </w:rPr>
        <w:t>.</w:t>
      </w:r>
    </w:p>
    <w:p w14:paraId="7A569F7D" w14:textId="60AE76A8" w:rsidR="00DD5D63" w:rsidRDefault="00DD5D63" w:rsidP="00DD5D63">
      <w:pPr>
        <w:pStyle w:val="PargrafodaLista"/>
        <w:tabs>
          <w:tab w:val="left" w:pos="426"/>
        </w:tabs>
        <w:ind w:left="426"/>
        <w:jc w:val="both"/>
        <w:rPr>
          <w:rFonts w:eastAsia="Arial Unicode MS" w:cs="Arial"/>
          <w:b/>
          <w:szCs w:val="20"/>
        </w:rPr>
      </w:pPr>
    </w:p>
    <w:tbl>
      <w:tblPr>
        <w:tblStyle w:val="TableGrid"/>
        <w:tblW w:w="9628" w:type="dxa"/>
        <w:tblInd w:w="432" w:type="dxa"/>
        <w:tblCellMar>
          <w:top w:w="45" w:type="dxa"/>
          <w:left w:w="110" w:type="dxa"/>
          <w:right w:w="61" w:type="dxa"/>
        </w:tblCellMar>
        <w:tblLook w:val="04A0" w:firstRow="1" w:lastRow="0" w:firstColumn="1" w:lastColumn="0" w:noHBand="0" w:noVBand="1"/>
      </w:tblPr>
      <w:tblGrid>
        <w:gridCol w:w="1995"/>
        <w:gridCol w:w="7633"/>
      </w:tblGrid>
      <w:tr w:rsidR="00067D9A" w:rsidRPr="00067D9A" w14:paraId="4C6893A0" w14:textId="77777777" w:rsidTr="00067D9A">
        <w:trPr>
          <w:trHeight w:val="252"/>
        </w:trPr>
        <w:tc>
          <w:tcPr>
            <w:tcW w:w="19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792F7C1"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Item </w:t>
            </w:r>
          </w:p>
        </w:tc>
        <w:tc>
          <w:tcPr>
            <w:tcW w:w="763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379C01"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Descrição </w:t>
            </w:r>
          </w:p>
        </w:tc>
      </w:tr>
      <w:tr w:rsidR="00067D9A" w:rsidRPr="00067D9A" w14:paraId="217DE01F" w14:textId="77777777" w:rsidTr="00067D9A">
        <w:trPr>
          <w:trHeight w:val="1476"/>
        </w:trPr>
        <w:tc>
          <w:tcPr>
            <w:tcW w:w="1995" w:type="dxa"/>
            <w:tcBorders>
              <w:top w:val="single" w:sz="4" w:space="0" w:color="000000"/>
              <w:left w:val="single" w:sz="4" w:space="0" w:color="000000"/>
              <w:bottom w:val="single" w:sz="4" w:space="0" w:color="000000"/>
              <w:right w:val="single" w:sz="4" w:space="0" w:color="000000"/>
            </w:tcBorders>
          </w:tcPr>
          <w:p w14:paraId="62F442FB"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Finalidade </w:t>
            </w:r>
          </w:p>
        </w:tc>
        <w:tc>
          <w:tcPr>
            <w:tcW w:w="7633" w:type="dxa"/>
            <w:tcBorders>
              <w:top w:val="single" w:sz="4" w:space="0" w:color="000000"/>
              <w:left w:val="single" w:sz="4" w:space="0" w:color="000000"/>
              <w:bottom w:val="single" w:sz="4" w:space="0" w:color="000000"/>
              <w:right w:val="single" w:sz="4" w:space="0" w:color="000000"/>
            </w:tcBorders>
          </w:tcPr>
          <w:p w14:paraId="4FBA7990" w14:textId="77777777" w:rsidR="00067D9A" w:rsidRPr="00067D9A" w:rsidRDefault="00067D9A" w:rsidP="00205ADC">
            <w:pPr>
              <w:spacing w:line="242" w:lineRule="auto"/>
              <w:rPr>
                <w:rFonts w:asciiTheme="minorHAnsi" w:hAnsiTheme="minorHAnsi" w:cstheme="minorHAnsi"/>
              </w:rPr>
            </w:pPr>
            <w:r w:rsidRPr="00067D9A">
              <w:rPr>
                <w:rFonts w:asciiTheme="minorHAnsi" w:hAnsiTheme="minorHAnsi" w:cstheme="minorHAnsi"/>
              </w:rPr>
              <w:t xml:space="preserve">Aferir a qualidade dos serviços em sua totalidade de forma a garantir baixo retrabalho da organização com a devida redução das atividades dos fiscais. </w:t>
            </w:r>
          </w:p>
          <w:p w14:paraId="3FD6761C" w14:textId="61B4BB71" w:rsidR="00067D9A" w:rsidRPr="00067D9A" w:rsidRDefault="00067D9A" w:rsidP="00205ADC">
            <w:pPr>
              <w:spacing w:line="259" w:lineRule="auto"/>
              <w:ind w:right="52"/>
              <w:rPr>
                <w:rFonts w:asciiTheme="minorHAnsi" w:hAnsiTheme="minorHAnsi" w:cstheme="minorHAnsi"/>
              </w:rPr>
            </w:pPr>
            <w:r w:rsidRPr="00067D9A">
              <w:rPr>
                <w:rFonts w:asciiTheme="minorHAnsi" w:hAnsiTheme="minorHAnsi" w:cstheme="minorHAnsi"/>
              </w:rPr>
              <w:t xml:space="preserve">A qualidade será auferida sobre </w:t>
            </w:r>
            <w:r w:rsidR="000F7AE1">
              <w:rPr>
                <w:rFonts w:asciiTheme="minorHAnsi" w:hAnsiTheme="minorHAnsi" w:cstheme="minorHAnsi"/>
              </w:rPr>
              <w:t>as solicitações de manutenções corretivas necessárias durante a execução do contrato</w:t>
            </w:r>
            <w:r w:rsidRPr="00067D9A">
              <w:rPr>
                <w:rFonts w:asciiTheme="minorHAnsi" w:hAnsiTheme="minorHAnsi" w:cstheme="minorHAnsi"/>
              </w:rPr>
              <w:t xml:space="preserve"> </w:t>
            </w:r>
          </w:p>
        </w:tc>
      </w:tr>
      <w:tr w:rsidR="00067D9A" w:rsidRPr="00067D9A" w14:paraId="2D94CAF8" w14:textId="77777777" w:rsidTr="00067D9A">
        <w:trPr>
          <w:trHeight w:val="499"/>
        </w:trPr>
        <w:tc>
          <w:tcPr>
            <w:tcW w:w="1995" w:type="dxa"/>
            <w:tcBorders>
              <w:top w:val="single" w:sz="4" w:space="0" w:color="000000"/>
              <w:left w:val="single" w:sz="4" w:space="0" w:color="000000"/>
              <w:bottom w:val="single" w:sz="4" w:space="0" w:color="000000"/>
              <w:right w:val="single" w:sz="4" w:space="0" w:color="000000"/>
            </w:tcBorders>
          </w:tcPr>
          <w:p w14:paraId="750BD7D4"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Meta a cumprir </w:t>
            </w:r>
          </w:p>
        </w:tc>
        <w:tc>
          <w:tcPr>
            <w:tcW w:w="7633" w:type="dxa"/>
            <w:tcBorders>
              <w:top w:val="single" w:sz="4" w:space="0" w:color="000000"/>
              <w:left w:val="single" w:sz="4" w:space="0" w:color="000000"/>
              <w:bottom w:val="single" w:sz="4" w:space="0" w:color="000000"/>
              <w:right w:val="single" w:sz="4" w:space="0" w:color="000000"/>
            </w:tcBorders>
          </w:tcPr>
          <w:p w14:paraId="6263E6A9" w14:textId="03A764C6" w:rsidR="00067D9A" w:rsidRPr="00067D9A" w:rsidRDefault="00067D9A" w:rsidP="00205ADC">
            <w:pPr>
              <w:spacing w:line="259" w:lineRule="auto"/>
              <w:rPr>
                <w:rFonts w:asciiTheme="minorHAnsi" w:hAnsiTheme="minorHAnsi" w:cstheme="minorHAnsi"/>
              </w:rPr>
            </w:pPr>
            <w:r w:rsidRPr="00067D9A">
              <w:rPr>
                <w:rFonts w:asciiTheme="minorHAnsi" w:hAnsiTheme="minorHAnsi" w:cstheme="minorHAnsi"/>
              </w:rPr>
              <w:t xml:space="preserve">Mínimo de 95% de </w:t>
            </w:r>
            <w:r w:rsidR="000F7AE1">
              <w:rPr>
                <w:rFonts w:asciiTheme="minorHAnsi" w:hAnsiTheme="minorHAnsi" w:cstheme="minorHAnsi"/>
              </w:rPr>
              <w:t>chamados finalizados no mês</w:t>
            </w:r>
            <w:r w:rsidRPr="00067D9A">
              <w:rPr>
                <w:rFonts w:asciiTheme="minorHAnsi" w:hAnsiTheme="minorHAnsi" w:cstheme="minorHAnsi"/>
              </w:rPr>
              <w:t xml:space="preserve">. </w:t>
            </w:r>
          </w:p>
        </w:tc>
      </w:tr>
      <w:tr w:rsidR="00067D9A" w:rsidRPr="00067D9A" w14:paraId="43698E5A" w14:textId="77777777" w:rsidTr="00067D9A">
        <w:trPr>
          <w:trHeight w:val="497"/>
        </w:trPr>
        <w:tc>
          <w:tcPr>
            <w:tcW w:w="1995" w:type="dxa"/>
            <w:tcBorders>
              <w:top w:val="single" w:sz="4" w:space="0" w:color="000000"/>
              <w:left w:val="single" w:sz="4" w:space="0" w:color="000000"/>
              <w:bottom w:val="single" w:sz="4" w:space="0" w:color="000000"/>
              <w:right w:val="single" w:sz="4" w:space="0" w:color="000000"/>
            </w:tcBorders>
          </w:tcPr>
          <w:p w14:paraId="403B6350"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Instrumento </w:t>
            </w:r>
            <w:r w:rsidRPr="00067D9A">
              <w:rPr>
                <w:rFonts w:asciiTheme="minorHAnsi" w:eastAsia="Calibri" w:hAnsiTheme="minorHAnsi" w:cstheme="minorHAnsi"/>
                <w:b/>
              </w:rPr>
              <w:tab/>
              <w:t xml:space="preserve">de medição </w:t>
            </w:r>
          </w:p>
        </w:tc>
        <w:tc>
          <w:tcPr>
            <w:tcW w:w="7633" w:type="dxa"/>
            <w:tcBorders>
              <w:top w:val="single" w:sz="4" w:space="0" w:color="000000"/>
              <w:left w:val="single" w:sz="4" w:space="0" w:color="000000"/>
              <w:bottom w:val="single" w:sz="4" w:space="0" w:color="000000"/>
              <w:right w:val="single" w:sz="4" w:space="0" w:color="000000"/>
            </w:tcBorders>
          </w:tcPr>
          <w:p w14:paraId="415DB806" w14:textId="331862B7" w:rsidR="00067D9A" w:rsidRPr="00067D9A" w:rsidRDefault="000F7AE1" w:rsidP="00205ADC">
            <w:pPr>
              <w:spacing w:line="259" w:lineRule="auto"/>
              <w:rPr>
                <w:rFonts w:asciiTheme="minorHAnsi" w:hAnsiTheme="minorHAnsi" w:cstheme="minorHAnsi"/>
              </w:rPr>
            </w:pPr>
            <w:r>
              <w:rPr>
                <w:rFonts w:asciiTheme="minorHAnsi" w:hAnsiTheme="minorHAnsi" w:cstheme="minorHAnsi"/>
              </w:rPr>
              <w:t>IMR</w:t>
            </w:r>
            <w:r w:rsidR="00067D9A" w:rsidRPr="00067D9A">
              <w:rPr>
                <w:rFonts w:asciiTheme="minorHAnsi" w:hAnsiTheme="minorHAnsi" w:cstheme="minorHAnsi"/>
              </w:rPr>
              <w:t xml:space="preserve"> </w:t>
            </w:r>
          </w:p>
        </w:tc>
      </w:tr>
      <w:tr w:rsidR="00067D9A" w:rsidRPr="00067D9A" w14:paraId="04ABB18B" w14:textId="77777777" w:rsidTr="00067D9A">
        <w:trPr>
          <w:trHeight w:val="744"/>
        </w:trPr>
        <w:tc>
          <w:tcPr>
            <w:tcW w:w="1995" w:type="dxa"/>
            <w:tcBorders>
              <w:top w:val="single" w:sz="4" w:space="0" w:color="000000"/>
              <w:left w:val="single" w:sz="4" w:space="0" w:color="000000"/>
              <w:bottom w:val="single" w:sz="4" w:space="0" w:color="000000"/>
              <w:right w:val="single" w:sz="4" w:space="0" w:color="000000"/>
            </w:tcBorders>
          </w:tcPr>
          <w:p w14:paraId="4386FA2C" w14:textId="77777777" w:rsidR="00067D9A" w:rsidRPr="00067D9A" w:rsidRDefault="00067D9A" w:rsidP="00205ADC">
            <w:pPr>
              <w:spacing w:line="259" w:lineRule="auto"/>
              <w:jc w:val="center"/>
              <w:rPr>
                <w:rFonts w:asciiTheme="minorHAnsi" w:hAnsiTheme="minorHAnsi" w:cstheme="minorHAnsi"/>
              </w:rPr>
            </w:pPr>
            <w:r w:rsidRPr="00067D9A">
              <w:rPr>
                <w:rFonts w:asciiTheme="minorHAnsi" w:eastAsia="Calibri" w:hAnsiTheme="minorHAnsi" w:cstheme="minorHAnsi"/>
                <w:b/>
              </w:rPr>
              <w:t xml:space="preserve">Forma </w:t>
            </w:r>
            <w:r w:rsidRPr="00067D9A">
              <w:rPr>
                <w:rFonts w:asciiTheme="minorHAnsi" w:eastAsia="Calibri" w:hAnsiTheme="minorHAnsi" w:cstheme="minorHAnsi"/>
                <w:b/>
              </w:rPr>
              <w:tab/>
              <w:t xml:space="preserve">de acompanhamento </w:t>
            </w:r>
          </w:p>
        </w:tc>
        <w:tc>
          <w:tcPr>
            <w:tcW w:w="7633" w:type="dxa"/>
            <w:tcBorders>
              <w:top w:val="single" w:sz="4" w:space="0" w:color="000000"/>
              <w:left w:val="single" w:sz="4" w:space="0" w:color="000000"/>
              <w:bottom w:val="single" w:sz="4" w:space="0" w:color="000000"/>
              <w:right w:val="single" w:sz="4" w:space="0" w:color="000000"/>
            </w:tcBorders>
          </w:tcPr>
          <w:p w14:paraId="2C383DE8" w14:textId="54B606AD" w:rsidR="00067D9A" w:rsidRPr="00067D9A" w:rsidRDefault="00067D9A" w:rsidP="00205ADC">
            <w:pPr>
              <w:spacing w:line="259" w:lineRule="auto"/>
              <w:ind w:right="46"/>
              <w:rPr>
                <w:rFonts w:asciiTheme="minorHAnsi" w:hAnsiTheme="minorHAnsi" w:cstheme="minorHAnsi"/>
              </w:rPr>
            </w:pPr>
            <w:r w:rsidRPr="00067D9A">
              <w:rPr>
                <w:rFonts w:asciiTheme="minorHAnsi" w:hAnsiTheme="minorHAnsi" w:cstheme="minorHAnsi"/>
              </w:rPr>
              <w:t xml:space="preserve">Relatórios gerenciais e estatísticos oriundos </w:t>
            </w:r>
            <w:r w:rsidR="000F7AE1">
              <w:rPr>
                <w:rFonts w:asciiTheme="minorHAnsi" w:hAnsiTheme="minorHAnsi" w:cstheme="minorHAnsi"/>
              </w:rPr>
              <w:t>do IMR</w:t>
            </w:r>
            <w:r w:rsidRPr="00067D9A">
              <w:rPr>
                <w:rFonts w:asciiTheme="minorHAnsi" w:hAnsiTheme="minorHAnsi" w:cstheme="minorHAnsi"/>
              </w:rPr>
              <w:t xml:space="preserve"> </w:t>
            </w:r>
          </w:p>
        </w:tc>
      </w:tr>
      <w:tr w:rsidR="00067D9A" w:rsidRPr="00067D9A" w14:paraId="7DCB1CCE" w14:textId="77777777" w:rsidTr="00067D9A">
        <w:trPr>
          <w:trHeight w:val="252"/>
        </w:trPr>
        <w:tc>
          <w:tcPr>
            <w:tcW w:w="1995" w:type="dxa"/>
            <w:tcBorders>
              <w:top w:val="single" w:sz="4" w:space="0" w:color="000000"/>
              <w:left w:val="single" w:sz="4" w:space="0" w:color="000000"/>
              <w:bottom w:val="single" w:sz="4" w:space="0" w:color="000000"/>
              <w:right w:val="single" w:sz="4" w:space="0" w:color="000000"/>
            </w:tcBorders>
          </w:tcPr>
          <w:p w14:paraId="49C6E72E"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Periodicidade </w:t>
            </w:r>
          </w:p>
        </w:tc>
        <w:tc>
          <w:tcPr>
            <w:tcW w:w="7633" w:type="dxa"/>
            <w:tcBorders>
              <w:top w:val="single" w:sz="4" w:space="0" w:color="000000"/>
              <w:left w:val="single" w:sz="4" w:space="0" w:color="000000"/>
              <w:bottom w:val="single" w:sz="4" w:space="0" w:color="000000"/>
              <w:right w:val="single" w:sz="4" w:space="0" w:color="000000"/>
            </w:tcBorders>
          </w:tcPr>
          <w:p w14:paraId="6E9FA6B3" w14:textId="77777777" w:rsidR="00067D9A" w:rsidRPr="00067D9A" w:rsidRDefault="00067D9A" w:rsidP="00205ADC">
            <w:pPr>
              <w:spacing w:line="259" w:lineRule="auto"/>
              <w:rPr>
                <w:rFonts w:asciiTheme="minorHAnsi" w:hAnsiTheme="minorHAnsi" w:cstheme="minorHAnsi"/>
              </w:rPr>
            </w:pPr>
            <w:r w:rsidRPr="00067D9A">
              <w:rPr>
                <w:rFonts w:asciiTheme="minorHAnsi" w:hAnsiTheme="minorHAnsi" w:cstheme="minorHAnsi"/>
              </w:rPr>
              <w:t xml:space="preserve">Mensal </w:t>
            </w:r>
          </w:p>
        </w:tc>
      </w:tr>
      <w:tr w:rsidR="00067D9A" w:rsidRPr="00067D9A" w14:paraId="41A0D3DB" w14:textId="77777777" w:rsidTr="00067D9A">
        <w:trPr>
          <w:trHeight w:val="986"/>
        </w:trPr>
        <w:tc>
          <w:tcPr>
            <w:tcW w:w="1995" w:type="dxa"/>
            <w:tcBorders>
              <w:top w:val="single" w:sz="4" w:space="0" w:color="000000"/>
              <w:left w:val="single" w:sz="4" w:space="0" w:color="000000"/>
              <w:bottom w:val="single" w:sz="4" w:space="0" w:color="000000"/>
              <w:right w:val="single" w:sz="4" w:space="0" w:color="000000"/>
            </w:tcBorders>
          </w:tcPr>
          <w:p w14:paraId="741D0DBC" w14:textId="77777777" w:rsidR="00067D9A" w:rsidRPr="00067D9A" w:rsidRDefault="00067D9A" w:rsidP="00205ADC">
            <w:pPr>
              <w:tabs>
                <w:tab w:val="right" w:pos="1565"/>
              </w:tabs>
              <w:spacing w:line="259" w:lineRule="auto"/>
              <w:rPr>
                <w:rFonts w:asciiTheme="minorHAnsi" w:hAnsiTheme="minorHAnsi" w:cstheme="minorHAnsi"/>
              </w:rPr>
            </w:pPr>
            <w:r w:rsidRPr="00067D9A">
              <w:rPr>
                <w:rFonts w:asciiTheme="minorHAnsi" w:eastAsia="Calibri" w:hAnsiTheme="minorHAnsi" w:cstheme="minorHAnsi"/>
                <w:b/>
              </w:rPr>
              <w:t xml:space="preserve">Mecanismo </w:t>
            </w:r>
            <w:r w:rsidRPr="00067D9A">
              <w:rPr>
                <w:rFonts w:asciiTheme="minorHAnsi" w:eastAsia="Calibri" w:hAnsiTheme="minorHAnsi" w:cstheme="minorHAnsi"/>
                <w:b/>
              </w:rPr>
              <w:tab/>
              <w:t xml:space="preserve">de </w:t>
            </w:r>
          </w:p>
          <w:p w14:paraId="19A4CBBA"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cálculo </w:t>
            </w:r>
          </w:p>
        </w:tc>
        <w:tc>
          <w:tcPr>
            <w:tcW w:w="7633" w:type="dxa"/>
            <w:tcBorders>
              <w:top w:val="single" w:sz="4" w:space="0" w:color="000000"/>
              <w:left w:val="single" w:sz="4" w:space="0" w:color="000000"/>
              <w:bottom w:val="single" w:sz="4" w:space="0" w:color="000000"/>
              <w:right w:val="single" w:sz="4" w:space="0" w:color="000000"/>
            </w:tcBorders>
          </w:tcPr>
          <w:p w14:paraId="62285DBC" w14:textId="294C9FEA" w:rsidR="00067D9A" w:rsidRPr="00067D9A" w:rsidRDefault="00067D9A" w:rsidP="00205ADC">
            <w:pPr>
              <w:spacing w:line="259" w:lineRule="auto"/>
              <w:ind w:right="47"/>
              <w:rPr>
                <w:rFonts w:asciiTheme="minorHAnsi" w:hAnsiTheme="minorHAnsi" w:cstheme="minorHAnsi"/>
              </w:rPr>
            </w:pPr>
            <w:r w:rsidRPr="00067D9A">
              <w:rPr>
                <w:rFonts w:asciiTheme="minorHAnsi" w:hAnsiTheme="minorHAnsi" w:cstheme="minorHAnsi"/>
              </w:rPr>
              <w:t xml:space="preserve">De todos </w:t>
            </w:r>
            <w:r w:rsidR="000F7AE1">
              <w:rPr>
                <w:rFonts w:asciiTheme="minorHAnsi" w:hAnsiTheme="minorHAnsi" w:cstheme="minorHAnsi"/>
              </w:rPr>
              <w:t>as solicitações de manutenção</w:t>
            </w:r>
            <w:r w:rsidRPr="00067D9A">
              <w:rPr>
                <w:rFonts w:asciiTheme="minorHAnsi" w:hAnsiTheme="minorHAnsi" w:cstheme="minorHAnsi"/>
              </w:rPr>
              <w:t xml:space="preserve"> dentro do mês de faturamento (índice de a</w:t>
            </w:r>
            <w:r w:rsidR="000F7AE1">
              <w:rPr>
                <w:rFonts w:asciiTheme="minorHAnsi" w:hAnsiTheme="minorHAnsi" w:cstheme="minorHAnsi"/>
              </w:rPr>
              <w:t>tendimento</w:t>
            </w:r>
            <w:r w:rsidRPr="00067D9A">
              <w:rPr>
                <w:rFonts w:asciiTheme="minorHAnsi" w:hAnsiTheme="minorHAnsi" w:cstheme="minorHAnsi"/>
              </w:rPr>
              <w:t xml:space="preserve">). </w:t>
            </w:r>
          </w:p>
        </w:tc>
      </w:tr>
      <w:tr w:rsidR="00067D9A" w:rsidRPr="00067D9A" w14:paraId="6DC55C0E" w14:textId="77777777" w:rsidTr="00067D9A">
        <w:trPr>
          <w:trHeight w:val="254"/>
        </w:trPr>
        <w:tc>
          <w:tcPr>
            <w:tcW w:w="1995" w:type="dxa"/>
            <w:tcBorders>
              <w:top w:val="single" w:sz="4" w:space="0" w:color="000000"/>
              <w:left w:val="single" w:sz="4" w:space="0" w:color="000000"/>
              <w:bottom w:val="single" w:sz="4" w:space="0" w:color="000000"/>
              <w:right w:val="single" w:sz="4" w:space="0" w:color="000000"/>
            </w:tcBorders>
          </w:tcPr>
          <w:p w14:paraId="51EC5B3D"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Início de Aferição </w:t>
            </w:r>
          </w:p>
        </w:tc>
        <w:tc>
          <w:tcPr>
            <w:tcW w:w="7633" w:type="dxa"/>
            <w:tcBorders>
              <w:top w:val="single" w:sz="4" w:space="0" w:color="000000"/>
              <w:left w:val="single" w:sz="4" w:space="0" w:color="000000"/>
              <w:bottom w:val="single" w:sz="4" w:space="0" w:color="000000"/>
              <w:right w:val="single" w:sz="4" w:space="0" w:color="000000"/>
            </w:tcBorders>
          </w:tcPr>
          <w:p w14:paraId="73751577" w14:textId="77777777" w:rsidR="00067D9A" w:rsidRPr="00067D9A" w:rsidRDefault="00067D9A" w:rsidP="00205ADC">
            <w:pPr>
              <w:spacing w:line="259" w:lineRule="auto"/>
              <w:rPr>
                <w:rFonts w:asciiTheme="minorHAnsi" w:hAnsiTheme="minorHAnsi" w:cstheme="minorHAnsi"/>
              </w:rPr>
            </w:pPr>
            <w:r w:rsidRPr="00067D9A">
              <w:rPr>
                <w:rFonts w:asciiTheme="minorHAnsi" w:hAnsiTheme="minorHAnsi" w:cstheme="minorHAnsi"/>
              </w:rPr>
              <w:t xml:space="preserve">A fiscalização se dará desde o início das atividades da empresa contratada. </w:t>
            </w:r>
          </w:p>
        </w:tc>
      </w:tr>
      <w:tr w:rsidR="00067D9A" w:rsidRPr="00067D9A" w14:paraId="72FB4086" w14:textId="77777777" w:rsidTr="00067D9A">
        <w:trPr>
          <w:trHeight w:val="1232"/>
        </w:trPr>
        <w:tc>
          <w:tcPr>
            <w:tcW w:w="1995" w:type="dxa"/>
            <w:tcBorders>
              <w:top w:val="single" w:sz="4" w:space="0" w:color="000000"/>
              <w:left w:val="single" w:sz="4" w:space="0" w:color="000000"/>
              <w:bottom w:val="single" w:sz="4" w:space="0" w:color="000000"/>
              <w:right w:val="single" w:sz="4" w:space="0" w:color="000000"/>
            </w:tcBorders>
          </w:tcPr>
          <w:p w14:paraId="47697F98"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lastRenderedPageBreak/>
              <w:t xml:space="preserve">Faixas de ajuste no pagamento </w:t>
            </w:r>
          </w:p>
        </w:tc>
        <w:tc>
          <w:tcPr>
            <w:tcW w:w="7633" w:type="dxa"/>
            <w:tcBorders>
              <w:top w:val="single" w:sz="4" w:space="0" w:color="000000"/>
              <w:left w:val="single" w:sz="4" w:space="0" w:color="000000"/>
              <w:bottom w:val="single" w:sz="4" w:space="0" w:color="000000"/>
              <w:right w:val="single" w:sz="4" w:space="0" w:color="000000"/>
            </w:tcBorders>
          </w:tcPr>
          <w:p w14:paraId="569BD553" w14:textId="77777777" w:rsidR="00067D9A" w:rsidRDefault="00067D9A" w:rsidP="00205ADC">
            <w:pPr>
              <w:spacing w:after="26" w:line="242" w:lineRule="auto"/>
              <w:ind w:right="51"/>
              <w:rPr>
                <w:rFonts w:asciiTheme="minorHAnsi" w:hAnsiTheme="minorHAnsi" w:cstheme="minorHAnsi"/>
              </w:rPr>
            </w:pPr>
            <w:r w:rsidRPr="00067D9A">
              <w:rPr>
                <w:rFonts w:asciiTheme="minorHAnsi" w:hAnsiTheme="minorHAnsi" w:cstheme="minorHAnsi"/>
              </w:rPr>
              <w:t xml:space="preserve">A aplicação dos ajustes para pagamento, será aplicado no segundo mês de fiscalização em diante, considerando o índice de acerto de acordo com os seguintes percentuais: </w:t>
            </w:r>
          </w:p>
          <w:p w14:paraId="2DA54EFF" w14:textId="77777777" w:rsidR="00067D9A" w:rsidRDefault="00067D9A" w:rsidP="00205ADC">
            <w:pPr>
              <w:spacing w:after="26" w:line="242" w:lineRule="auto"/>
              <w:ind w:right="51"/>
              <w:rPr>
                <w:rFonts w:asciiTheme="minorHAnsi" w:hAnsiTheme="minorHAnsi" w:cstheme="minorHAnsi"/>
              </w:rPr>
            </w:pPr>
            <w:r w:rsidRPr="00067D9A">
              <w:rPr>
                <w:rFonts w:asciiTheme="minorHAnsi" w:hAnsiTheme="minorHAnsi" w:cstheme="minorHAnsi"/>
              </w:rPr>
              <w:t xml:space="preserve">PDA ≥ a 95% = 100% da fatura; </w:t>
            </w:r>
          </w:p>
          <w:p w14:paraId="3550C376" w14:textId="3353B721" w:rsidR="00067D9A" w:rsidRPr="00067D9A" w:rsidRDefault="00067D9A" w:rsidP="00205ADC">
            <w:pPr>
              <w:spacing w:after="26" w:line="242" w:lineRule="auto"/>
              <w:ind w:right="51"/>
              <w:rPr>
                <w:rFonts w:asciiTheme="minorHAnsi" w:hAnsiTheme="minorHAnsi" w:cstheme="minorHAnsi"/>
              </w:rPr>
            </w:pPr>
            <w:r w:rsidRPr="00067D9A">
              <w:rPr>
                <w:rFonts w:asciiTheme="minorHAnsi" w:hAnsiTheme="minorHAnsi" w:cstheme="minorHAnsi"/>
              </w:rPr>
              <w:t xml:space="preserve">PDA ≥ 90% = 95% da fatura; </w:t>
            </w:r>
          </w:p>
          <w:p w14:paraId="76674627" w14:textId="77777777" w:rsidR="00067D9A" w:rsidRPr="00067D9A" w:rsidRDefault="00067D9A" w:rsidP="00205ADC">
            <w:pPr>
              <w:spacing w:line="259" w:lineRule="auto"/>
              <w:rPr>
                <w:rFonts w:asciiTheme="minorHAnsi" w:hAnsiTheme="minorHAnsi" w:cstheme="minorHAnsi"/>
              </w:rPr>
            </w:pPr>
            <w:r w:rsidRPr="00067D9A">
              <w:rPr>
                <w:rFonts w:asciiTheme="minorHAnsi" w:hAnsiTheme="minorHAnsi" w:cstheme="minorHAnsi"/>
              </w:rPr>
              <w:t xml:space="preserve">PDA &lt; de 90% = 90% da fatura. </w:t>
            </w:r>
          </w:p>
        </w:tc>
      </w:tr>
      <w:tr w:rsidR="00067D9A" w:rsidRPr="00067D9A" w14:paraId="68BA1691" w14:textId="77777777" w:rsidTr="00067D9A">
        <w:trPr>
          <w:trHeight w:val="742"/>
        </w:trPr>
        <w:tc>
          <w:tcPr>
            <w:tcW w:w="1995" w:type="dxa"/>
            <w:tcBorders>
              <w:top w:val="single" w:sz="4" w:space="0" w:color="000000"/>
              <w:left w:val="single" w:sz="4" w:space="0" w:color="000000"/>
              <w:bottom w:val="single" w:sz="4" w:space="0" w:color="000000"/>
              <w:right w:val="single" w:sz="4" w:space="0" w:color="000000"/>
            </w:tcBorders>
          </w:tcPr>
          <w:p w14:paraId="2BE74659"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Sanções </w:t>
            </w:r>
          </w:p>
        </w:tc>
        <w:tc>
          <w:tcPr>
            <w:tcW w:w="7633" w:type="dxa"/>
            <w:tcBorders>
              <w:top w:val="single" w:sz="4" w:space="0" w:color="000000"/>
              <w:left w:val="single" w:sz="4" w:space="0" w:color="000000"/>
              <w:bottom w:val="single" w:sz="4" w:space="0" w:color="000000"/>
              <w:right w:val="single" w:sz="4" w:space="0" w:color="000000"/>
            </w:tcBorders>
          </w:tcPr>
          <w:p w14:paraId="62828CF0" w14:textId="77777777" w:rsidR="00067D9A" w:rsidRPr="00067D9A" w:rsidRDefault="00067D9A" w:rsidP="00205ADC">
            <w:pPr>
              <w:spacing w:after="10" w:line="259" w:lineRule="auto"/>
              <w:rPr>
                <w:rFonts w:asciiTheme="minorHAnsi" w:hAnsiTheme="minorHAnsi" w:cstheme="minorHAnsi"/>
              </w:rPr>
            </w:pPr>
            <w:r w:rsidRPr="00067D9A">
              <w:rPr>
                <w:rFonts w:asciiTheme="minorHAnsi" w:hAnsiTheme="minorHAnsi" w:cstheme="minorHAnsi"/>
              </w:rPr>
              <w:t xml:space="preserve">PDA &lt; de 89% de acertos = notificar a contrata; </w:t>
            </w:r>
          </w:p>
          <w:p w14:paraId="4565AD67" w14:textId="77777777" w:rsidR="00067D9A" w:rsidRPr="00067D9A" w:rsidRDefault="00067D9A" w:rsidP="00205ADC">
            <w:pPr>
              <w:spacing w:line="259" w:lineRule="auto"/>
              <w:rPr>
                <w:rFonts w:asciiTheme="minorHAnsi" w:hAnsiTheme="minorHAnsi" w:cstheme="minorHAnsi"/>
              </w:rPr>
            </w:pPr>
            <w:r w:rsidRPr="00067D9A">
              <w:rPr>
                <w:rFonts w:asciiTheme="minorHAnsi" w:hAnsiTheme="minorHAnsi" w:cstheme="minorHAnsi"/>
              </w:rPr>
              <w:t xml:space="preserve">PDA &lt; de 80% de acertos = notificar a contrata e aplicar as sanções em Termo de Referência e Contrato. </w:t>
            </w:r>
          </w:p>
        </w:tc>
      </w:tr>
      <w:tr w:rsidR="00067D9A" w:rsidRPr="00067D9A" w14:paraId="057AE899" w14:textId="77777777" w:rsidTr="00067D9A">
        <w:trPr>
          <w:trHeight w:val="3185"/>
        </w:trPr>
        <w:tc>
          <w:tcPr>
            <w:tcW w:w="1995" w:type="dxa"/>
            <w:tcBorders>
              <w:top w:val="single" w:sz="4" w:space="0" w:color="000000"/>
              <w:left w:val="single" w:sz="4" w:space="0" w:color="000000"/>
              <w:bottom w:val="single" w:sz="4" w:space="0" w:color="000000"/>
              <w:right w:val="single" w:sz="4" w:space="0" w:color="000000"/>
            </w:tcBorders>
          </w:tcPr>
          <w:p w14:paraId="4600A3D3" w14:textId="77777777" w:rsidR="00067D9A" w:rsidRPr="00067D9A" w:rsidRDefault="00067D9A" w:rsidP="00205ADC">
            <w:pPr>
              <w:spacing w:line="259" w:lineRule="auto"/>
              <w:rPr>
                <w:rFonts w:asciiTheme="minorHAnsi" w:hAnsiTheme="minorHAnsi" w:cstheme="minorHAnsi"/>
              </w:rPr>
            </w:pPr>
            <w:r w:rsidRPr="00067D9A">
              <w:rPr>
                <w:rFonts w:asciiTheme="minorHAnsi" w:eastAsia="Calibri" w:hAnsiTheme="minorHAnsi" w:cstheme="minorHAnsi"/>
                <w:b/>
              </w:rPr>
              <w:t xml:space="preserve">Observações </w:t>
            </w:r>
          </w:p>
        </w:tc>
        <w:tc>
          <w:tcPr>
            <w:tcW w:w="7633" w:type="dxa"/>
            <w:tcBorders>
              <w:top w:val="single" w:sz="4" w:space="0" w:color="000000"/>
              <w:left w:val="single" w:sz="4" w:space="0" w:color="000000"/>
              <w:bottom w:val="single" w:sz="4" w:space="0" w:color="000000"/>
              <w:right w:val="single" w:sz="4" w:space="0" w:color="000000"/>
            </w:tcBorders>
          </w:tcPr>
          <w:p w14:paraId="2199A5C1" w14:textId="77777777" w:rsidR="00067D9A" w:rsidRPr="00067D9A" w:rsidRDefault="00067D9A" w:rsidP="00067D9A">
            <w:pPr>
              <w:numPr>
                <w:ilvl w:val="0"/>
                <w:numId w:val="19"/>
              </w:numPr>
              <w:spacing w:line="259" w:lineRule="auto"/>
              <w:ind w:right="23"/>
              <w:jc w:val="both"/>
              <w:rPr>
                <w:rFonts w:asciiTheme="minorHAnsi" w:hAnsiTheme="minorHAnsi" w:cstheme="minorHAnsi"/>
              </w:rPr>
            </w:pPr>
            <w:r w:rsidRPr="00067D9A">
              <w:rPr>
                <w:rFonts w:asciiTheme="minorHAnsi" w:hAnsiTheme="minorHAnsi" w:cstheme="minorHAnsi"/>
              </w:rPr>
              <w:t xml:space="preserve">A aplicação de sanções é cumulativa com os ajustes no pagamento; </w:t>
            </w:r>
          </w:p>
          <w:p w14:paraId="6F615EB3" w14:textId="317319AB" w:rsidR="00067D9A" w:rsidRPr="0079329B" w:rsidRDefault="00067D9A" w:rsidP="000F7AE1">
            <w:pPr>
              <w:numPr>
                <w:ilvl w:val="0"/>
                <w:numId w:val="19"/>
              </w:numPr>
              <w:spacing w:after="1" w:line="241" w:lineRule="auto"/>
              <w:ind w:right="23"/>
              <w:jc w:val="both"/>
              <w:rPr>
                <w:rFonts w:asciiTheme="minorHAnsi" w:hAnsiTheme="minorHAnsi" w:cstheme="minorHAnsi"/>
              </w:rPr>
            </w:pPr>
            <w:r w:rsidRPr="00067D9A">
              <w:rPr>
                <w:rFonts w:asciiTheme="minorHAnsi" w:hAnsiTheme="minorHAnsi" w:cstheme="minorHAnsi"/>
              </w:rPr>
              <w:t>A aplicação das faixas de ajuste de pagamento se dará a partir do segundo mês de fiscalização, pois é necessário no primeiro mês de execução dos serviços a adequação/adaptação da contratada ás realidades do Contratante</w:t>
            </w:r>
            <w:r w:rsidR="000F7AE1">
              <w:rPr>
                <w:rFonts w:asciiTheme="minorHAnsi" w:hAnsiTheme="minorHAnsi" w:cstheme="minorHAnsi"/>
              </w:rPr>
              <w:t>.</w:t>
            </w:r>
          </w:p>
        </w:tc>
      </w:tr>
    </w:tbl>
    <w:p w14:paraId="200AEF83" w14:textId="77777777" w:rsidR="008A2CDF" w:rsidRPr="00BB598F" w:rsidRDefault="008A2CDF" w:rsidP="00DD5D63">
      <w:pPr>
        <w:pStyle w:val="PargrafodaLista"/>
        <w:tabs>
          <w:tab w:val="left" w:pos="426"/>
        </w:tabs>
        <w:ind w:left="426"/>
        <w:jc w:val="both"/>
        <w:rPr>
          <w:rFonts w:eastAsia="Arial Unicode MS" w:cs="Arial"/>
          <w:b/>
          <w:szCs w:val="20"/>
        </w:rPr>
      </w:pPr>
    </w:p>
    <w:sectPr w:rsidR="008A2CDF" w:rsidRPr="00BB598F" w:rsidSect="00DC77CF">
      <w:headerReference w:type="default" r:id="rId9"/>
      <w:footerReference w:type="default" r:id="rId10"/>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1768" w14:textId="77777777" w:rsidR="002E08D7" w:rsidRDefault="002E08D7" w:rsidP="00A116FB">
      <w:r>
        <w:separator/>
      </w:r>
    </w:p>
  </w:endnote>
  <w:endnote w:type="continuationSeparator" w:id="0">
    <w:p w14:paraId="06769891" w14:textId="77777777" w:rsidR="002E08D7" w:rsidRDefault="002E08D7"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A138" w14:textId="77777777" w:rsidR="002E08D7" w:rsidRDefault="002E08D7" w:rsidP="00A116FB">
      <w:r>
        <w:separator/>
      </w:r>
    </w:p>
  </w:footnote>
  <w:footnote w:type="continuationSeparator" w:id="0">
    <w:p w14:paraId="47850CFC" w14:textId="77777777" w:rsidR="002E08D7" w:rsidRDefault="002E08D7"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61E1" w14:textId="54E3C7CE" w:rsidR="002E3C88" w:rsidRPr="00347E5F" w:rsidRDefault="002E3C88" w:rsidP="00A116FB">
    <w:pPr>
      <w:pStyle w:val="Cabealho"/>
      <w:jc w:val="right"/>
      <w:rPr>
        <w:rFonts w:ascii="Verdana" w:hAnsi="Verdana"/>
        <w:sz w:val="16"/>
        <w:szCs w:val="16"/>
      </w:rPr>
    </w:pPr>
    <w:bookmarkStart w:id="2" w:name="_Hlk509777182"/>
    <w:r w:rsidRPr="00347E5F">
      <w:rPr>
        <w:rFonts w:ascii="Verdana" w:hAnsi="Verdana"/>
        <w:sz w:val="16"/>
        <w:szCs w:val="16"/>
      </w:rPr>
      <w:t xml:space="preserve">Processo n.º </w:t>
    </w:r>
    <w:r w:rsidR="000F7AE1" w:rsidRPr="000F7AE1">
      <w:rPr>
        <w:rFonts w:ascii="Verdana" w:hAnsi="Verdana"/>
        <w:sz w:val="16"/>
        <w:szCs w:val="16"/>
      </w:rPr>
      <w:t>23069.151010/2022-37</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5C63429"/>
    <w:multiLevelType w:val="hybridMultilevel"/>
    <w:tmpl w:val="6FAC93AE"/>
    <w:lvl w:ilvl="0" w:tplc="1E9EF80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2D74C">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A85678">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6CB88">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A7EDA">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8EACE">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12878E">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6E5524">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4EDFA">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10"/>
  </w:num>
  <w:num w:numId="3">
    <w:abstractNumId w:val="16"/>
  </w:num>
  <w:num w:numId="4">
    <w:abstractNumId w:val="11"/>
  </w:num>
  <w:num w:numId="5">
    <w:abstractNumId w:val="1"/>
  </w:num>
  <w:num w:numId="6">
    <w:abstractNumId w:val="13"/>
  </w:num>
  <w:num w:numId="7">
    <w:abstractNumId w:val="15"/>
  </w:num>
  <w:num w:numId="8">
    <w:abstractNumId w:val="12"/>
  </w:num>
  <w:num w:numId="9">
    <w:abstractNumId w:val="2"/>
  </w:num>
  <w:num w:numId="10">
    <w:abstractNumId w:val="6"/>
  </w:num>
  <w:num w:numId="11">
    <w:abstractNumId w:val="7"/>
  </w:num>
  <w:num w:numId="12">
    <w:abstractNumId w:val="3"/>
  </w:num>
  <w:num w:numId="13">
    <w:abstractNumId w:val="0"/>
  </w:num>
  <w:num w:numId="14">
    <w:abstractNumId w:val="17"/>
  </w:num>
  <w:num w:numId="15">
    <w:abstractNumId w:val="14"/>
  </w:num>
  <w:num w:numId="16">
    <w:abstractNumId w:val="8"/>
  </w:num>
  <w:num w:numId="17">
    <w:abstractNumId w:val="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40E7C"/>
    <w:rsid w:val="00067D9A"/>
    <w:rsid w:val="000F7AE1"/>
    <w:rsid w:val="00106F74"/>
    <w:rsid w:val="00125AF5"/>
    <w:rsid w:val="001347A0"/>
    <w:rsid w:val="00146AC4"/>
    <w:rsid w:val="00150B06"/>
    <w:rsid w:val="00153CB1"/>
    <w:rsid w:val="00185559"/>
    <w:rsid w:val="001E33C4"/>
    <w:rsid w:val="001F70F2"/>
    <w:rsid w:val="001F7825"/>
    <w:rsid w:val="002273EB"/>
    <w:rsid w:val="00232D24"/>
    <w:rsid w:val="002764D1"/>
    <w:rsid w:val="002E08D7"/>
    <w:rsid w:val="002E3C88"/>
    <w:rsid w:val="002F3AB3"/>
    <w:rsid w:val="003229E7"/>
    <w:rsid w:val="003811FD"/>
    <w:rsid w:val="003D48BF"/>
    <w:rsid w:val="00400A94"/>
    <w:rsid w:val="00441A6E"/>
    <w:rsid w:val="004500FD"/>
    <w:rsid w:val="00474BEB"/>
    <w:rsid w:val="004D323F"/>
    <w:rsid w:val="00505200"/>
    <w:rsid w:val="0054468E"/>
    <w:rsid w:val="0057035B"/>
    <w:rsid w:val="005913FE"/>
    <w:rsid w:val="005B1931"/>
    <w:rsid w:val="005E1ACB"/>
    <w:rsid w:val="006726D7"/>
    <w:rsid w:val="00672A05"/>
    <w:rsid w:val="00676FA4"/>
    <w:rsid w:val="00697934"/>
    <w:rsid w:val="00761918"/>
    <w:rsid w:val="00777603"/>
    <w:rsid w:val="00783B66"/>
    <w:rsid w:val="00792BA7"/>
    <w:rsid w:val="0079329B"/>
    <w:rsid w:val="007B4C1C"/>
    <w:rsid w:val="007C7C62"/>
    <w:rsid w:val="007F4B2B"/>
    <w:rsid w:val="007F666C"/>
    <w:rsid w:val="00806BDC"/>
    <w:rsid w:val="00821189"/>
    <w:rsid w:val="008A2CDF"/>
    <w:rsid w:val="008B6A77"/>
    <w:rsid w:val="008F0018"/>
    <w:rsid w:val="009A1D81"/>
    <w:rsid w:val="009F46EC"/>
    <w:rsid w:val="00A03318"/>
    <w:rsid w:val="00A116FB"/>
    <w:rsid w:val="00A11BC2"/>
    <w:rsid w:val="00A573ED"/>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D97F19"/>
    <w:rsid w:val="00DA11D0"/>
    <w:rsid w:val="00DA229F"/>
    <w:rsid w:val="00DA5F31"/>
    <w:rsid w:val="00DC77CF"/>
    <w:rsid w:val="00DD52F7"/>
    <w:rsid w:val="00DD5D63"/>
    <w:rsid w:val="00E6083F"/>
    <w:rsid w:val="00E94B74"/>
    <w:rsid w:val="00F41FB6"/>
    <w:rsid w:val="00F46A4B"/>
    <w:rsid w:val="00F66CB8"/>
    <w:rsid w:val="00F71337"/>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 w:type="table" w:customStyle="1" w:styleId="TableGrid">
    <w:name w:val="TableGrid"/>
    <w:rsid w:val="00067D9A"/>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3133">
      <w:bodyDiv w:val="1"/>
      <w:marLeft w:val="0"/>
      <w:marRight w:val="0"/>
      <w:marTop w:val="0"/>
      <w:marBottom w:val="0"/>
      <w:divBdr>
        <w:top w:val="none" w:sz="0" w:space="0" w:color="auto"/>
        <w:left w:val="none" w:sz="0" w:space="0" w:color="auto"/>
        <w:bottom w:val="none" w:sz="0" w:space="0" w:color="auto"/>
        <w:right w:val="none" w:sz="0" w:space="0" w:color="auto"/>
      </w:divBdr>
    </w:div>
    <w:div w:id="17434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2021-11-28T03:23:00Z</cp:lastPrinted>
  <dcterms:created xsi:type="dcterms:W3CDTF">2022-01-27T02:12:00Z</dcterms:created>
  <dcterms:modified xsi:type="dcterms:W3CDTF">2022-01-27T02:12:00Z</dcterms:modified>
</cp:coreProperties>
</file>