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uppressLineNumbers/>
        <w:tabs>
          <w:tab w:val="left" w:pos="9639"/>
        </w:tabs>
        <w:suppressAutoHyphens/>
        <w:autoSpaceDE w:val="0"/>
        <w:autoSpaceDN w:val="0"/>
        <w:spacing w:before="101" w:after="0" w:line="360" w:lineRule="auto"/>
        <w:ind w:right="3"/>
        <w:jc w:val="center"/>
        <w:rPr>
          <w:rFonts w:ascii="Verdana" w:hAnsi="Liberation Sans Narrow" w:eastAsia="Liberation Sans Narrow" w:cs="Liberation Sans Narrow"/>
          <w:b/>
          <w:szCs w:val="20"/>
          <w:lang w:bidi="pt-BR"/>
        </w:rPr>
      </w:pPr>
      <w:r>
        <w:rPr>
          <w:rFonts w:ascii="Verdana" w:hAnsi="Liberation Sans Narrow" w:eastAsia="Liberation Sans Narrow" w:cs="Liberation Sans Narrow"/>
          <w:b/>
          <w:szCs w:val="20"/>
          <w:lang w:bidi="pt-BR"/>
        </w:rPr>
        <w:t>ANEXO IV – PE 7</w:t>
      </w:r>
      <w:r>
        <w:rPr>
          <w:rFonts w:hint="default" w:ascii="Verdana" w:hAnsi="Liberation Sans Narrow" w:eastAsia="Liberation Sans Narrow" w:cs="Liberation Sans Narrow"/>
          <w:b/>
          <w:szCs w:val="20"/>
          <w:lang w:val="en-US" w:bidi="pt-BR"/>
        </w:rPr>
        <w:t>6</w:t>
      </w:r>
      <w:bookmarkStart w:id="0" w:name="_GoBack"/>
      <w:bookmarkEnd w:id="0"/>
      <w:r>
        <w:rPr>
          <w:rFonts w:ascii="Verdana" w:hAnsi="Liberation Sans Narrow" w:eastAsia="Liberation Sans Narrow" w:cs="Liberation Sans Narrow"/>
          <w:b/>
          <w:szCs w:val="20"/>
          <w:lang w:bidi="pt-BR"/>
        </w:rPr>
        <w:t>/2021</w:t>
      </w:r>
    </w:p>
    <w:p>
      <w:pPr>
        <w:keepNext/>
        <w:keepLines/>
        <w:suppressLineNumbers/>
        <w:tabs>
          <w:tab w:val="left" w:pos="9639"/>
        </w:tabs>
        <w:suppressAutoHyphens/>
        <w:autoSpaceDE w:val="0"/>
        <w:autoSpaceDN w:val="0"/>
        <w:spacing w:before="101" w:after="0" w:line="360" w:lineRule="auto"/>
        <w:ind w:right="3"/>
        <w:jc w:val="center"/>
        <w:rPr>
          <w:rFonts w:ascii="Verdana" w:hAnsi="Liberation Sans Narrow" w:eastAsia="Liberation Sans Narrow" w:cs="Liberation Sans Narrow"/>
          <w:b/>
          <w:szCs w:val="20"/>
          <w:lang w:bidi="pt-BR"/>
        </w:rPr>
      </w:pPr>
      <w:r>
        <w:rPr>
          <w:rFonts w:ascii="Verdana" w:hAnsi="Liberation Sans Narrow" w:eastAsia="Liberation Sans Narrow" w:cs="Liberation Sans Narrow"/>
          <w:b/>
          <w:szCs w:val="20"/>
          <w:lang w:bidi="pt-BR"/>
        </w:rPr>
        <w:t>Processo 23069.164162/2021-19</w:t>
      </w:r>
    </w:p>
    <w:p>
      <w:pPr>
        <w:keepNext/>
        <w:keepLines/>
        <w:suppressLineNumbers/>
        <w:tabs>
          <w:tab w:val="left" w:pos="9639"/>
        </w:tabs>
        <w:suppressAutoHyphens/>
        <w:autoSpaceDE w:val="0"/>
        <w:autoSpaceDN w:val="0"/>
        <w:spacing w:before="101" w:after="0" w:line="360" w:lineRule="auto"/>
        <w:ind w:right="3"/>
        <w:jc w:val="center"/>
        <w:rPr>
          <w:rFonts w:ascii="Verdana" w:hAnsi="Liberation Sans Narrow" w:eastAsia="Liberation Sans Narrow" w:cs="Liberation Sans Narrow"/>
          <w:b/>
          <w:color w:val="FF0000"/>
          <w:szCs w:val="20"/>
          <w:lang w:bidi="pt-BR"/>
        </w:rPr>
      </w:pPr>
    </w:p>
    <w:p>
      <w:pPr>
        <w:spacing w:after="0" w:line="36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INDICE DE MEDIÇÃO DE RESULTADO </w:t>
      </w:r>
      <w:r>
        <w:rPr>
          <w:rFonts w:eastAsia="Arial" w:cstheme="minorHAnsi"/>
          <w:b/>
          <w:bCs/>
          <w:szCs w:val="20"/>
        </w:rPr>
        <w:t>(IMR)</w:t>
      </w:r>
    </w:p>
    <w:p>
      <w:pPr>
        <w:pStyle w:val="2"/>
        <w:keepNext w:val="0"/>
        <w:keepLines w:val="0"/>
        <w:widowControl w:val="0"/>
        <w:tabs>
          <w:tab w:val="left" w:pos="284"/>
          <w:tab w:val="left" w:pos="1326"/>
        </w:tabs>
        <w:autoSpaceDE w:val="0"/>
        <w:autoSpaceDN w:val="0"/>
        <w:spacing w:before="0" w:line="360" w:lineRule="auto"/>
        <w:ind w:left="792" w:hanging="508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A GESTÃO INTEGRADA DA INFRAESTRUTURA deverá ter como base os princípios da Gestão Integrada por Resultados, prestando o melhor serviço a fim de proporcionar uma melhoria contínua no ambiente físico e equipamentos da UFF.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O modelo de gestão a ser implementado na UFF deve ser sistêmico no que tange à integração de todas as áreas necessárias ao seu pleno funcionamento, sendo responsável tanto pela infraestrutura e equipamentos quanto pelo seu funcionamento operacional.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O modelo de gestão proposto pela empresa Contratada deverá, para fins de organização, dividir-se em 3 (três) grandes segmentos, conforme informado no item 3, porém todos os segmentos serão integrados e dependentes entre si para o pleno monitoramento e funcionamento de toda a UNIVERSIDADE FEDERAL FLUMINENSE em tempo integral 24h por dia.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Será de responsabilidade da Contratada coordenar e executar em tempo integral os serviços descritos para cada posto de trabalho e as rotinas de manutenção predial, conforme Encarte B deste Termo.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Cada segmento de serviço terá sua rotina própria e definida de acordo com os requisitos e Acordos de Níveis de Serviço mínimos definidos neste Termo.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O Instrumento de Medição de Resultados (IMR) corresponde a cada uma das categorias abaixo, conforme o tipo e a dificuldade para a execução dos serviços de manutenção.</w:t>
      </w:r>
    </w:p>
    <w:p>
      <w:pPr>
        <w:pStyle w:val="17"/>
        <w:tabs>
          <w:tab w:val="left" w:pos="2552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Grau de Manutenção:</w:t>
      </w:r>
    </w:p>
    <w:tbl>
      <w:tblPr>
        <w:tblStyle w:val="4"/>
        <w:tblW w:w="4871" w:type="pct"/>
        <w:tblInd w:w="255" w:type="dxa"/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48"/>
        <w:gridCol w:w="7857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1º GRAU</w:t>
            </w:r>
          </w:p>
        </w:tc>
        <w:tc>
          <w:tcPr>
            <w:tcW w:w="4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Manutenção preventiva, aplicada aos sistemas, no todo ou em parte, caracterizada por sua simplicidade.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2º GRAU</w:t>
            </w:r>
          </w:p>
        </w:tc>
        <w:tc>
          <w:tcPr>
            <w:tcW w:w="4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Manutenção preventiva, aplicada aos sistemas, no todo ou em parte, caracterizada por sua maior complexidade tecnológica, envolvendo apenas os recursos disponíveis ou anteriormente previstos para sua execução..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3º GRAU</w:t>
            </w:r>
          </w:p>
        </w:tc>
        <w:tc>
          <w:tcPr>
            <w:tcW w:w="4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Manutenção corretiva aplicada aos sistemas, no todo ou em parte, de relativa simplicidade envolvendo apenas os recursos disponíveis ou anteriormente previstos para sua execução.</w:t>
            </w:r>
          </w:p>
        </w:tc>
      </w:tr>
    </w:tbl>
    <w:p>
      <w:pPr>
        <w:pStyle w:val="17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17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17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17"/>
        <w:tabs>
          <w:tab w:val="left" w:pos="255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Níveis de Situação Anormal: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É a graduação de consequências que as falhas e defeitos poderão acarretar nos equipamentos ou nos sistemas.</w:t>
      </w:r>
    </w:p>
    <w:p>
      <w:pPr>
        <w:pStyle w:val="17"/>
        <w:tabs>
          <w:tab w:val="left" w:pos="2552"/>
        </w:tabs>
        <w:spacing w:line="360" w:lineRule="auto"/>
        <w:ind w:left="1440"/>
        <w:jc w:val="both"/>
        <w:rPr>
          <w:rStyle w:val="12"/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4871" w:type="pct"/>
        <w:tblInd w:w="255" w:type="dxa"/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910"/>
        <w:gridCol w:w="6695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 - Emergência</w:t>
            </w:r>
          </w:p>
        </w:tc>
        <w:tc>
          <w:tcPr>
            <w:tcW w:w="3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Ocorrência de defeito ou falha num equipamento, componente ou sistema que resulte na paralisação parcial ou total de atividades operacionais da UFF.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II - Alerta</w:t>
            </w:r>
          </w:p>
        </w:tc>
        <w:tc>
          <w:tcPr>
            <w:tcW w:w="3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Ocorrência de defeito ou falha em equipamento, componente ou sistema que poderá acarretar uma situação de Nível I.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1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III - Falha</w:t>
            </w:r>
          </w:p>
        </w:tc>
        <w:tc>
          <w:tcPr>
            <w:tcW w:w="3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Ocorrência de falha em equipamento, componente ou sistema, mas sem atingir as consequências do Nível II.</w:t>
            </w:r>
          </w:p>
        </w:tc>
      </w:tr>
    </w:tbl>
    <w:p>
      <w:pPr>
        <w:pStyle w:val="17"/>
        <w:tabs>
          <w:tab w:val="left" w:pos="2552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Tempo de Atendimento: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É o tempo ou período determinado para mobilização pela Contratada dos recursos necessários visando sanar um defeito ou falha. A medição do tempo de atendimento será a diferença entre o horário da abertura do chamado na CMA/SOMA e o horário de chegada de profissional de manutenção ao local da ocorrência.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De acordo com os níveis de Situação Anormal o tempo de atendimento das equipes de manutenção corretiva deverá ser de:</w:t>
      </w:r>
    </w:p>
    <w:tbl>
      <w:tblPr>
        <w:tblStyle w:val="4"/>
        <w:tblW w:w="4872" w:type="pct"/>
        <w:jc w:val="center"/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549"/>
        <w:gridCol w:w="6058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</w:t>
            </w:r>
          </w:p>
        </w:tc>
        <w:tc>
          <w:tcPr>
            <w:tcW w:w="3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Até 90 minutos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II</w:t>
            </w:r>
          </w:p>
        </w:tc>
        <w:tc>
          <w:tcPr>
            <w:tcW w:w="3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Até 120 minutos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ind w:right="34"/>
              <w:jc w:val="center"/>
              <w:rPr>
                <w:rStyle w:val="12"/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Nível III</w:t>
            </w:r>
          </w:p>
        </w:tc>
        <w:tc>
          <w:tcPr>
            <w:tcW w:w="3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tabs>
                <w:tab w:val="left" w:pos="2552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12"/>
                <w:rFonts w:cs="Times New Roman"/>
                <w:sz w:val="20"/>
                <w:szCs w:val="20"/>
              </w:rPr>
              <w:t>Até 180 minutos</w:t>
            </w:r>
          </w:p>
        </w:tc>
      </w:tr>
    </w:tbl>
    <w:p>
      <w:pPr>
        <w:pStyle w:val="17"/>
        <w:tabs>
          <w:tab w:val="left" w:pos="850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O relatório técnico mensal de atividades deverá ser entregue até o quinto dia útil do mês subsequente, comprovado através de protocolo assinado pela Contratante. Caso o prazo não seja cumprido, a glosa a ser aplicada será de 5% sobre a fatura mensal.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O relatório técnico mensal de todos os serviços executados deverá estar devidamente assinado pelos profissionais envolvidos, contendo: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Nome e função dos profissionais alocados para execução dos serviços no mês de referência do relatório;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Descrição dos serviços preventivos e corretivos executados no mês, bem como falhas de testes, incluindo a data, o horário e o local dos mesmos;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Relação de peças, componentes e materiais substituídos por defeito/desgaste ou utilizadas em ampliações/modificações;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Relação de serviços em andamento com estimativa de prazo de conclusão, e a executar com estimativa de prazo de início;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Leitura dos instrumentos de medida antes e depois dos serviços;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Análise dos testes;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Resumo das anormalidades e dos fatos ocorridos no período, incluindo a falta de energia e picos de consumo de energia;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Relação de pendências, razões de sua existência e quais destas dependem de solução do Contratante;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Acidentes de trabalho porventura ocorridos e suas causas;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Estudos e levantamentos realizados;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Informações sobre a situação dos sistemas e equipamentos, indicando deficiências;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Sugestões de modificações nas instalações, objetivando otimizar os sistemas e economizar energia;</w:t>
      </w:r>
    </w:p>
    <w:p>
      <w:pPr>
        <w:pStyle w:val="22"/>
        <w:numPr>
          <w:ilvl w:val="2"/>
          <w:numId w:val="1"/>
        </w:numPr>
        <w:tabs>
          <w:tab w:val="left" w:pos="1560"/>
        </w:tabs>
        <w:spacing w:after="0" w:line="360" w:lineRule="auto"/>
        <w:ind w:left="1560" w:hanging="709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Dados relevantes registrados no Livro de Ocorrências;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Todas as rotinas e Instrumento de Medição de Resultados (IMR) possuem elementos e princípios oriundos do conceito de Gestão Integrada, tais como: celeridade, atenção e integralidade do atendimento ao cliente paciente, usuário e colaborador, buscando humanização do atendimento e otimização da força de trabalho com padronização dos serviços.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Todas as recomendações de conformidade e readequação das rotinas executadas pela Contratada serão informadas por está à Contratante, que deverá colaborar no que couber com relação ao cumprimento destas, sobretudo quando se tratar de funcionários ou servidores que não pertençam ao quadro de pessoal da Contratada.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A Contratada deverá utilizar canais de comunicação e, a critério a ser definido junto à Contratante, promover treinamentos e palestras através de equipes interdisciplinares que atuarão junto aos servidores e empregados públicos da UFF, a fim de conscientizar a todos dos novos parâmetros e políticas de gestão integrada de manutenção.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Deverão ser considerados como serviços a serem executadas todas as rotinas, informações e recomendações contidas nos Boletins Técnicos, Catálogos, Manuais de Operação e de Manutenção dos fabricantes dos equipamentos em questão.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Nos finais de semana, feriados e após o expediente normal de serviços, os plantonistas deverão estar equipados com rádios de comunicação, podendo assim ser acionados em qualquer emergência.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>A Contratada deverá fornecer o livro de registros de manutenção e submeter o modelo que pretende utilizar para análise da Fiscalização do Contrato até 10 (dez) dias úteis após a assinatura do Contrato.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O Livro de Registro deve ter suas páginas numeradas na forma de um Livro Ata.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Deverão ser registradas no Livro as seguintes informações: data e período da solicitação, solicitante, equipamento/instalação envolvida, tipo de ação realizada e descrição e quantitativo das peças e materiais substituídos/utilizados.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Todos os relatos no livro deverão exibir a identificação e a assinatura do responsável pelas informações apresentadas.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 xml:space="preserve">Caso não haja ocorrência no dia, deverá ser anotada a data e a expressão “sem ocorrências”. 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O Livro deverá ser assinado mensalmente pelos engenheiros responsáveis técnicos pelo Contrato, anotada a expressão “fechamento do mês”.</w:t>
      </w:r>
    </w:p>
    <w:p>
      <w:pPr>
        <w:pStyle w:val="2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O volume em aberto bem como o volume encerrado deverão permanecer sempre na CMA/SOMA para consulta ou arquivamento.</w:t>
      </w:r>
    </w:p>
    <w:p>
      <w:pPr>
        <w:pStyle w:val="22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>Se previamente aprovado pela Fiscalização, a Contratada poderá adotar meio eletrônico alternativo para registro, desde que esse seja tecnicamente compatível.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426"/>
          <w:tab w:val="left" w:pos="1326"/>
        </w:tabs>
        <w:autoSpaceDE w:val="0"/>
        <w:autoSpaceDN w:val="0"/>
        <w:spacing w:before="0" w:line="360" w:lineRule="auto"/>
        <w:jc w:val="both"/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</w:pPr>
      <w:r>
        <w:rPr>
          <w:rFonts w:ascii="Times New Roman" w:hAnsi="Times New Roman" w:eastAsia="Arial" w:cs="Times New Roman"/>
          <w:b w:val="0"/>
          <w:color w:val="auto"/>
          <w:sz w:val="20"/>
          <w:szCs w:val="20"/>
          <w:lang w:val="pt-PT" w:eastAsia="en-US"/>
        </w:rPr>
        <w:t xml:space="preserve">A remuneração dos serviços prestados na Gestão Integrada da Infraestrutura deverá ser constituída por remuneração fixa sendo, no entanto, permitido à Contratante descontar em até 15% (quinze por cento) do valor mensal do contrato. O percentual do desconto será mensurado de acordo com os critérios abaixo descritos: </w:t>
      </w:r>
    </w:p>
    <w:p>
      <w:pPr>
        <w:pStyle w:val="22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szCs w:val="20"/>
          <w:lang w:val="pt-PT" w:eastAsia="en-US"/>
        </w:rPr>
        <w:t xml:space="preserve">Tempo de atendimento de Ordens de Serviço Corretivas: </w:t>
      </w:r>
    </w:p>
    <w:p>
      <w:pPr>
        <w:spacing w:after="0" w:line="360" w:lineRule="auto"/>
        <w:rPr>
          <w:rFonts w:ascii="Times New Roman" w:hAnsi="Times New Roman" w:cs="Times New Roman"/>
          <w:sz w:val="20"/>
          <w:szCs w:val="20"/>
          <w:lang w:val="pt-PT" w:eastAsia="en-US"/>
        </w:rPr>
      </w:pP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b/>
          <w:sz w:val="20"/>
          <w:szCs w:val="20"/>
        </w:rPr>
        <w:t>AOSC (%) = QTosa / QTos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Sendo que: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 AOSC (%) &lt; 95%, o VTD (%) = 5%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 AOSC (%) &gt; 95%, o VTD (%) = 0%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Onde, 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AOSC (%) = Percentual Inicial de Ordens de Serviço Corretivas atendidas; 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QTos = Quantidade de Ordens de Serviço Corretivas solicitadas; 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QTosa = Quantidade de Ordens de Serviço Corretivas atendidas; 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VTD = Percentual do desconto a ser aplicado sobre a fatura mensal. </w:t>
      </w:r>
    </w:p>
    <w:p>
      <w:pPr>
        <w:pStyle w:val="17"/>
        <w:tabs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b/>
          <w:bCs/>
          <w:sz w:val="20"/>
          <w:szCs w:val="20"/>
        </w:rPr>
      </w:pPr>
      <w:r>
        <w:rPr>
          <w:rStyle w:val="12"/>
          <w:rFonts w:cs="Times New Roman"/>
          <w:b/>
          <w:bCs/>
          <w:sz w:val="20"/>
          <w:szCs w:val="20"/>
        </w:rPr>
        <w:t>Obs.: consideram-se OS’s atendidas todas aquelas que forem finalizadas dentro dos prazos estipulados.</w:t>
      </w:r>
    </w:p>
    <w:p>
      <w:pPr>
        <w:pStyle w:val="17"/>
        <w:tabs>
          <w:tab w:val="left" w:pos="8505"/>
        </w:tabs>
        <w:spacing w:line="360" w:lineRule="auto"/>
        <w:ind w:left="720"/>
        <w:jc w:val="both"/>
        <w:rPr>
          <w:rStyle w:val="12"/>
          <w:rFonts w:asciiTheme="minorHAnsi" w:hAnsiTheme="minorHAnsi" w:cstheme="minorHAnsi"/>
          <w:sz w:val="20"/>
          <w:szCs w:val="20"/>
        </w:rPr>
      </w:pPr>
    </w:p>
    <w:p>
      <w:pPr>
        <w:pStyle w:val="22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20"/>
          <w:lang w:val="pt-PT" w:eastAsia="en-US"/>
        </w:rPr>
      </w:pPr>
      <w:r>
        <w:rPr>
          <w:rFonts w:ascii="Times New Roman" w:hAnsi="Times New Roman" w:cs="Times New Roman"/>
          <w:sz w:val="20"/>
          <w:lang w:val="pt-PT" w:eastAsia="en-US"/>
        </w:rPr>
        <w:t xml:space="preserve">Manutenção preventiva: </w:t>
      </w:r>
    </w:p>
    <w:p>
      <w:pPr>
        <w:pStyle w:val="17"/>
        <w:tabs>
          <w:tab w:val="left" w:pos="8505"/>
        </w:tabs>
        <w:spacing w:line="360" w:lineRule="auto"/>
        <w:jc w:val="both"/>
        <w:rPr>
          <w:rFonts w:cs="Times New Roman"/>
          <w:sz w:val="20"/>
          <w:szCs w:val="20"/>
          <w:highlight w:val="yellow"/>
        </w:rPr>
      </w:pP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b/>
          <w:sz w:val="20"/>
          <w:szCs w:val="20"/>
        </w:rPr>
        <w:t>MPE (%) = QTmpe / QTmpp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Sendo que: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 MPE (%) &lt; 95%, o VTD (%) = 5%</w:t>
      </w:r>
    </w:p>
    <w:p>
      <w:pPr>
        <w:pStyle w:val="17"/>
        <w:tabs>
          <w:tab w:val="left" w:pos="8505"/>
        </w:tabs>
        <w:spacing w:line="360" w:lineRule="auto"/>
        <w:jc w:val="center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>se MPE (%) &gt; 95%, o VTD (%) = 0%</w:t>
      </w:r>
    </w:p>
    <w:p>
      <w:pPr>
        <w:pStyle w:val="17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Onde, </w:t>
      </w:r>
    </w:p>
    <w:p>
      <w:pPr>
        <w:pStyle w:val="17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MPE (%) = Percentual Inicial de Ordens de Serviço Preventivas executadas; </w:t>
      </w:r>
    </w:p>
    <w:p>
      <w:pPr>
        <w:pStyle w:val="17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QTmpe = Quantidade de Ordens de Serviço Preventivas executadas; </w:t>
      </w:r>
    </w:p>
    <w:p>
      <w:pPr>
        <w:pStyle w:val="17"/>
        <w:tabs>
          <w:tab w:val="left" w:pos="426"/>
          <w:tab w:val="left" w:pos="8505"/>
        </w:tabs>
        <w:spacing w:line="360" w:lineRule="auto"/>
        <w:ind w:left="426"/>
        <w:jc w:val="both"/>
        <w:rPr>
          <w:rStyle w:val="12"/>
          <w:rFonts w:cs="Times New Roman"/>
          <w:sz w:val="20"/>
          <w:szCs w:val="20"/>
        </w:rPr>
      </w:pPr>
      <w:r>
        <w:rPr>
          <w:rStyle w:val="12"/>
          <w:rFonts w:cs="Times New Roman"/>
          <w:sz w:val="20"/>
          <w:szCs w:val="20"/>
        </w:rPr>
        <w:t xml:space="preserve">QTmpp = Quantidade de Ordens de Serviço Preventivas programadas; </w:t>
      </w:r>
    </w:p>
    <w:p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Style w:val="12"/>
          <w:rFonts w:ascii="Times New Roman" w:hAnsi="Times New Roman" w:cs="Times New Roman"/>
          <w:sz w:val="20"/>
          <w:szCs w:val="20"/>
        </w:rPr>
        <w:t>VTD = Percentual do desconto a ser aplicado sobre a fatura mensal.</w:t>
      </w:r>
    </w:p>
    <w:p>
      <w:pPr>
        <w:spacing w:line="360" w:lineRule="auto"/>
        <w:rPr>
          <w:rFonts w:cstheme="minorHAnsi"/>
          <w:sz w:val="20"/>
          <w:szCs w:val="20"/>
        </w:rPr>
      </w:pPr>
    </w:p>
    <w:p>
      <w:pPr>
        <w:spacing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Niterói, 24 de maIo de 2021.</w:t>
      </w:r>
    </w:p>
    <w:p>
      <w:pPr>
        <w:spacing w:line="360" w:lineRule="auto"/>
        <w:rPr>
          <w:rFonts w:cstheme="minorHAnsi"/>
          <w:sz w:val="20"/>
          <w:szCs w:val="20"/>
        </w:rPr>
      </w:pPr>
    </w:p>
    <w:p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</w:p>
    <w:p>
      <w:pPr>
        <w:pStyle w:val="5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</w:p>
    <w:p>
      <w:pPr>
        <w:pStyle w:val="6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[Assinatura]</w:t>
      </w:r>
    </w:p>
    <w:p>
      <w:pPr>
        <w:spacing w:line="360" w:lineRule="auto"/>
        <w:rPr>
          <w:rFonts w:cstheme="minorHAnsi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08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iberation Sans Narrow">
    <w:panose1 w:val="020B0606020202030204"/>
    <w:charset w:val="00"/>
    <w:family w:val="swiss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i/>
        <w:iCs/>
        <w:sz w:val="18"/>
        <w:szCs w:val="18"/>
      </w:rPr>
    </w:pPr>
    <w:r>
      <w:rPr>
        <w:i/>
        <w:iCs/>
        <w:sz w:val="18"/>
        <w:szCs w:val="18"/>
      </w:rPr>
      <w:t>Anexo IV - IMR Processo 23069.164162/2021-19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 xml:space="preserve">Página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 \* Arabic  \* MERGEFORMAT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de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NUMPAGES  \* Arabic  \* MERGEFORMAT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  <w:p>
    <w:pPr>
      <w:pStyle w:val="9"/>
    </w:pPr>
  </w:p>
  <w:p>
    <w:pPr>
      <w:pStyle w:val="9"/>
    </w:pP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" w:hAnsi="Calibri" w:eastAsia="Calibri" w:cs="Calibri"/>
        <w:b/>
        <w:color w:val="FF0000"/>
      </w:rPr>
    </w:pPr>
    <w:r>
      <w:rPr>
        <w:rFonts w:ascii="Calibri" w:hAnsi="Calibri" w:eastAsia="Calibri" w:cs="Calibri"/>
        <w:b/>
        <w:color w:val="FF0000"/>
      </w:rPr>
      <w:drawing>
        <wp:inline distT="0" distB="0" distL="0" distR="0">
          <wp:extent cx="5829300" cy="74803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148" cy="753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Calibri" w:hAnsi="Calibri" w:eastAsia="Calibri" w:cs="Calibri"/>
        <w:b/>
      </w:rPr>
    </w:pPr>
    <w:r>
      <w:rPr>
        <w:rFonts w:ascii="Calibri" w:hAnsi="Calibri" w:eastAsia="Calibri" w:cs="Calibri"/>
        <w:b/>
      </w:rPr>
      <w:t>Ministério da Educação</w:t>
    </w:r>
  </w:p>
  <w:p>
    <w:pPr>
      <w:spacing w:after="0" w:line="240" w:lineRule="auto"/>
      <w:jc w:val="center"/>
      <w:rPr>
        <w:rFonts w:ascii="Calibri" w:hAnsi="Calibri" w:eastAsia="Calibri" w:cs="Calibri"/>
        <w:b/>
      </w:rPr>
    </w:pPr>
    <w:r>
      <w:rPr>
        <w:rFonts w:ascii="Calibri" w:hAnsi="Calibri" w:eastAsia="Calibri" w:cs="Calibri"/>
        <w:b/>
      </w:rPr>
      <w:t>Universidade Federal Fluminense</w:t>
    </w:r>
  </w:p>
  <w:p>
    <w:pPr>
      <w:tabs>
        <w:tab w:val="center" w:pos="4252"/>
        <w:tab w:val="right" w:pos="8504"/>
      </w:tabs>
      <w:spacing w:after="0" w:line="240" w:lineRule="auto"/>
      <w:jc w:val="center"/>
      <w:rPr>
        <w:rFonts w:ascii="Calibri" w:hAnsi="Calibri" w:eastAsia="Calibri" w:cs="Calibri"/>
        <w:b/>
      </w:rPr>
    </w:pPr>
    <w:r>
      <w:rPr>
        <w:rFonts w:ascii="Calibri" w:hAnsi="Calibri" w:eastAsia="Calibri" w:cs="Calibri"/>
        <w:b/>
      </w:rPr>
      <w:t>Superintendência de Operações e Manutenção - SOMA</w:t>
    </w:r>
  </w:p>
  <w:p>
    <w:pPr>
      <w:tabs>
        <w:tab w:val="center" w:pos="4252"/>
        <w:tab w:val="right" w:pos="8504"/>
      </w:tabs>
      <w:spacing w:after="0" w:line="240" w:lineRule="auto"/>
      <w:jc w:val="center"/>
      <w:rPr>
        <w:rFonts w:ascii="Calibri" w:hAnsi="Calibri" w:eastAsia="Calibri" w:cs="Calibri"/>
        <w:b/>
      </w:rPr>
    </w:pPr>
    <w:r>
      <w:rPr>
        <w:rFonts w:ascii="Calibri" w:hAnsi="Calibri" w:eastAsia="Calibri" w:cs="Calibri"/>
        <w:b/>
      </w:rPr>
      <w:t>Coordenação de Manutenção - CMA</w:t>
    </w:r>
  </w:p>
  <w:p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B46E9"/>
    <w:multiLevelType w:val="multilevel"/>
    <w:tmpl w:val="093B46E9"/>
    <w:lvl w:ilvl="0" w:tentative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AA"/>
    <w:rsid w:val="00176A0A"/>
    <w:rsid w:val="001A0B6B"/>
    <w:rsid w:val="001A4A45"/>
    <w:rsid w:val="001D4A30"/>
    <w:rsid w:val="0038686A"/>
    <w:rsid w:val="003A6029"/>
    <w:rsid w:val="004857E9"/>
    <w:rsid w:val="004D1EE0"/>
    <w:rsid w:val="00606734"/>
    <w:rsid w:val="00613FAA"/>
    <w:rsid w:val="00666AB9"/>
    <w:rsid w:val="00734303"/>
    <w:rsid w:val="00766D7C"/>
    <w:rsid w:val="008109BD"/>
    <w:rsid w:val="0087442B"/>
    <w:rsid w:val="00985D18"/>
    <w:rsid w:val="00A255A0"/>
    <w:rsid w:val="00AF0FB2"/>
    <w:rsid w:val="00B43598"/>
    <w:rsid w:val="00B84FD6"/>
    <w:rsid w:val="00C971E1"/>
    <w:rsid w:val="00DD58DA"/>
    <w:rsid w:val="00EB7ED1"/>
    <w:rsid w:val="407C2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header"/>
    <w:basedOn w:val="1"/>
    <w:link w:val="14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Fonte parág. padrão6"/>
    <w:qFormat/>
    <w:uiPriority w:val="0"/>
  </w:style>
  <w:style w:type="character" w:customStyle="1" w:styleId="13">
    <w:name w:val="Texto de balão Char"/>
    <w:basedOn w:val="3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Cabeçalho Char"/>
    <w:basedOn w:val="3"/>
    <w:link w:val="8"/>
    <w:qFormat/>
    <w:uiPriority w:val="99"/>
  </w:style>
  <w:style w:type="character" w:customStyle="1" w:styleId="15">
    <w:name w:val="Rodapé Char"/>
    <w:basedOn w:val="3"/>
    <w:link w:val="9"/>
    <w:qFormat/>
    <w:uiPriority w:val="99"/>
  </w:style>
  <w:style w:type="paragraph" w:customStyle="1" w:styleId="16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7">
    <w:name w:val="Parágrafo da Lista1"/>
    <w:basedOn w:val="1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Lucida Sans Unicode" w:cs="Mangal"/>
      <w:kern w:val="2"/>
      <w:sz w:val="24"/>
      <w:szCs w:val="24"/>
      <w:lang w:eastAsia="zh-CN" w:bidi="hi-IN"/>
    </w:rPr>
  </w:style>
  <w:style w:type="paragraph" w:customStyle="1" w:styleId="18">
    <w:name w:val="Cabeçalho e Rodapé"/>
    <w:basedOn w:val="1"/>
    <w:qFormat/>
    <w:uiPriority w:val="0"/>
  </w:style>
  <w:style w:type="paragraph" w:customStyle="1" w:styleId="19">
    <w:name w:val="Nivel1"/>
    <w:basedOn w:val="2"/>
    <w:link w:val="20"/>
    <w:qFormat/>
    <w:uiPriority w:val="0"/>
    <w:pPr>
      <w:suppressAutoHyphens/>
    </w:pPr>
    <w:rPr>
      <w:rFonts w:ascii="Arial" w:hAnsi="Arial" w:eastAsia="MS Gothic" w:cs="Times New Roman"/>
      <w:bCs w:val="0"/>
      <w:color w:val="000000"/>
      <w:szCs w:val="20"/>
      <w:lang w:bidi="pt-BR"/>
    </w:rPr>
  </w:style>
  <w:style w:type="character" w:customStyle="1" w:styleId="20">
    <w:name w:val="Nivel1 Char"/>
    <w:basedOn w:val="21"/>
    <w:link w:val="19"/>
    <w:qFormat/>
    <w:uiPriority w:val="0"/>
    <w:rPr>
      <w:rFonts w:ascii="Arial" w:hAnsi="Arial" w:eastAsia="MS Gothic" w:cs="Times New Roman"/>
      <w:bCs w:val="0"/>
      <w:color w:val="000000"/>
      <w:sz w:val="28"/>
      <w:szCs w:val="20"/>
      <w:lang w:bidi="pt-BR"/>
    </w:rPr>
  </w:style>
  <w:style w:type="character" w:customStyle="1" w:styleId="21">
    <w:name w:val="Título 1 Char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1319</Words>
  <Characters>7127</Characters>
  <Lines>59</Lines>
  <Paragraphs>16</Paragraphs>
  <TotalTime>4</TotalTime>
  <ScaleCrop>false</ScaleCrop>
  <LinksUpToDate>false</LinksUpToDate>
  <CharactersWithSpaces>8430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2021-09-27T02:06:00Z</dcterms:created>
  <dc:creator>Lenovo</dc:creator>
  <cp:lastModifiedBy>Juliana Borsoi</cp:lastModifiedBy>
  <cp:lastPrinted>2021-09-27T03:23:00Z</cp:lastPrinted>
  <dcterms:modified xsi:type="dcterms:W3CDTF">2021-11-05T14:40:14Z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1046-11.2.0.10351</vt:lpwstr>
  </property>
  <property fmtid="{D5CDD505-2E9C-101B-9397-08002B2CF9AE}" pid="9" name="ICV">
    <vt:lpwstr>F63CDD8BC9664BF990B38FA726A8F311</vt:lpwstr>
  </property>
</Properties>
</file>