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spacing w:before="240" w:after="120" w:line="276" w:lineRule="auto"/>
        <w:ind w:right="-15"/>
        <w:jc w:val="center"/>
        <w:rPr>
          <w:rFonts w:ascii="Verdana" w:hAnsi="Verdana" w:cs="Arial"/>
          <w:b/>
          <w:bCs/>
          <w:color w:val="000000"/>
          <w:sz w:val="18"/>
          <w:szCs w:val="18"/>
        </w:rPr>
      </w:pPr>
      <w:r>
        <w:rPr>
          <w:rFonts w:ascii="Verdana" w:hAnsi="Verdana" w:cs="Arial"/>
          <w:b/>
          <w:bCs/>
          <w:color w:val="000000"/>
          <w:sz w:val="18"/>
          <w:szCs w:val="1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12700</wp:posOffset>
            </wp:positionV>
            <wp:extent cx="638175" cy="687070"/>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2" cstate="print"/>
                    <a:srcRect/>
                    <a:stretch>
                      <a:fillRect/>
                    </a:stretch>
                  </pic:blipFill>
                  <pic:spPr>
                    <a:xfrm>
                      <a:off x="0" y="0"/>
                      <a:ext cx="637988" cy="687294"/>
                    </a:xfrm>
                    <a:prstGeom prst="rect">
                      <a:avLst/>
                    </a:prstGeom>
                    <a:solidFill>
                      <a:srgbClr val="FFFFFF"/>
                    </a:solidFill>
                    <a:ln w="1">
                      <a:miter lim="800000"/>
                      <a:headEnd/>
                      <a:tailEnd/>
                    </a:ln>
                  </pic:spPr>
                </pic:pic>
              </a:graphicData>
            </a:graphic>
          </wp:anchor>
        </w:drawing>
      </w: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rPr>
      </w:pPr>
      <w:r>
        <w:rPr>
          <w:rFonts w:ascii="Verdana" w:hAnsi="Verdana" w:cs="Arial"/>
          <w:b/>
          <w:bCs/>
          <w:color w:val="auto"/>
        </w:rPr>
        <w:t>MINISTÉRIO DA EDUCAÇÃO</w:t>
      </w:r>
    </w:p>
    <w:p>
      <w:pPr>
        <w:keepNext w:val="0"/>
        <w:spacing w:after="120"/>
        <w:ind w:right="-17"/>
        <w:jc w:val="center"/>
        <w:rPr>
          <w:rFonts w:ascii="Verdana" w:hAnsi="Verdana" w:cs="Arial"/>
          <w:b/>
          <w:bCs/>
          <w:color w:val="auto"/>
        </w:rPr>
      </w:pPr>
      <w:r>
        <w:rPr>
          <w:rFonts w:ascii="Verdana" w:hAnsi="Verdana" w:cs="Arial"/>
          <w:b/>
          <w:bCs/>
          <w:color w:val="auto"/>
        </w:rPr>
        <w:t>UNIVERSIDADE FEDERAL FLUMINENSE</w:t>
      </w:r>
    </w:p>
    <w:p>
      <w:pPr>
        <w:keepNext w:val="0"/>
        <w:spacing w:after="120"/>
        <w:ind w:right="-17"/>
        <w:jc w:val="center"/>
        <w:rPr>
          <w:rFonts w:ascii="Verdana" w:hAnsi="Verdana" w:cs="Arial"/>
          <w:b/>
          <w:bCs/>
          <w:color w:val="auto"/>
        </w:rPr>
      </w:pPr>
      <w:r>
        <w:rPr>
          <w:rFonts w:ascii="Verdana" w:hAnsi="Verdana" w:cs="Arial"/>
          <w:b/>
          <w:bCs/>
          <w:color w:val="auto"/>
        </w:rPr>
        <w:t>PRÓ-REITORIA DE ADMINISTRAÇÃO</w:t>
      </w:r>
    </w:p>
    <w:p>
      <w:pPr>
        <w:keepNext w:val="0"/>
        <w:spacing w:after="120"/>
        <w:ind w:right="-17"/>
        <w:jc w:val="center"/>
        <w:rPr>
          <w:rFonts w:ascii="Verdana" w:hAnsi="Verdana" w:cs="Arial"/>
          <w:color w:val="auto"/>
        </w:rPr>
      </w:pPr>
      <w:r>
        <w:rPr>
          <w:rFonts w:ascii="Verdana" w:hAnsi="Verdana" w:cs="Arial"/>
          <w:b/>
          <w:bCs/>
          <w:color w:val="auto"/>
        </w:rPr>
        <w:t>COORDENAÇÃO DE LICITAÇÃO</w:t>
      </w:r>
    </w:p>
    <w:p>
      <w:pPr>
        <w:keepNext w:val="0"/>
        <w:spacing w:before="240" w:after="120" w:line="276" w:lineRule="auto"/>
        <w:ind w:right="-15"/>
        <w:jc w:val="center"/>
        <w:rPr>
          <w:rFonts w:ascii="Verdana" w:hAnsi="Verdana" w:cs="Arial"/>
          <w:sz w:val="18"/>
          <w:szCs w:val="18"/>
        </w:rPr>
      </w:pPr>
      <w:r>
        <w:rPr>
          <w:rFonts w:ascii="Verdana" w:hAnsi="Verdana" w:cs="Arial"/>
          <w:b/>
          <w:bCs/>
          <w:color w:val="000000"/>
          <w:sz w:val="18"/>
          <w:szCs w:val="18"/>
        </w:rPr>
        <w:t>REGIME DIFERENCIADO DE CONTRATAÇÃO - RDC</w:t>
      </w:r>
    </w:p>
    <w:p>
      <w:pPr>
        <w:keepNext w:val="0"/>
        <w:spacing w:after="120"/>
        <w:ind w:right="-17"/>
        <w:jc w:val="center"/>
        <w:rPr>
          <w:rFonts w:ascii="Verdana" w:hAnsi="Verdana" w:cs="Arial"/>
          <w:b/>
          <w:bCs/>
          <w:color w:val="000000"/>
          <w:sz w:val="18"/>
          <w:szCs w:val="18"/>
        </w:rPr>
      </w:pPr>
    </w:p>
    <w:p>
      <w:pPr>
        <w:keepNext w:val="0"/>
        <w:spacing w:after="120"/>
        <w:ind w:right="-17"/>
        <w:jc w:val="center"/>
        <w:rPr>
          <w:rFonts w:ascii="Verdana" w:hAnsi="Verdana" w:cs="Arial"/>
          <w:color w:val="auto"/>
          <w:sz w:val="18"/>
          <w:szCs w:val="18"/>
        </w:rPr>
      </w:pPr>
      <w:r>
        <w:rPr>
          <w:rFonts w:hint="default" w:ascii="Verdana" w:hAnsi="Verdana" w:cs="Arial"/>
          <w:b/>
          <w:bCs/>
          <w:color w:val="auto"/>
          <w:sz w:val="18"/>
          <w:szCs w:val="18"/>
          <w:lang w:val="pt-BR"/>
        </w:rPr>
        <w:t xml:space="preserve"> </w:t>
      </w:r>
      <w:r>
        <w:rPr>
          <w:rFonts w:ascii="Verdana" w:hAnsi="Verdana" w:cs="Arial"/>
          <w:b/>
          <w:bCs/>
          <w:color w:val="auto"/>
          <w:sz w:val="18"/>
          <w:szCs w:val="18"/>
        </w:rPr>
        <w:t>EDITAL DO RDC ELETRÔNICO Nº 02/2022</w:t>
      </w:r>
    </w:p>
    <w:p>
      <w:pPr>
        <w:keepNext w:val="0"/>
        <w:spacing w:after="120"/>
        <w:ind w:right="-17"/>
        <w:jc w:val="center"/>
        <w:rPr>
          <w:rFonts w:ascii="Verdana" w:hAnsi="Verdana" w:cs="Arial"/>
          <w:sz w:val="18"/>
          <w:szCs w:val="18"/>
        </w:rPr>
      </w:pPr>
      <w:r>
        <w:rPr>
          <w:rFonts w:ascii="Verdana" w:hAnsi="Verdana" w:cs="Arial"/>
          <w:b/>
          <w:bCs/>
          <w:color w:val="000000"/>
          <w:sz w:val="18"/>
          <w:szCs w:val="18"/>
        </w:rPr>
        <w:t>(Processo Administrativo n.° 23069.169275/2021-19)</w:t>
      </w:r>
    </w:p>
    <w:p>
      <w:pPr>
        <w:keepNext w:val="0"/>
        <w:spacing w:after="120" w:line="276" w:lineRule="auto"/>
        <w:ind w:right="-30"/>
        <w:jc w:val="both"/>
        <w:rPr>
          <w:rFonts w:ascii="Verdana" w:hAnsi="Verdana" w:cs="Arial"/>
          <w:sz w:val="18"/>
          <w:szCs w:val="18"/>
        </w:rPr>
      </w:pPr>
    </w:p>
    <w:p>
      <w:pPr>
        <w:pStyle w:val="80"/>
        <w:keepNext w:val="0"/>
        <w:shd w:val="clear" w:color="auto" w:fill="auto"/>
        <w:rPr>
          <w:rFonts w:ascii="Verdana" w:hAnsi="Verdana" w:cs="Arial"/>
          <w:color w:val="000000"/>
          <w:szCs w:val="20"/>
        </w:rPr>
      </w:pPr>
      <w:r>
        <w:rPr>
          <w:rFonts w:ascii="Verdana" w:hAnsi="Verdana" w:cs="Arial"/>
          <w:color w:val="000000"/>
          <w:szCs w:val="20"/>
        </w:rPr>
        <w:t xml:space="preserve">Torna-se público que a Universidade Federal Fluminense, por meio da sua Coordenação de Licitação da Pró-Reitoria de Administração, </w:t>
      </w:r>
      <w:r>
        <w:rPr>
          <w:rFonts w:ascii="Verdana" w:hAnsi="Verdana"/>
          <w:szCs w:val="20"/>
        </w:rPr>
        <w:t>instituída pela Portaria n.º 66.836 de 29 de maio de 2020</w:t>
      </w:r>
      <w:r>
        <w:rPr>
          <w:rFonts w:ascii="Verdana" w:hAnsi="Verdana" w:cs="Arial"/>
          <w:color w:val="000000"/>
          <w:szCs w:val="20"/>
        </w:rPr>
        <w:t xml:space="preserve">, sediada à Rua Miguel de Frias n.º 09, bairro de Icaraí, Niterói, Estado do Rio de Janeiro, CEP 24220-900, realizará licitação, na modalidade </w:t>
      </w:r>
      <w:r>
        <w:rPr>
          <w:rFonts w:ascii="Verdana" w:hAnsi="Verdana" w:cs="Arial"/>
          <w:bCs/>
          <w:color w:val="000000"/>
          <w:szCs w:val="20"/>
        </w:rPr>
        <w:t xml:space="preserve">RDC, </w:t>
      </w:r>
      <w:r>
        <w:rPr>
          <w:rFonts w:ascii="Verdana" w:hAnsi="Verdana" w:cs="Arial"/>
          <w:color w:val="000000"/>
          <w:szCs w:val="20"/>
        </w:rPr>
        <w:t>na forma</w:t>
      </w:r>
      <w:r>
        <w:rPr>
          <w:rFonts w:ascii="Verdana" w:hAnsi="Verdana" w:cs="Arial"/>
          <w:bCs/>
          <w:color w:val="000000"/>
          <w:szCs w:val="20"/>
        </w:rPr>
        <w:t xml:space="preserve"> ELETRÔNICA, </w:t>
      </w:r>
      <w:r>
        <w:rPr>
          <w:rFonts w:ascii="Verdana" w:hAnsi="Verdana"/>
          <w:szCs w:val="20"/>
        </w:rPr>
        <w:t>em modo de disputa ABERTO</w:t>
      </w:r>
      <w:r>
        <w:rPr>
          <w:rFonts w:ascii="Verdana" w:hAnsi="Verdana" w:cs="Arial"/>
          <w:bCs/>
          <w:color w:val="000000"/>
          <w:szCs w:val="20"/>
        </w:rPr>
        <w:t xml:space="preserve">, com critério de julgamento </w:t>
      </w:r>
      <w:r>
        <w:rPr>
          <w:rFonts w:ascii="Verdana" w:hAnsi="Verdana" w:cs="Arial"/>
          <w:bCs/>
          <w:i/>
          <w:szCs w:val="20"/>
        </w:rPr>
        <w:t>maior desconto</w:t>
      </w:r>
      <w:r>
        <w:rPr>
          <w:rFonts w:ascii="Verdana" w:hAnsi="Verdana" w:cs="Arial"/>
          <w:bCs/>
          <w:szCs w:val="20"/>
        </w:rPr>
        <w:t xml:space="preserve">, no regime de empreitada </w:t>
      </w:r>
      <w:r>
        <w:rPr>
          <w:rFonts w:ascii="Verdana" w:hAnsi="Verdana" w:cs="Arial"/>
          <w:bCs/>
          <w:i/>
          <w:iCs/>
          <w:szCs w:val="20"/>
        </w:rPr>
        <w:t>por preço unitário,</w:t>
      </w:r>
      <w:r>
        <w:rPr>
          <w:rFonts w:ascii="Verdana" w:hAnsi="Verdana" w:cs="Arial"/>
          <w:bCs/>
          <w:i/>
          <w:iCs/>
          <w:color w:val="FF0000"/>
          <w:szCs w:val="20"/>
        </w:rPr>
        <w:t xml:space="preserve"> </w:t>
      </w:r>
      <w:r>
        <w:rPr>
          <w:rFonts w:ascii="Verdana" w:hAnsi="Verdana" w:cs="Arial"/>
          <w:color w:val="000000"/>
          <w:szCs w:val="20"/>
        </w:rPr>
        <w:t>nos termos da Lei nº 12.462, de 4 de agosto de 2011, do Decreto nº 7.581, de 11 de outubro de 2011</w:t>
      </w:r>
      <w:r>
        <w:rPr>
          <w:rFonts w:ascii="Verdana" w:hAnsi="Verdana" w:cs="Arial"/>
          <w:szCs w:val="20"/>
        </w:rPr>
        <w:t xml:space="preserve">, </w:t>
      </w:r>
      <w:r>
        <w:rPr>
          <w:rFonts w:ascii="Verdana" w:hAnsi="Verdana" w:cs="Arial"/>
          <w:color w:val="000000" w:themeColor="text1"/>
          <w:szCs w:val="20"/>
        </w:rPr>
        <w:t xml:space="preserve">da Lei Complementar n° 123, de 14 de dezembro de 2006, da Lei nº 11.488, de 15 de junho de 2007, do Decreto n° </w:t>
      </w:r>
      <w:r>
        <w:rPr>
          <w:rFonts w:ascii="Verdana" w:hAnsi="Verdana" w:cs="Arial"/>
          <w:szCs w:val="20"/>
        </w:rPr>
        <w:t>8.538, de 06 de outubro de 2015, aplicando-se, subsidiariamente, no que couber, a</w:t>
      </w:r>
      <w:r>
        <w:rPr>
          <w:rFonts w:ascii="Verdana" w:hAnsi="Verdana" w:cs="Arial"/>
          <w:color w:val="000000"/>
          <w:szCs w:val="20"/>
        </w:rPr>
        <w:t xml:space="preserve"> Lei nº 8.666, de 21 de junho de 1993, e as exigências estabelecidas neste Edital e seus anexos.</w:t>
      </w:r>
    </w:p>
    <w:p>
      <w:pPr>
        <w:spacing w:before="120" w:after="120"/>
        <w:ind w:firstLine="1800"/>
        <w:jc w:val="both"/>
        <w:rPr>
          <w:rFonts w:ascii="Verdana" w:hAnsi="Verdana" w:cs="Times New Roman"/>
          <w:color w:val="auto"/>
          <w:sz w:val="20"/>
          <w:szCs w:val="20"/>
        </w:rPr>
      </w:pPr>
      <w:r>
        <w:rPr>
          <w:rFonts w:ascii="Verdana" w:hAnsi="Verdana"/>
          <w:sz w:val="20"/>
          <w:szCs w:val="20"/>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pPr>
        <w:pStyle w:val="80"/>
        <w:keepNext w:val="0"/>
        <w:widowControl/>
        <w:shd w:val="clear" w:color="auto" w:fill="auto"/>
        <w:spacing w:before="120" w:after="120"/>
        <w:ind w:firstLine="0"/>
        <w:jc w:val="center"/>
        <w:rPr>
          <w:rFonts w:ascii="Verdana" w:hAnsi="Verdana" w:cs="Arial"/>
          <w:sz w:val="18"/>
          <w:szCs w:val="18"/>
        </w:rPr>
      </w:pPr>
    </w:p>
    <w:p>
      <w:pPr>
        <w:pStyle w:val="80"/>
        <w:keepNext w:val="0"/>
        <w:widowControl/>
        <w:shd w:val="clear" w:color="auto" w:fill="auto"/>
        <w:spacing w:before="120" w:after="120"/>
        <w:ind w:firstLine="0"/>
        <w:jc w:val="center"/>
        <w:rPr>
          <w:rFonts w:hint="default" w:ascii="Verdana" w:hAnsi="Verdana" w:cs="Arial"/>
          <w:b/>
          <w:bCs/>
          <w:color w:val="auto"/>
          <w:szCs w:val="20"/>
          <w:lang w:val="pt-BR"/>
        </w:rPr>
      </w:pPr>
      <w:r>
        <w:rPr>
          <w:rFonts w:ascii="Verdana" w:hAnsi="Verdana" w:cs="Arial"/>
          <w:szCs w:val="20"/>
        </w:rPr>
        <w:t xml:space="preserve">Data da sessão: </w:t>
      </w:r>
      <w:r>
        <w:rPr>
          <w:rFonts w:hint="default" w:ascii="Verdana" w:hAnsi="Verdana" w:cs="Arial"/>
          <w:b/>
          <w:bCs/>
          <w:color w:val="auto"/>
          <w:szCs w:val="20"/>
          <w:lang w:val="pt-BR"/>
        </w:rPr>
        <w:t>27/ABR/2022</w:t>
      </w:r>
    </w:p>
    <w:p>
      <w:pPr>
        <w:pStyle w:val="80"/>
        <w:keepNext w:val="0"/>
        <w:widowControl/>
        <w:shd w:val="clear" w:color="auto" w:fill="auto"/>
        <w:spacing w:before="120" w:after="120"/>
        <w:ind w:firstLine="0"/>
        <w:jc w:val="center"/>
        <w:rPr>
          <w:rFonts w:hint="default" w:ascii="Verdana" w:hAnsi="Verdana" w:cs="Arial"/>
          <w:b/>
          <w:bCs/>
          <w:color w:val="auto"/>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80"/>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2"/>
          <w:rFonts w:ascii="Verdana" w:hAnsi="Verdana" w:cs="Arial"/>
          <w:szCs w:val="20"/>
        </w:rPr>
        <w:t>www.gov.br/compras</w:t>
      </w:r>
      <w:r>
        <w:rPr>
          <w:rStyle w:val="12"/>
          <w:rFonts w:ascii="Verdana" w:hAnsi="Verdana" w:cs="Arial"/>
          <w:szCs w:val="20"/>
        </w:rPr>
        <w:fldChar w:fldCharType="end"/>
      </w:r>
      <w:r>
        <w:rPr>
          <w:rFonts w:ascii="Verdana" w:hAnsi="Verdana" w:cs="Arial"/>
          <w:szCs w:val="20"/>
        </w:rPr>
        <w:t xml:space="preserve"> </w:t>
      </w:r>
    </w:p>
    <w:p>
      <w:pPr>
        <w:keepNext w:val="0"/>
        <w:shd w:val="clear" w:color="auto" w:fill="auto"/>
        <w:rPr>
          <w:rFonts w:ascii="Verdana" w:hAnsi="Verdana" w:cs="Arial"/>
          <w:sz w:val="20"/>
          <w:szCs w:val="20"/>
        </w:rPr>
      </w:pPr>
    </w:p>
    <w:p>
      <w:pPr>
        <w:pStyle w:val="80"/>
        <w:keepNext w:val="0"/>
        <w:widowControl/>
        <w:numPr>
          <w:ilvl w:val="0"/>
          <w:numId w:val="3"/>
        </w:numPr>
        <w:shd w:val="clear" w:color="auto" w:fill="auto"/>
        <w:spacing w:before="120" w:after="120"/>
        <w:ind w:left="284" w:hanging="284"/>
        <w:rPr>
          <w:rFonts w:ascii="Verdana" w:hAnsi="Verdana" w:cs="Arial"/>
          <w:szCs w:val="20"/>
        </w:rPr>
      </w:pPr>
      <w:r>
        <w:rPr>
          <w:rFonts w:ascii="Verdana" w:hAnsi="Verdana" w:cs="Arial"/>
          <w:b/>
          <w:color w:val="000000"/>
          <w:szCs w:val="20"/>
        </w:rPr>
        <w:t>DO OBJETO</w:t>
      </w:r>
    </w:p>
    <w:p>
      <w:pPr>
        <w:pStyle w:val="80"/>
        <w:keepNext w:val="0"/>
        <w:widowControl/>
        <w:numPr>
          <w:ilvl w:val="1"/>
          <w:numId w:val="3"/>
        </w:numPr>
        <w:shd w:val="clear" w:color="auto" w:fill="auto"/>
        <w:spacing w:before="120" w:after="120"/>
        <w:ind w:left="851" w:hanging="284"/>
        <w:rPr>
          <w:rFonts w:ascii="Verdana" w:hAnsi="Verdana" w:cs="Arial"/>
          <w:szCs w:val="20"/>
        </w:rPr>
      </w:pPr>
      <w:bookmarkStart w:id="0" w:name="__DdeLink__1377_1703696864"/>
      <w:r>
        <w:rPr>
          <w:rFonts w:ascii="Verdana" w:hAnsi="Verdana" w:cs="Arial"/>
          <w:szCs w:val="20"/>
        </w:rPr>
        <w:t>O objeto da presente licitação é a escolha da proposta mais vantajosa para a contratação de obra de reforma dos galpões da Central de Logística Patrimonial da Superintendência de Arquitetura, Engenharia e Patrimônio (CLP/SAEP/UFF) e do Almoxarifado da Pró-Reitoria de Administração da Universidade Federal Fluminense (PROAD/UFF), conforme condições, quantidades e exigências estabelecidas neste Edital e seus anexos.</w:t>
      </w:r>
    </w:p>
    <w:p>
      <w:pPr>
        <w:pStyle w:val="80"/>
        <w:keepNext w:val="0"/>
        <w:widowControl/>
        <w:numPr>
          <w:ilvl w:val="2"/>
          <w:numId w:val="3"/>
        </w:numPr>
        <w:shd w:val="clear" w:color="auto" w:fill="auto"/>
        <w:spacing w:before="120" w:after="120"/>
        <w:ind w:hanging="283"/>
        <w:rPr>
          <w:rFonts w:ascii="Verdana" w:hAnsi="Verdana" w:cs="Arial"/>
          <w:sz w:val="18"/>
          <w:szCs w:val="18"/>
        </w:rPr>
      </w:pPr>
      <w:r>
        <w:rPr>
          <w:rFonts w:ascii="Verdana" w:hAnsi="Verdana"/>
          <w:sz w:val="18"/>
          <w:szCs w:val="18"/>
        </w:rPr>
        <w:t xml:space="preserve">– Localização da obra: Avenida Jansen de Melo, 174, Centro, Niterói, Estado do Rio de Janeiro. </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Times-Roman"/>
          <w:szCs w:val="20"/>
        </w:rPr>
        <w:t xml:space="preserve">Esta licitação será realizada na forma </w:t>
      </w:r>
      <w:r>
        <w:rPr>
          <w:rFonts w:ascii="Verdana" w:hAnsi="Verdana" w:cs="Times-Bold"/>
          <w:bCs/>
          <w:szCs w:val="20"/>
        </w:rPr>
        <w:t>eletrônica</w:t>
      </w:r>
      <w:r>
        <w:rPr>
          <w:rFonts w:ascii="Verdana" w:hAnsi="Verdana" w:cs="Times-Bold"/>
          <w:b/>
          <w:bCs/>
          <w:szCs w:val="20"/>
        </w:rPr>
        <w:t xml:space="preserve"> </w:t>
      </w:r>
      <w:r>
        <w:rPr>
          <w:rFonts w:ascii="Verdana" w:hAnsi="Verdana" w:cs="Times-Roman"/>
          <w:szCs w:val="20"/>
        </w:rPr>
        <w:t xml:space="preserve">e em modo de disputa </w:t>
      </w:r>
      <w:r>
        <w:rPr>
          <w:rFonts w:ascii="Verdana" w:hAnsi="Verdana" w:cs="Times-Bold"/>
          <w:bCs/>
          <w:szCs w:val="20"/>
        </w:rPr>
        <w:t>aberto</w:t>
      </w:r>
      <w:r>
        <w:rPr>
          <w:rFonts w:ascii="Verdana" w:hAnsi="Verdana" w:cs="Times-Roman"/>
          <w:szCs w:val="20"/>
        </w:rPr>
        <w:t>, conforme disposto nos artigos 18, 20 e 21 do Decreto nº 7.581/11.</w:t>
      </w:r>
      <w:bookmarkEnd w:id="0"/>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A licitação será efetuada em único grupo,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III-A a este edital; a licitante deverá oferecer proposta para todos os itens que a compõem. </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Sendo o critério de julgamento de maior desconto, sob o Regime Diferenciado de Contratações (RDC), o percentual de desconto oferecido pela licitante, além de incidir sobre o preço global fixado, incidirá igualmente sobre o preço unitário de cada item de serviço do orçamento estimado, por força do que dispõe o art. 19, §§2º e 3º da Lei nº 12.462/2011.</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O critério de julgamento adotado será o de maior desconto percentual do grupo, observadas as exigências contidas neste Edital e seus Anexos quanto às especificações do objeto, sagrando-se vencedora a licitante que ofertar o maior desconto.</w:t>
      </w:r>
    </w:p>
    <w:p>
      <w:pPr>
        <w:pStyle w:val="80"/>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u w:val="single"/>
        </w:rPr>
        <w:t>O percentual de desconto proposto</w:t>
      </w:r>
      <w:r>
        <w:rPr>
          <w:rFonts w:ascii="Verdana" w:hAnsi="Verdana" w:cs="Arial"/>
          <w:sz w:val="18"/>
          <w:szCs w:val="18"/>
        </w:rPr>
        <w:t xml:space="preserve">, resultado da fase de lances, </w:t>
      </w:r>
      <w:r>
        <w:rPr>
          <w:rFonts w:ascii="Verdana" w:hAnsi="Verdana" w:cs="Arial"/>
          <w:sz w:val="18"/>
          <w:szCs w:val="18"/>
          <w:u w:val="single"/>
        </w:rPr>
        <w:t>deverá incidir igualmente sobre todos os preços unitários constantes da planilha de orçamento</w:t>
      </w:r>
      <w:r>
        <w:rPr>
          <w:rFonts w:ascii="Verdana" w:hAnsi="Verdana" w:cs="Arial"/>
          <w:sz w:val="18"/>
          <w:szCs w:val="18"/>
        </w:rPr>
        <w:t xml:space="preserve"> (Anexo III-A), que irá resultar no valor total da proposta da licitante.</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80"/>
        <w:keepNext w:val="0"/>
        <w:widowControl/>
        <w:shd w:val="clear" w:color="auto" w:fill="auto"/>
        <w:spacing w:before="120" w:after="120"/>
        <w:ind w:left="1276" w:hanging="850"/>
        <w:rPr>
          <w:rFonts w:ascii="Verdana" w:hAnsi="Verdana" w:cs="Arial"/>
          <w:sz w:val="18"/>
          <w:szCs w:val="18"/>
        </w:rPr>
      </w:pPr>
    </w:p>
    <w:p>
      <w:pPr>
        <w:pStyle w:val="67"/>
        <w:keepNext w:val="0"/>
        <w:numPr>
          <w:ilvl w:val="0"/>
          <w:numId w:val="4"/>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
          <w:vanish/>
          <w:color w:val="000000"/>
          <w:sz w:val="18"/>
          <w:szCs w:val="18"/>
          <w:lang w:eastAsia="zh-CN" w:bidi="hi-IN"/>
        </w:rPr>
      </w:pPr>
    </w:p>
    <w:p>
      <w:pPr>
        <w:pStyle w:val="80"/>
        <w:keepNext w:val="0"/>
        <w:widowControl/>
        <w:numPr>
          <w:ilvl w:val="0"/>
          <w:numId w:val="4"/>
        </w:numPr>
        <w:spacing w:before="120" w:after="120"/>
        <w:ind w:left="284" w:hanging="284"/>
        <w:rPr>
          <w:rFonts w:ascii="Verdana" w:hAnsi="Verdana" w:cs="Arial"/>
          <w:szCs w:val="20"/>
        </w:rPr>
      </w:pPr>
      <w:r>
        <w:rPr>
          <w:rFonts w:ascii="Verdana" w:hAnsi="Verdana" w:cs="Arial"/>
          <w:b/>
          <w:color w:val="000000"/>
          <w:szCs w:val="20"/>
        </w:rPr>
        <w:t>DOS RECURSOS ORÇAMENTÁRIOS</w:t>
      </w:r>
    </w:p>
    <w:p>
      <w:pPr>
        <w:pStyle w:val="80"/>
        <w:keepNext w:val="0"/>
        <w:widowControl/>
        <w:numPr>
          <w:ilvl w:val="1"/>
          <w:numId w:val="5"/>
        </w:numPr>
        <w:spacing w:before="120" w:after="120"/>
        <w:ind w:left="851" w:hanging="284"/>
        <w:rPr>
          <w:rFonts w:ascii="Verdana" w:hAnsi="Verdana" w:cs="Arial"/>
          <w:color w:val="000000"/>
          <w:szCs w:val="20"/>
          <w:highlight w:val="none"/>
          <w:lang w:eastAsia="en-US"/>
        </w:rPr>
      </w:pPr>
      <w:r>
        <w:rPr>
          <w:rFonts w:ascii="Verdana" w:hAnsi="Verdana" w:cs="Arial"/>
          <w:color w:val="000000"/>
          <w:szCs w:val="20"/>
          <w:highlight w:val="none"/>
        </w:rPr>
        <w:t xml:space="preserve">As </w:t>
      </w:r>
      <w:r>
        <w:rPr>
          <w:highlight w:val="none"/>
        </w:rPr>
        <w:t xml:space="preserve"> </w:t>
      </w:r>
      <w:r>
        <w:rPr>
          <w:rFonts w:ascii="Verdana" w:hAnsi="Verdana" w:cs="Arial"/>
          <w:color w:val="000000"/>
          <w:szCs w:val="20"/>
          <w:highlight w:val="none"/>
        </w:rPr>
        <w:t>despesas para atender a esta licitação estão programadas em dotação orçamentária própria, prevista no orçamento da União para o exercício de 20</w:t>
      </w:r>
      <w:r>
        <w:rPr>
          <w:rFonts w:hint="default" w:ascii="Verdana" w:hAnsi="Verdana" w:cs="Arial"/>
          <w:color w:val="000000"/>
          <w:szCs w:val="20"/>
          <w:highlight w:val="none"/>
          <w:lang w:val="pt-BR"/>
        </w:rPr>
        <w:t>22</w:t>
      </w:r>
      <w:r>
        <w:rPr>
          <w:rFonts w:ascii="Verdana" w:hAnsi="Verdana" w:cs="Arial"/>
          <w:color w:val="000000"/>
          <w:szCs w:val="20"/>
          <w:highlight w:val="none"/>
        </w:rPr>
        <w:t xml:space="preserve">, conforme </w:t>
      </w:r>
      <w:r>
        <w:rPr>
          <w:rFonts w:hint="default" w:ascii="Verdana" w:hAnsi="Verdana" w:cs="Arial"/>
          <w:color w:val="000000"/>
          <w:szCs w:val="20"/>
          <w:highlight w:val="none"/>
          <w:lang w:val="pt-BR"/>
        </w:rPr>
        <w:t>documento SEI 0647678(</w:t>
      </w:r>
      <w:r>
        <w:rPr>
          <w:rFonts w:hint="default" w:ascii="Verdana" w:hAnsi="Verdana"/>
          <w:color w:val="000000"/>
          <w:szCs w:val="20"/>
          <w:highlight w:val="none"/>
          <w:lang w:val="pt-BR"/>
        </w:rPr>
        <w:t>https://sei.uff.br/sei/controlador.php?acao=procedimento_trabalhar&amp;id_procedimento=687525&amp;id_documento=707078).</w:t>
      </w:r>
    </w:p>
    <w:p>
      <w:pPr>
        <w:pStyle w:val="80"/>
        <w:keepNext w:val="0"/>
        <w:numPr>
          <w:ilvl w:val="0"/>
          <w:numId w:val="5"/>
        </w:numPr>
        <w:ind w:left="567" w:hanging="567"/>
        <w:rPr>
          <w:rFonts w:ascii="Verdana" w:hAnsi="Verdana" w:cs="Arial"/>
          <w:szCs w:val="20"/>
        </w:rPr>
      </w:pPr>
      <w:r>
        <w:rPr>
          <w:rFonts w:ascii="Verdana" w:hAnsi="Verdana" w:cs="Arial"/>
          <w:b/>
          <w:color w:val="000000"/>
          <w:szCs w:val="20"/>
        </w:rPr>
        <w:t>DO CREDENCIAMENTO</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Credenciamento é o nível básico do registro cadastral no </w:t>
      </w:r>
      <w:r>
        <w:rPr>
          <w:rFonts w:ascii="Verdana" w:hAnsi="Verdana" w:eastAsia="Times New Roman" w:cs="Arial"/>
          <w:color w:val="000000"/>
          <w:szCs w:val="20"/>
          <w:lang w:eastAsia="pt-BR"/>
        </w:rPr>
        <w:t>Sistema de Cadastramento Unificado de Forneced</w:t>
      </w:r>
      <w:r>
        <w:rPr>
          <w:rFonts w:ascii="Verdana" w:hAnsi="Verdana" w:cs="Arial"/>
          <w:bCs/>
          <w:iCs/>
          <w:color w:val="000000"/>
          <w:szCs w:val="20"/>
        </w:rPr>
        <w:t>ores - SICAF, conforme disposto no Decreto no 3.722, de 9 de janeiro de 2001. </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cadastro no SICAF poderá ser iniciado no Portal de Compras do Governo Federal, no sítio </w:t>
      </w:r>
      <w:r>
        <w:fldChar w:fldCharType="begin"/>
      </w:r>
      <w:r>
        <w:instrText xml:space="preserve"> HYPERLINK "http://www.gov.br/compras" </w:instrText>
      </w:r>
      <w:r>
        <w:fldChar w:fldCharType="separate"/>
      </w:r>
      <w:r>
        <w:rPr>
          <w:rStyle w:val="12"/>
          <w:rFonts w:ascii="Verdana" w:hAnsi="Verdana" w:cs="Arial"/>
          <w:bCs/>
          <w:iCs/>
          <w:szCs w:val="20"/>
        </w:rPr>
        <w:t>www.gov.br/compras</w:t>
      </w:r>
      <w:r>
        <w:rPr>
          <w:rStyle w:val="12"/>
          <w:rFonts w:ascii="Verdana" w:hAnsi="Verdana" w:cs="Arial"/>
          <w:bCs/>
          <w:iCs/>
          <w:szCs w:val="20"/>
        </w:rPr>
        <w:fldChar w:fldCharType="end"/>
      </w:r>
      <w:r>
        <w:rPr>
          <w:rFonts w:ascii="Verdana" w:hAnsi="Verdana" w:cs="Arial"/>
          <w:bCs/>
          <w:iCs/>
          <w:color w:val="000000"/>
          <w:szCs w:val="20"/>
        </w:rPr>
        <w:t>, por meio de certificado digital conferido pela Infraestrutura de Chaves Públicas Brasileira – ICP-Brasil.</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color w:val="000000"/>
          <w:szCs w:val="20"/>
        </w:rPr>
        <w:t>O credenciamento junto ao provedor do sistema implica a responsabilidade da licitante ou de seu representante legal e a presunção de sua capacidade técnica para realização das transações inerentes a este RDC.</w:t>
      </w:r>
    </w:p>
    <w:p>
      <w:pPr>
        <w:pStyle w:val="80"/>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80"/>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6"/>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 após implementadas diligências ordinárias.</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No caso de participação de empresas em consórcio, o credenciamento e a operação do sistema eletrônico devem ser realizados pela empresa líder do consórcio.</w:t>
      </w:r>
    </w:p>
    <w:p>
      <w:pPr>
        <w:pStyle w:val="80"/>
        <w:keepNext w:val="0"/>
        <w:widowControl/>
        <w:spacing w:before="120" w:after="120"/>
        <w:ind w:left="1276" w:hanging="850"/>
        <w:rPr>
          <w:rFonts w:ascii="Verdana" w:hAnsi="Verdana" w:cs="Arial"/>
          <w:szCs w:val="20"/>
        </w:rPr>
      </w:pPr>
    </w:p>
    <w:p>
      <w:pPr>
        <w:keepNext w:val="0"/>
        <w:numPr>
          <w:ilvl w:val="0"/>
          <w:numId w:val="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20"/>
          <w:szCs w:val="20"/>
        </w:rPr>
      </w:pPr>
      <w:r>
        <w:rPr>
          <w:rFonts w:ascii="Verdana" w:hAnsi="Verdana"/>
          <w:b/>
          <w:sz w:val="20"/>
          <w:szCs w:val="20"/>
        </w:rPr>
        <w:t>DA VISTORIA</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b/>
          <w:bCs/>
          <w:sz w:val="21"/>
          <w:szCs w:val="21"/>
        </w:rPr>
      </w:pPr>
      <w:r>
        <w:rPr>
          <w:rFonts w:ascii="Verdana" w:hAnsi="Verdana" w:cs="TTE4E87780t00"/>
          <w:b/>
          <w:bCs/>
          <w:sz w:val="21"/>
          <w:szCs w:val="21"/>
        </w:rPr>
        <w:t xml:space="preserve">As condições para a realização da vistoria estão explicitadas no </w:t>
      </w:r>
      <w:r>
        <w:rPr>
          <w:rFonts w:ascii="Verdana" w:hAnsi="Verdana" w:cs="TTE4E87780t00"/>
          <w:b/>
          <w:bCs/>
          <w:color w:val="FF0000"/>
          <w:sz w:val="21"/>
          <w:szCs w:val="21"/>
        </w:rPr>
        <w:t>item “6 – VISTORIA PARA A LICITAÇÃO</w:t>
      </w:r>
      <w:r>
        <w:rPr>
          <w:rFonts w:ascii="Verdana" w:hAnsi="Verdana" w:cs="TTE4E87780t00"/>
          <w:b/>
          <w:bCs/>
          <w:sz w:val="21"/>
          <w:szCs w:val="21"/>
        </w:rPr>
        <w:t>” do Termo de Referência anexo a este edital;</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RDC</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bookmarkStart w:id="12" w:name="_GoBack"/>
      <w:bookmarkEnd w:id="12"/>
      <w:r>
        <w:rPr>
          <w:rFonts w:ascii="Verdana" w:hAnsi="Verdana" w:cs="Times-Roman"/>
          <w:sz w:val="18"/>
          <w:szCs w:val="18"/>
        </w:rPr>
        <w:t>ser informados também, o objeto da licitação e o número deste RDC.</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RDC,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pStyle w:val="14"/>
        <w:widowControl/>
        <w:suppressAutoHyphens w:val="0"/>
        <w:spacing w:before="120"/>
        <w:ind w:left="1276" w:hanging="850"/>
        <w:jc w:val="both"/>
        <w:rPr>
          <w:rFonts w:ascii="Verdana" w:hAnsi="Verdana"/>
          <w:b/>
          <w:sz w:val="20"/>
        </w:rPr>
      </w:pPr>
    </w:p>
    <w:p>
      <w:pPr>
        <w:pStyle w:val="14"/>
        <w:widowControl/>
        <w:numPr>
          <w:ilvl w:val="0"/>
          <w:numId w:val="7"/>
        </w:numPr>
        <w:suppressAutoHyphens w:val="0"/>
        <w:spacing w:before="120"/>
        <w:ind w:left="284" w:hanging="284"/>
        <w:jc w:val="both"/>
        <w:rPr>
          <w:rFonts w:ascii="Verdana" w:hAnsi="Verdana"/>
          <w:b/>
          <w:sz w:val="20"/>
        </w:rPr>
      </w:pPr>
      <w:r>
        <w:rPr>
          <w:rFonts w:ascii="Verdana" w:hAnsi="Verdana" w:cs="Arial"/>
          <w:b/>
          <w:bCs/>
          <w:color w:val="000000"/>
          <w:sz w:val="20"/>
        </w:rPr>
        <w:t>DA PARTICIPAÇÃO NO RDC</w:t>
      </w: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20"/>
          <w:szCs w:val="20"/>
          <w:lang w:eastAsia="zh-CN" w:bidi="hi-IN"/>
        </w:rPr>
      </w:pP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20"/>
          <w:szCs w:val="20"/>
          <w:lang w:eastAsia="zh-CN" w:bidi="hi-IN"/>
        </w:rPr>
      </w:pP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color w:val="000000"/>
          <w:szCs w:val="20"/>
        </w:rPr>
        <w:t xml:space="preserve">Poderão participar deste procedimento </w:t>
      </w:r>
      <w:r>
        <w:rPr>
          <w:rFonts w:ascii="Verdana" w:hAnsi="Verdana" w:cs="Arial"/>
          <w:szCs w:val="20"/>
        </w:rPr>
        <w:t>interessados</w:t>
      </w:r>
      <w:r>
        <w:rPr>
          <w:rFonts w:ascii="Verdana" w:hAnsi="Verdana" w:cs="Arial"/>
          <w:bCs/>
          <w:color w:val="000000"/>
          <w:szCs w:val="20"/>
        </w:rPr>
        <w:t xml:space="preserve"> cujo ramo de atividade seja compatível com o objeto desta licitação, e que estejam com credenciamento regular no</w:t>
      </w:r>
      <w:r>
        <w:rPr>
          <w:rFonts w:ascii="Verdana" w:hAnsi="Verdana" w:cs="Arial"/>
          <w:color w:val="000000"/>
          <w:szCs w:val="20"/>
        </w:rPr>
        <w:t xml:space="preserve"> Sistema de Cadastramento Unificado de Fornecedores – SICAF, conforme disposto no art. 9º da IN SEGES/MP nº 3, de 2018.</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O objeto social incompatível com o objeto da licitação é impeditivo à contratação, a ser aferido na fase de habilitação jurídica.</w:t>
      </w:r>
    </w:p>
    <w:p>
      <w:pPr>
        <w:pStyle w:val="80"/>
        <w:keepNext w:val="0"/>
        <w:widowControl/>
        <w:numPr>
          <w:ilvl w:val="2"/>
          <w:numId w:val="6"/>
        </w:numPr>
        <w:spacing w:before="120" w:after="120"/>
        <w:ind w:left="1134" w:hanging="283"/>
        <w:rPr>
          <w:rFonts w:ascii="Verdana" w:hAnsi="Verdana" w:cs="Arial"/>
          <w:bCs/>
          <w:color w:val="000000"/>
          <w:sz w:val="18"/>
          <w:szCs w:val="18"/>
        </w:rPr>
      </w:pPr>
      <w:r>
        <w:rPr>
          <w:rFonts w:ascii="Verdana" w:hAnsi="Verdana" w:cs="Arial"/>
          <w:bCs/>
          <w:color w:val="000000"/>
          <w:sz w:val="18"/>
          <w:szCs w:val="18"/>
        </w:rPr>
        <w:t>As licitantes deverão utilizar o certificado digital para acesso ao Sistema.</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color w:val="000000"/>
          <w:szCs w:val="20"/>
        </w:rPr>
        <w:t xml:space="preserve">Não poderá participar desta licitação </w:t>
      </w:r>
      <w:r>
        <w:rPr>
          <w:rFonts w:ascii="Verdana" w:hAnsi="Verdana" w:cs="Arial"/>
          <w:szCs w:val="20"/>
        </w:rPr>
        <w:t>o interessado: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proibido de participar de licitações e celebrar contratos administrativos, na forma da legislação vigente;</w:t>
      </w:r>
    </w:p>
    <w:p>
      <w:pPr>
        <w:pStyle w:val="80"/>
        <w:keepNext w:val="0"/>
        <w:widowControl/>
        <w:numPr>
          <w:ilvl w:val="2"/>
          <w:numId w:val="6"/>
        </w:numPr>
        <w:spacing w:before="120" w:after="120"/>
        <w:ind w:left="1276" w:hanging="425"/>
        <w:rPr>
          <w:rFonts w:ascii="Verdana" w:hAnsi="Verdana" w:cs="Arial"/>
          <w:sz w:val="18"/>
          <w:szCs w:val="18"/>
        </w:rPr>
      </w:pPr>
      <w:r>
        <w:rPr>
          <w:rFonts w:ascii="Verdana" w:hAnsi="Verdana" w:cs="Arial"/>
          <w:bCs/>
          <w:color w:val="000000"/>
          <w:sz w:val="18"/>
          <w:szCs w:val="18"/>
        </w:rPr>
        <w:t xml:space="preserve">- que não atenda às condições deste Edital e seu(s) anexo(s). </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pessoa jurídica estrangeira que não tenha representação legal no Brasil, com poderes expressos para receber citação e responder administrativa ou judicialmente;</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xml:space="preserve">– que seja servidor, empregado ou ocupante de cargo em comissão do órgão ou entidade contratante ou </w:t>
      </w:r>
      <w:r>
        <w:rPr>
          <w:rFonts w:ascii="Verdana" w:hAnsi="Verdana" w:cs="Arial"/>
          <w:bCs/>
          <w:color w:val="000000"/>
          <w:sz w:val="18"/>
          <w:szCs w:val="18"/>
        </w:rPr>
        <w:t>responsável</w:t>
      </w:r>
      <w:r>
        <w:rPr>
          <w:rFonts w:ascii="Verdana" w:hAnsi="Verdana" w:cs="Arial"/>
          <w:sz w:val="18"/>
          <w:szCs w:val="18"/>
        </w:rPr>
        <w:t xml:space="preserve"> pela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color w:val="000000"/>
          <w:sz w:val="18"/>
          <w:szCs w:val="18"/>
        </w:rPr>
        <w:t>- pessoa física ou jurídica, na forma do art. 36 da Lei nº 12.462/11, mediante participação direta ou indireta:</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que tenha elaborado o Termo de Referência ou executivo correspondente;</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que tenha participado de consórcio responsável pela elaboração do Termo de Referência ou executivo correspondente;</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na qual o autor do Termo de Referência ou executivo seja administrador, sócio com mais de cinco por cento do capital votante, controlador, gerente, responsável técnico ou subcontratado.</w:t>
      </w:r>
    </w:p>
    <w:p>
      <w:pPr>
        <w:pStyle w:val="80"/>
        <w:keepNext w:val="0"/>
        <w:widowControl/>
        <w:numPr>
          <w:ilvl w:val="3"/>
          <w:numId w:val="6"/>
        </w:numPr>
        <w:spacing w:before="120" w:after="120"/>
        <w:ind w:left="1418" w:hanging="284"/>
        <w:rPr>
          <w:rFonts w:ascii="Verdana" w:hAnsi="Verdana" w:cs="Arial"/>
          <w:color w:val="000000"/>
          <w:sz w:val="18"/>
          <w:szCs w:val="18"/>
        </w:rPr>
      </w:pPr>
      <w:r>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a licitante ou responsável pelos serviços, fornecimentos e obras, incluindo-se o fornecimento de bens e serviços a estes necessários.</w:t>
      </w:r>
    </w:p>
    <w:p>
      <w:pPr>
        <w:pStyle w:val="80"/>
        <w:keepNext w:val="0"/>
        <w:widowControl/>
        <w:numPr>
          <w:ilvl w:val="4"/>
          <w:numId w:val="6"/>
        </w:numPr>
        <w:spacing w:before="120" w:after="120"/>
        <w:ind w:left="1701" w:hanging="283"/>
        <w:rPr>
          <w:rFonts w:ascii="Verdana" w:hAnsi="Verdana" w:cs="Arial"/>
          <w:color w:val="000000"/>
          <w:sz w:val="18"/>
          <w:szCs w:val="18"/>
        </w:rPr>
      </w:pPr>
      <w:r>
        <w:rPr>
          <w:rFonts w:ascii="Verdana" w:hAnsi="Verdana" w:cs="Arial"/>
          <w:color w:val="000000"/>
          <w:sz w:val="18"/>
          <w:szCs w:val="18"/>
        </w:rPr>
        <w:t>O disposto neste subitem se aplica aos membros da comissão de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que esteja sob falência, recuperação judicial ou extrajudicial, ou concurso de credores ou insolvência, em processo de dissolução ou liquidação observado o disposto no item 11.6.3.1.1 deste Edital;</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iCs/>
          <w:sz w:val="18"/>
          <w:szCs w:val="18"/>
        </w:rPr>
        <w:t>– que sejam entidades empresariais reunidas em consórcio;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que tenha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2" w:name="_Hlk505081010"/>
    </w:p>
    <w:p>
      <w:pPr>
        <w:pStyle w:val="80"/>
        <w:keepNext w:val="0"/>
        <w:widowControl/>
        <w:numPr>
          <w:ilvl w:val="1"/>
          <w:numId w:val="6"/>
        </w:numPr>
        <w:spacing w:before="120" w:after="120"/>
        <w:ind w:left="851" w:hanging="284"/>
        <w:rPr>
          <w:rFonts w:ascii="Verdana" w:hAnsi="Verdana" w:cs="Arial"/>
          <w:szCs w:val="20"/>
        </w:rPr>
      </w:pPr>
      <w:r>
        <w:rPr>
          <w:rFonts w:ascii="Verdana" w:hAnsi="Verdana" w:cs="Arial"/>
          <w:szCs w:val="20"/>
        </w:rPr>
        <w:t xml:space="preserve">É vedada a contratação de uma mesma empresa para dois ou mais serviços licitados, quando, por sua natureza, esses serviços exigirem a segregação de funções, tais como serviços de execução e de assistência à fiscalização. </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szCs w:val="20"/>
        </w:rPr>
        <w:t>É vedada a contratação de pessoa jurídica na qual haja administrador ou sócio com poder de direção, familiar de:</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detentor de cargo em comissão ou função de confiança que atue na área responsável pela demanda ou contratação; ou</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 autoridade hierarquicamente superior no âmbito do órgão contratante.</w:t>
      </w: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1"/>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80"/>
        <w:keepNext w:val="0"/>
        <w:widowControl/>
        <w:numPr>
          <w:ilvl w:val="2"/>
          <w:numId w:val="10"/>
        </w:numPr>
        <w:spacing w:before="120" w:after="120"/>
        <w:ind w:left="1134" w:hanging="283"/>
        <w:rPr>
          <w:rFonts w:ascii="Verdana" w:hAnsi="Verdana" w:cs="Arial"/>
          <w:color w:val="003366"/>
          <w:sz w:val="18"/>
          <w:szCs w:val="18"/>
        </w:rPr>
      </w:pPr>
      <w:r>
        <w:rPr>
          <w:rFonts w:ascii="Verdana" w:hAnsi="Verdana" w:cs="Arial"/>
          <w:sz w:val="18"/>
          <w:szCs w:val="18"/>
        </w:rPr>
        <w:t>Para</w:t>
      </w:r>
      <w:r>
        <w:rPr>
          <w:rFonts w:ascii="Verdana" w:hAnsi="Verdana" w:cs="Arial"/>
          <w:color w:val="000000"/>
          <w:sz w:val="18"/>
          <w:szCs w:val="18"/>
          <w:shd w:val="clear" w:color="auto" w:fill="FFFFFF"/>
        </w:rPr>
        <w:t xml:space="preserve"> os fins do disposto neste item</w:t>
      </w:r>
      <w:r>
        <w:rPr>
          <w:rFonts w:ascii="Verdana" w:hAnsi="Verdana" w:cs="Arial"/>
          <w:i/>
          <w:iCs/>
          <w:color w:val="000000"/>
          <w:sz w:val="18"/>
          <w:szCs w:val="18"/>
          <w:shd w:val="clear" w:color="auto" w:fill="FFFFFF"/>
        </w:rPr>
        <w:t>,</w:t>
      </w:r>
      <w:r>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80"/>
        <w:keepNext w:val="0"/>
        <w:widowControl/>
        <w:numPr>
          <w:ilvl w:val="1"/>
          <w:numId w:val="10"/>
        </w:numPr>
        <w:spacing w:before="120" w:after="120"/>
        <w:ind w:left="851" w:hanging="284"/>
        <w:rPr>
          <w:rFonts w:ascii="Verdana" w:hAnsi="Verdana" w:cs="Arial"/>
          <w:szCs w:val="20"/>
        </w:rPr>
      </w:pPr>
      <w:r>
        <w:rPr>
          <w:rFonts w:ascii="Verdana" w:hAnsi="Verdana" w:cs="Arial"/>
          <w:szCs w:val="20"/>
        </w:rPr>
        <w:t>Nenhuma licitante poderá participar desta licitação com mais de uma proposta de preços.</w:t>
      </w:r>
    </w:p>
    <w:p>
      <w:pPr>
        <w:pStyle w:val="80"/>
        <w:keepNext w:val="0"/>
        <w:widowControl/>
        <w:numPr>
          <w:ilvl w:val="1"/>
          <w:numId w:val="10"/>
        </w:numPr>
        <w:spacing w:before="120" w:after="120"/>
        <w:ind w:left="851" w:hanging="284"/>
        <w:rPr>
          <w:rFonts w:ascii="Verdana" w:hAnsi="Verdana" w:cs="Arial"/>
          <w:szCs w:val="20"/>
        </w:rPr>
      </w:pPr>
      <w:r>
        <w:rPr>
          <w:rFonts w:ascii="Verdana" w:hAnsi="Verdana" w:cs="Arial"/>
          <w:color w:val="000000"/>
          <w:szCs w:val="20"/>
        </w:rPr>
        <w:t>Como condição para participação no RDC, a licitante assinalará “sim” ou “não” em campo próprio do sistema eletrônico, relativo às seguintes declarações:</w:t>
      </w:r>
    </w:p>
    <w:p>
      <w:pPr>
        <w:pStyle w:val="80"/>
        <w:keepNext w:val="0"/>
        <w:widowControl/>
        <w:numPr>
          <w:ilvl w:val="2"/>
          <w:numId w:val="10"/>
        </w:numPr>
        <w:spacing w:before="120" w:after="120"/>
        <w:ind w:left="1134" w:hanging="283"/>
        <w:rPr>
          <w:rFonts w:ascii="Verdana" w:hAnsi="Verdana" w:cs="Arial"/>
          <w:color w:val="000000"/>
          <w:sz w:val="18"/>
          <w:szCs w:val="18"/>
        </w:rPr>
      </w:pPr>
      <w:r>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1"/>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2"/>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nos itens exclusivos para participação de microempresas e empresas de pequeno porte, a assinalação do campo “não”, não impedirá o prosseguimento no certame;</w:t>
      </w: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a assinalação do campo “não” apenas produzirá o efeito de a licitante não ter direito ao tratamento favorecido previsto na Lei Complementar nº 123, de 2006, mesmo que microempresa, empresa de pequeno porte ou sociedade cooperativa;</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está ciente e concorda com as condições contidas no Edital e seus anexos;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cumpre os requisitos de habilitação definidos no Edital e que a proposta apresentada está em conformidade com as exigências editalícias;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inexistem fatos impeditivos para sua habilitação no certame, ciente da obrigatoriedade de declarar ocorrências posteriores;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eastAsia="Zurich BT" w:cs="Arial"/>
          <w:color w:val="000000"/>
          <w:sz w:val="18"/>
          <w:szCs w:val="18"/>
        </w:rPr>
        <w:t>que a proposta foi elaborada de forma independente, nos termos d</w:t>
      </w:r>
      <w:r>
        <w:rPr>
          <w:rFonts w:ascii="Verdana" w:hAnsi="Verdana" w:cs="Arial"/>
          <w:color w:val="000000"/>
          <w:sz w:val="18"/>
          <w:szCs w:val="18"/>
        </w:rPr>
        <w:t>a Instrução Normativa SLTI/MPOG nº 2, de 16 de setembro de 2009;</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Pr>
          <w:rFonts w:ascii="Verdana" w:hAnsi="Verdana" w:cs="Arial"/>
          <w:sz w:val="18"/>
          <w:szCs w:val="18"/>
        </w:rPr>
        <w:t xml:space="preserve"> </w:t>
      </w:r>
    </w:p>
    <w:p>
      <w:pPr>
        <w:pStyle w:val="80"/>
        <w:keepNext w:val="0"/>
        <w:widowControl/>
        <w:numPr>
          <w:ilvl w:val="2"/>
          <w:numId w:val="11"/>
        </w:numPr>
        <w:spacing w:before="120" w:after="120"/>
        <w:ind w:left="1134" w:hanging="283"/>
        <w:rPr>
          <w:rFonts w:ascii="Verdana" w:hAnsi="Verdana" w:cs="Arial"/>
          <w:bCs/>
          <w:color w:val="FF0000"/>
          <w:sz w:val="18"/>
          <w:szCs w:val="18"/>
        </w:rPr>
      </w:pPr>
      <w:r>
        <w:rPr>
          <w:rFonts w:ascii="Verdana" w:hAnsi="Verdana" w:cs="Arial"/>
          <w:bCs/>
          <w:color w:val="000000"/>
          <w:sz w:val="18"/>
          <w:szCs w:val="18"/>
        </w:rPr>
        <w:t xml:space="preserve">que os </w:t>
      </w:r>
      <w:r>
        <w:rPr>
          <w:rFonts w:ascii="Verdana" w:hAnsi="Verdana" w:cs="Arial"/>
          <w:sz w:val="18"/>
          <w:szCs w:val="18"/>
        </w:rPr>
        <w:t>serviços</w:t>
      </w:r>
      <w:r>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Verdana" w:hAnsi="Verdana" w:cs="Arial"/>
          <w:bCs/>
          <w:sz w:val="18"/>
          <w:szCs w:val="18"/>
        </w:rPr>
        <w:t>1991.</w:t>
      </w:r>
    </w:p>
    <w:p>
      <w:pPr>
        <w:pStyle w:val="80"/>
        <w:keepNext w:val="0"/>
        <w:widowControl/>
        <w:numPr>
          <w:ilvl w:val="1"/>
          <w:numId w:val="11"/>
        </w:numPr>
        <w:spacing w:before="120" w:after="120"/>
        <w:ind w:left="851" w:hanging="284"/>
        <w:rPr>
          <w:rFonts w:ascii="Verdana" w:hAnsi="Verdana" w:cs="Arial"/>
          <w:color w:val="000000"/>
          <w:szCs w:val="20"/>
        </w:rPr>
      </w:pPr>
      <w:bookmarkStart w:id="3" w:name="_Hlk95641759"/>
      <w:r>
        <w:rPr>
          <w:rFonts w:ascii="Verdana" w:hAnsi="Verdana" w:cs="Arial"/>
          <w:color w:val="000000"/>
          <w:szCs w:val="20"/>
        </w:rPr>
        <w:t>A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bookmarkEnd w:id="3"/>
    </w:p>
    <w:p>
      <w:pPr>
        <w:pStyle w:val="80"/>
        <w:keepNext w:val="0"/>
        <w:widowControl/>
        <w:numPr>
          <w:ilvl w:val="1"/>
          <w:numId w:val="11"/>
        </w:numPr>
        <w:spacing w:before="120" w:after="120"/>
        <w:ind w:left="851" w:hanging="284"/>
        <w:rPr>
          <w:rFonts w:ascii="Verdana" w:hAnsi="Verdana" w:cs="Arial"/>
          <w:color w:val="000000"/>
          <w:szCs w:val="20"/>
        </w:rPr>
      </w:pPr>
      <w:r>
        <w:rPr>
          <w:rFonts w:ascii="Verdana" w:hAnsi="Verdana" w:cs="Arial"/>
          <w:color w:val="000000"/>
          <w:szCs w:val="20"/>
        </w:rPr>
        <w:t>A declaração falsa relativa ao cumprimento de qualquer condição sujeitará a licitante às sanções previstas em lei e neste Edital.</w:t>
      </w:r>
    </w:p>
    <w:p>
      <w:pPr>
        <w:pStyle w:val="80"/>
        <w:keepNext w:val="0"/>
        <w:widowControl/>
        <w:spacing w:before="120" w:after="120"/>
        <w:ind w:firstLine="0"/>
        <w:rPr>
          <w:rFonts w:ascii="Verdana" w:hAnsi="Verdana" w:cs="Arial"/>
          <w:i/>
          <w:iCs/>
          <w:color w:val="FF0000"/>
          <w:szCs w:val="20"/>
        </w:rPr>
      </w:pPr>
    </w:p>
    <w:p>
      <w:pPr>
        <w:pStyle w:val="80"/>
        <w:keepNext w:val="0"/>
        <w:widowControl/>
        <w:numPr>
          <w:ilvl w:val="0"/>
          <w:numId w:val="6"/>
        </w:numPr>
        <w:spacing w:before="120" w:after="120"/>
        <w:ind w:left="0" w:firstLine="0"/>
        <w:rPr>
          <w:rFonts w:ascii="Verdana" w:hAnsi="Verdana" w:cs="Arial"/>
          <w:b/>
          <w:bCs/>
          <w:szCs w:val="20"/>
        </w:rPr>
      </w:pPr>
      <w:r>
        <w:rPr>
          <w:rFonts w:ascii="Verdana" w:hAnsi="Verdana" w:cs="Arial"/>
          <w:b/>
          <w:bCs/>
          <w:szCs w:val="20"/>
        </w:rPr>
        <w:t xml:space="preserve">DA SUBCONTRATAÇÃO </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iCs/>
          <w:szCs w:val="20"/>
        </w:rPr>
        <w:t>Será permitida a subcontratação do objeto licitado, na forma do Termo de Referência anexo a este Edital.</w:t>
      </w:r>
    </w:p>
    <w:p>
      <w:pPr>
        <w:pStyle w:val="80"/>
        <w:keepNext w:val="0"/>
        <w:widowControl/>
        <w:spacing w:before="120" w:after="120"/>
        <w:ind w:left="375" w:firstLine="0"/>
        <w:rPr>
          <w:rFonts w:ascii="Verdana" w:hAnsi="Verdana" w:cs="Arial"/>
          <w:b/>
          <w:bCs/>
          <w:szCs w:val="20"/>
        </w:rPr>
      </w:pPr>
    </w:p>
    <w:p>
      <w:pPr>
        <w:pStyle w:val="80"/>
        <w:keepNext w:val="0"/>
        <w:widowControl/>
        <w:numPr>
          <w:ilvl w:val="0"/>
          <w:numId w:val="6"/>
        </w:numPr>
        <w:spacing w:before="120" w:after="120"/>
        <w:rPr>
          <w:rFonts w:ascii="Verdana" w:hAnsi="Verdana" w:cs="Arial"/>
          <w:b/>
          <w:bCs/>
          <w:szCs w:val="20"/>
        </w:rPr>
      </w:pPr>
      <w:r>
        <w:rPr>
          <w:rFonts w:ascii="Verdana" w:hAnsi="Verdana" w:cs="Arial"/>
          <w:b/>
          <w:color w:val="000000"/>
          <w:szCs w:val="20"/>
        </w:rPr>
        <w:t>DO ENVIO DA PROPOSTA</w:t>
      </w:r>
    </w:p>
    <w:p>
      <w:pPr>
        <w:pStyle w:val="80"/>
        <w:keepNext w:val="0"/>
        <w:widowControl/>
        <w:numPr>
          <w:ilvl w:val="1"/>
          <w:numId w:val="6"/>
        </w:numPr>
        <w:spacing w:before="120" w:after="120"/>
        <w:ind w:left="851" w:hanging="284"/>
        <w:rPr>
          <w:rStyle w:val="10"/>
          <w:rFonts w:ascii="Verdana" w:hAnsi="Verdana" w:cs="Arial"/>
          <w:b/>
          <w:bCs/>
          <w:sz w:val="20"/>
          <w:szCs w:val="20"/>
        </w:rPr>
      </w:pPr>
      <w:r>
        <w:rPr>
          <w:rFonts w:ascii="Verdana" w:hAnsi="Verdana" w:cs="Arial"/>
          <w:color w:val="000000"/>
          <w:szCs w:val="20"/>
        </w:rPr>
        <w:t>A licitante deverá encaminhar a proposta por meio do sistema eletrônico até a data e horário marcado para abertura da sessão, quando, então, encerrar-se-á automaticamente a fase de recebimento de propostas.</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color w:val="000000"/>
          <w:szCs w:val="20"/>
        </w:rPr>
        <w:t>A licitante será responsável por todas as transações que forem efetuadas em seu nome no sistema eletrônico, assumindo como firmes e verdadeiras suas propostas e lances.</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color w:val="000000"/>
          <w:szCs w:val="20"/>
        </w:rPr>
        <w:t>Incumbirá a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szCs w:val="20"/>
        </w:rPr>
        <w:t>Até a abertura da sessão, as licitantes poderão retirar ou substituir as propostas apresentadas. A licitante deverá enviar sua proposta mediante o preenchimento, no sistema eletrônico, dos seguintes campos:</w:t>
      </w: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valor do desconto percentual a incidir sobre o valor estimado pela Administração, utilizando até 04 (quatro) casas decimais para evitar correções futuras na PROPOSTA DE PREÇOS;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descrição detalhada do objeto, conforme discriminado no preâmbulo deste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encaminhar sua proposta comercial exclusivamente por meio do sistema eletrônico COMPRASNET, até a data e horário marcado para abertura da sessão, quando então encerrar-se-á automaticamente a fase de recebimento de propostas.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Ao encaminhar sua proposta, a licitante pressupõe o pleno conhecimento e atendimento das exigências de habilitação e de todas as</w:t>
      </w:r>
      <w:r>
        <w:rPr>
          <w:rFonts w:ascii="Verdana" w:hAnsi="Verdana"/>
          <w:sz w:val="20"/>
          <w:szCs w:val="20"/>
        </w:rPr>
        <w:t xml:space="preserve"> </w:t>
      </w:r>
      <w:r>
        <w:rPr>
          <w:rFonts w:ascii="Verdana" w:hAnsi="Verdana" w:cs="Times-Roman"/>
          <w:sz w:val="20"/>
          <w:szCs w:val="20"/>
        </w:rPr>
        <w:t>condições estabelecidas previstas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para fins de elaboração da proposta, verificar e comparar todos os dados fornecidos nos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No caso de falhas, erros, discrepâncias ou omissões, bem como transgressões às normas</w:t>
      </w:r>
      <w:r>
        <w:rPr>
          <w:rFonts w:ascii="Verdana" w:hAnsi="Verdana"/>
          <w:sz w:val="20"/>
          <w:szCs w:val="20"/>
        </w:rPr>
        <w:t xml:space="preserve"> </w:t>
      </w:r>
      <w:r>
        <w:rPr>
          <w:rFonts w:ascii="Verdana" w:hAnsi="Verdana" w:cs="Times-Roman"/>
          <w:sz w:val="20"/>
          <w:szCs w:val="20"/>
        </w:rPr>
        <w:t>técnicas, regulamentos ou posturas, caberá a licitante formular imediata comunicação escrita à COMISSÃO DO RDC,</w:t>
      </w:r>
      <w:r>
        <w:rPr>
          <w:rFonts w:ascii="Verdana" w:hAnsi="Verdana"/>
          <w:sz w:val="20"/>
          <w:szCs w:val="20"/>
        </w:rPr>
        <w:t xml:space="preserve"> </w:t>
      </w:r>
      <w:r>
        <w:rPr>
          <w:rFonts w:ascii="Verdana" w:hAnsi="Verdana" w:cs="Times-Roman"/>
          <w:sz w:val="20"/>
          <w:szCs w:val="20"/>
        </w:rPr>
        <w:t>no prazo e momento estabelecidos neste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elaborar sua proposta levando em consideração que as obras e serviços objetos desta</w:t>
      </w:r>
      <w:r>
        <w:rPr>
          <w:rFonts w:ascii="Verdana" w:hAnsi="Verdana"/>
          <w:sz w:val="20"/>
          <w:szCs w:val="20"/>
        </w:rPr>
        <w:t xml:space="preserve"> </w:t>
      </w:r>
      <w:r>
        <w:rPr>
          <w:rFonts w:ascii="Verdana" w:hAnsi="Verdana" w:cs="Times-Roman"/>
          <w:sz w:val="20"/>
          <w:szCs w:val="20"/>
        </w:rPr>
        <w:t>licitação, devem ser entregues por completo. Em consequência, ficará a cargo da licitante, prever qualquer</w:t>
      </w:r>
      <w:r>
        <w:rPr>
          <w:rFonts w:ascii="Verdana" w:hAnsi="Verdana"/>
          <w:sz w:val="20"/>
          <w:szCs w:val="20"/>
        </w:rPr>
        <w:t xml:space="preserve"> </w:t>
      </w:r>
      <w:r>
        <w:rPr>
          <w:rFonts w:ascii="Verdana" w:hAnsi="Verdana" w:cs="Times-Roman"/>
          <w:sz w:val="20"/>
          <w:szCs w:val="20"/>
        </w:rPr>
        <w:t>serviço ou material necessário, mesmo quando não expressamente indicado no orçamento estimado em</w:t>
      </w:r>
      <w:r>
        <w:rPr>
          <w:rFonts w:ascii="Verdana" w:hAnsi="Verdana"/>
          <w:sz w:val="20"/>
          <w:szCs w:val="20"/>
        </w:rPr>
        <w:t xml:space="preserve"> </w:t>
      </w:r>
      <w:r>
        <w:rPr>
          <w:rFonts w:ascii="Verdana" w:hAnsi="Verdana" w:cs="Times-Roman"/>
          <w:sz w:val="20"/>
          <w:szCs w:val="20"/>
        </w:rPr>
        <w:t xml:space="preserve">planilhas de quantitativos e preços unitários, </w:t>
      </w:r>
      <w:r>
        <w:rPr>
          <w:rFonts w:ascii="Verdana" w:hAnsi="Verdana" w:cs="Times-Bold"/>
          <w:bCs/>
          <w:sz w:val="20"/>
          <w:szCs w:val="20"/>
        </w:rPr>
        <w:t>não lhe cabendo, posteriormente, quaisquer acréscimos de</w:t>
      </w:r>
      <w:r>
        <w:rPr>
          <w:rFonts w:ascii="Verdana" w:hAnsi="Verdana"/>
          <w:sz w:val="20"/>
          <w:szCs w:val="20"/>
        </w:rPr>
        <w:t xml:space="preserve"> </w:t>
      </w:r>
      <w:r>
        <w:rPr>
          <w:rFonts w:ascii="Verdana" w:hAnsi="Verdana" w:cs="Times-Bold"/>
          <w:bCs/>
          <w:sz w:val="20"/>
          <w:szCs w:val="20"/>
        </w:rPr>
        <w:t>pagamentos decorrentes, caso não tenha se manifestado expressamente</w:t>
      </w:r>
      <w:r>
        <w:rPr>
          <w:rFonts w:ascii="Verdana" w:hAnsi="Verdana" w:cs="Times-Roman"/>
          <w:sz w:val="20"/>
          <w:szCs w:val="20"/>
        </w:rPr>
        <w:t>, indicando as divergências</w:t>
      </w:r>
      <w:r>
        <w:rPr>
          <w:rFonts w:ascii="Verdana" w:hAnsi="Verdana"/>
          <w:sz w:val="20"/>
          <w:szCs w:val="20"/>
        </w:rPr>
        <w:t xml:space="preserve"> </w:t>
      </w:r>
      <w:r>
        <w:rPr>
          <w:rFonts w:ascii="Verdana" w:hAnsi="Verdana" w:cs="Times-Roman"/>
          <w:sz w:val="20"/>
          <w:szCs w:val="20"/>
        </w:rPr>
        <w:t>encontradas entre as planilhas, projetos e especificações.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Bold"/>
          <w:bCs/>
          <w:sz w:val="20"/>
          <w:szCs w:val="20"/>
        </w:rPr>
        <w:t>A falta da comunicação referida implicará a aceitação tácita das especificações e</w:t>
      </w:r>
      <w:r>
        <w:rPr>
          <w:rFonts w:ascii="Verdana" w:hAnsi="Verdana"/>
          <w:sz w:val="20"/>
          <w:szCs w:val="20"/>
        </w:rPr>
        <w:t xml:space="preserve"> </w:t>
      </w:r>
      <w:r>
        <w:rPr>
          <w:rFonts w:ascii="Verdana" w:hAnsi="Verdana" w:cs="Times-Bold"/>
          <w:bCs/>
          <w:sz w:val="20"/>
          <w:szCs w:val="20"/>
        </w:rPr>
        <w:t>documentações técnicas fornecidas</w:t>
      </w:r>
      <w:r>
        <w:rPr>
          <w:rFonts w:ascii="Verdana" w:hAnsi="Verdana" w:cs="Times-Roman"/>
          <w:sz w:val="20"/>
          <w:szCs w:val="20"/>
        </w:rPr>
        <w:t>.</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Uma vez iniciada a sessão de lances, não serão permitidas quaisquer retificações que possam influir no resultado desta licitação, ressalvados ajustes do valor final após eventual negociação e/ou desempate de ME/EPP.</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proposta deverá ser elaborada de acordo com os preços praticados no mercado e conforme as</w:t>
      </w:r>
      <w:r>
        <w:rPr>
          <w:rFonts w:ascii="Verdana" w:hAnsi="Verdana"/>
          <w:sz w:val="20"/>
          <w:szCs w:val="20"/>
        </w:rPr>
        <w:t xml:space="preserve"> </w:t>
      </w:r>
      <w:r>
        <w:rPr>
          <w:rFonts w:ascii="Verdana" w:hAnsi="Verdana" w:cs="Times-Roman"/>
          <w:sz w:val="20"/>
          <w:szCs w:val="20"/>
        </w:rPr>
        <w:t>especificações contidas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As propostas serão de exclusiva responsabilidade da licitante, não lhe assistindo o direito de pleitear</w:t>
      </w:r>
      <w:r>
        <w:rPr>
          <w:rFonts w:ascii="Verdana" w:hAnsi="Verdana"/>
          <w:sz w:val="20"/>
          <w:szCs w:val="20"/>
        </w:rPr>
        <w:t xml:space="preserve"> </w:t>
      </w:r>
      <w:r>
        <w:rPr>
          <w:rFonts w:ascii="Verdana" w:hAnsi="Verdana" w:cs="Times-Roman"/>
          <w:sz w:val="20"/>
          <w:szCs w:val="20"/>
        </w:rPr>
        <w:t>qualquer alteração sob alegação de erro, omissão ou qualquer outro pretexto.</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Bold"/>
          <w:bCs/>
          <w:sz w:val="20"/>
          <w:szCs w:val="20"/>
        </w:rPr>
        <w:t xml:space="preserve">A licitante deverá levar em conta que </w:t>
      </w:r>
      <w:r>
        <w:rPr>
          <w:rFonts w:ascii="Verdana" w:hAnsi="Verdana" w:cs="Times-Bold"/>
          <w:bCs/>
          <w:sz w:val="20"/>
          <w:szCs w:val="20"/>
          <w:u w:val="single"/>
        </w:rPr>
        <w:t>o percentual de desconto apresentado deverá</w:t>
      </w:r>
      <w:r>
        <w:rPr>
          <w:rFonts w:ascii="Verdana" w:hAnsi="Verdana"/>
          <w:sz w:val="20"/>
          <w:szCs w:val="20"/>
          <w:u w:val="single"/>
        </w:rPr>
        <w:t xml:space="preserve"> </w:t>
      </w:r>
      <w:r>
        <w:rPr>
          <w:rFonts w:ascii="Verdana" w:hAnsi="Verdana" w:cs="Times-Bold"/>
          <w:bCs/>
          <w:sz w:val="20"/>
          <w:szCs w:val="20"/>
          <w:u w:val="single"/>
        </w:rPr>
        <w:t>incidir igualmente sobre os preços de todos os itens do orçamento estimado</w:t>
      </w:r>
      <w:r>
        <w:rPr>
          <w:rFonts w:ascii="Verdana" w:hAnsi="Verdana" w:cs="Times-Bold"/>
          <w:bCs/>
          <w:sz w:val="20"/>
          <w:szCs w:val="20"/>
        </w:rPr>
        <w:t>, constante da planilha de custos e formação de preços anexa a 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O valor do desconto proposto é de inteira responsabilidade da licitante, não lhe cabendo o</w:t>
      </w:r>
      <w:r>
        <w:rPr>
          <w:rFonts w:ascii="Verdana" w:hAnsi="Verdana"/>
          <w:sz w:val="20"/>
          <w:szCs w:val="20"/>
        </w:rPr>
        <w:t xml:space="preserve"> </w:t>
      </w:r>
      <w:r>
        <w:rPr>
          <w:rFonts w:ascii="Verdana" w:hAnsi="Verdana" w:cs="Times-Roman"/>
          <w:sz w:val="20"/>
          <w:szCs w:val="20"/>
        </w:rPr>
        <w:t>direito de pleitear qualquer alteração do mesmo, sob a alegação de erro, omissão ou qualquer outro</w:t>
      </w:r>
      <w:r>
        <w:rPr>
          <w:rFonts w:ascii="Verdana" w:hAnsi="Verdana"/>
          <w:sz w:val="20"/>
          <w:szCs w:val="20"/>
        </w:rPr>
        <w:t xml:space="preserve"> </w:t>
      </w:r>
      <w:r>
        <w:rPr>
          <w:rFonts w:ascii="Verdana" w:hAnsi="Verdana" w:cs="Times-Roman"/>
          <w:sz w:val="20"/>
          <w:szCs w:val="20"/>
        </w:rPr>
        <w:t>pretexto.</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Se, no desconto ofertado, incorrer a omissão de qualquer despesa necessária ao perfeito</w:t>
      </w:r>
      <w:r>
        <w:rPr>
          <w:rFonts w:ascii="Verdana" w:hAnsi="Verdana"/>
          <w:sz w:val="20"/>
          <w:szCs w:val="20"/>
        </w:rPr>
        <w:t xml:space="preserve"> </w:t>
      </w:r>
      <w:r>
        <w:rPr>
          <w:rFonts w:ascii="Verdana" w:hAnsi="Verdana" w:cs="Times-Roman"/>
          <w:sz w:val="20"/>
          <w:szCs w:val="20"/>
        </w:rPr>
        <w:t>cumprimento do objeto deste RDC, esta será interpretada como inexistente ou já incluída no valor da</w:t>
      </w:r>
      <w:r>
        <w:rPr>
          <w:rFonts w:ascii="Verdana" w:hAnsi="Verdana"/>
          <w:sz w:val="20"/>
          <w:szCs w:val="20"/>
        </w:rPr>
        <w:t xml:space="preserve"> </w:t>
      </w:r>
      <w:r>
        <w:rPr>
          <w:rFonts w:ascii="Verdana" w:hAnsi="Verdana" w:cs="Times-Roman"/>
          <w:sz w:val="20"/>
          <w:szCs w:val="20"/>
        </w:rPr>
        <w:t>proposta, não podendo a licitante pleitear acrescimento após a abertura da sessão pública.</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No momento do envio da proposta comercial, a licitante deverá declarar, em campo próprio do</w:t>
      </w:r>
      <w:r>
        <w:rPr>
          <w:rFonts w:ascii="Verdana" w:hAnsi="Verdana"/>
          <w:sz w:val="20"/>
          <w:szCs w:val="20"/>
        </w:rPr>
        <w:t xml:space="preserve"> </w:t>
      </w:r>
      <w:r>
        <w:rPr>
          <w:rFonts w:ascii="Verdana" w:hAnsi="Verdana" w:cs="Times-Roman"/>
          <w:sz w:val="20"/>
          <w:szCs w:val="20"/>
        </w:rPr>
        <w:t>sistema eletrônico, o seguinte:</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até a presente data inexistem fatos impeditivos de habilitação, ciente da</w:t>
      </w:r>
      <w:r>
        <w:rPr>
          <w:rFonts w:ascii="Verdana" w:hAnsi="Verdana"/>
          <w:sz w:val="18"/>
          <w:szCs w:val="18"/>
        </w:rPr>
        <w:t xml:space="preserve"> </w:t>
      </w:r>
      <w:r>
        <w:rPr>
          <w:rFonts w:ascii="Verdana" w:hAnsi="Verdana" w:cs="Times-Bold"/>
          <w:bCs/>
          <w:sz w:val="18"/>
          <w:szCs w:val="18"/>
        </w:rPr>
        <w:t>obrigatoriedade de declarar ocorrências posteriores;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está ciente e concorda com todas as condições contidas no Edital e seus Anexos, bem</w:t>
      </w:r>
      <w:r>
        <w:rPr>
          <w:rFonts w:ascii="Verdana" w:hAnsi="Verdana"/>
          <w:sz w:val="18"/>
          <w:szCs w:val="18"/>
        </w:rPr>
        <w:t xml:space="preserve"> </w:t>
      </w:r>
      <w:r>
        <w:rPr>
          <w:rFonts w:ascii="Verdana" w:hAnsi="Verdana" w:cs="Times-Bold"/>
          <w:bCs/>
          <w:sz w:val="18"/>
          <w:szCs w:val="18"/>
        </w:rPr>
        <w:t>como que cumpre plenamente os requisitos de habilitação definidos no Edital;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 proposta comercial foi elaborada de forma independente, de acordo com que é</w:t>
      </w:r>
      <w:r>
        <w:rPr>
          <w:rFonts w:ascii="Verdana" w:hAnsi="Verdana"/>
          <w:sz w:val="18"/>
          <w:szCs w:val="18"/>
        </w:rPr>
        <w:t xml:space="preserve"> </w:t>
      </w:r>
      <w:r>
        <w:rPr>
          <w:rFonts w:ascii="Verdana" w:hAnsi="Verdana" w:cs="Times-Bold"/>
          <w:bCs/>
          <w:sz w:val="18"/>
          <w:szCs w:val="18"/>
        </w:rPr>
        <w:t>estabelecido na Instrução Normativa nº 2, de 16 de setembro de 2009, do SLTI/MPOG;</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emprega menores de 18 (dezoito) anos em trabalho noturno, perigoso ou</w:t>
      </w:r>
      <w:r>
        <w:rPr>
          <w:rFonts w:ascii="Verdana" w:hAnsi="Verdana"/>
          <w:sz w:val="18"/>
          <w:szCs w:val="18"/>
        </w:rPr>
        <w:t xml:space="preserve"> </w:t>
      </w:r>
      <w:r>
        <w:rPr>
          <w:rFonts w:ascii="Verdana" w:hAnsi="Verdana" w:cs="Times-Bold"/>
          <w:bCs/>
          <w:sz w:val="18"/>
          <w:szCs w:val="18"/>
        </w:rPr>
        <w:t>insalubre, e que não emprega menores de 16 (dezesseis) anos em qualquer trabalho, salvo</w:t>
      </w:r>
      <w:r>
        <w:rPr>
          <w:rFonts w:ascii="Verdana" w:hAnsi="Verdana"/>
          <w:sz w:val="18"/>
          <w:szCs w:val="18"/>
        </w:rPr>
        <w:t xml:space="preserve"> </w:t>
      </w:r>
      <w:r>
        <w:rPr>
          <w:rFonts w:ascii="Verdana" w:hAnsi="Verdana" w:cs="Times-Bold"/>
          <w:bCs/>
          <w:sz w:val="18"/>
          <w:szCs w:val="18"/>
        </w:rPr>
        <w:t>na condição de aprendizes, a partir de 14 (quatorze) anos, nos termos do inciso XXXIII do</w:t>
      </w:r>
      <w:r>
        <w:rPr>
          <w:rFonts w:ascii="Verdana" w:hAnsi="Verdana"/>
          <w:sz w:val="18"/>
          <w:szCs w:val="18"/>
        </w:rPr>
        <w:t xml:space="preserve"> </w:t>
      </w:r>
      <w:r>
        <w:rPr>
          <w:rFonts w:ascii="Verdana" w:hAnsi="Verdana" w:cs="Times-Bold"/>
          <w:bCs/>
          <w:sz w:val="18"/>
          <w:szCs w:val="18"/>
        </w:rPr>
        <w:t>art. 7º da 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possui, em sua cadeia produtiva, empregado executando trabalho degradante ou</w:t>
      </w:r>
      <w:r>
        <w:rPr>
          <w:rFonts w:ascii="Verdana" w:hAnsi="Verdana"/>
          <w:sz w:val="18"/>
          <w:szCs w:val="18"/>
        </w:rPr>
        <w:t xml:space="preserve"> </w:t>
      </w:r>
      <w:r>
        <w:rPr>
          <w:rFonts w:ascii="Verdana" w:hAnsi="Verdana" w:cs="Times-Bold"/>
          <w:bCs/>
          <w:sz w:val="18"/>
          <w:szCs w:val="18"/>
        </w:rPr>
        <w:t>forçado, observando o disposto nos incisos III e IV do art. 1º e no inciso III do art. 5º da</w:t>
      </w:r>
      <w:r>
        <w:rPr>
          <w:rFonts w:ascii="Verdana" w:hAnsi="Verdana"/>
          <w:sz w:val="18"/>
          <w:szCs w:val="18"/>
        </w:rPr>
        <w:t xml:space="preserve"> </w:t>
      </w:r>
      <w:r>
        <w:rPr>
          <w:rFonts w:ascii="Verdana" w:hAnsi="Verdana" w:cs="Times-Bold"/>
          <w:bCs/>
          <w:sz w:val="18"/>
          <w:szCs w:val="18"/>
        </w:rPr>
        <w:t>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cumpre a cota de aprendizagem, estabelecida no art. 429, da Consolidação das Leis</w:t>
      </w:r>
      <w:r>
        <w:rPr>
          <w:rFonts w:ascii="Verdana" w:hAnsi="Verdana"/>
          <w:sz w:val="18"/>
          <w:szCs w:val="18"/>
        </w:rPr>
        <w:t xml:space="preserve"> </w:t>
      </w:r>
      <w:r>
        <w:rPr>
          <w:rFonts w:ascii="Verdana" w:hAnsi="Verdana" w:cs="Times-Bold"/>
          <w:bCs/>
          <w:sz w:val="18"/>
          <w:szCs w:val="18"/>
        </w:rPr>
        <w:t>do Trabalho (CLT).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 xml:space="preserve">Na fase de habilitação, a Comissão do RDC verificará no sistema eletrônico as declarações a que se referem as </w:t>
      </w:r>
      <w:r>
        <w:rPr>
          <w:rFonts w:ascii="Verdana" w:hAnsi="Verdana" w:cs="Times-Bold"/>
          <w:bCs/>
          <w:sz w:val="20"/>
          <w:szCs w:val="20"/>
        </w:rPr>
        <w:t>alíneas anteriores</w:t>
      </w:r>
      <w:r>
        <w:rPr>
          <w:rFonts w:ascii="Verdana" w:hAnsi="Verdana" w:cs="Times-Roman"/>
          <w:sz w:val="20"/>
          <w:szCs w:val="20"/>
        </w:rPr>
        <w:t xml:space="preserve">, sendo que </w:t>
      </w:r>
      <w:r>
        <w:rPr>
          <w:rFonts w:ascii="Verdana" w:hAnsi="Verdana" w:cs="Times-Roman"/>
          <w:sz w:val="20"/>
          <w:szCs w:val="20"/>
          <w:u w:val="single"/>
        </w:rPr>
        <w:t>não há a necessidade do</w:t>
      </w:r>
      <w:r>
        <w:rPr>
          <w:rFonts w:ascii="Verdana" w:hAnsi="Verdana"/>
          <w:sz w:val="20"/>
          <w:szCs w:val="20"/>
          <w:u w:val="single"/>
        </w:rPr>
        <w:t xml:space="preserve"> </w:t>
      </w:r>
      <w:r>
        <w:rPr>
          <w:rFonts w:ascii="Verdana" w:hAnsi="Verdana" w:cs="Times-Roman"/>
          <w:sz w:val="20"/>
          <w:szCs w:val="20"/>
          <w:u w:val="single"/>
        </w:rPr>
        <w:t>encaminhamento delas por e-mail ou qualquer outro meio</w:t>
      </w:r>
      <w:r>
        <w:rPr>
          <w:rFonts w:ascii="Verdana" w:hAnsi="Verdana" w:cs="Times-Roman"/>
          <w:sz w:val="20"/>
          <w:szCs w:val="20"/>
        </w:rPr>
        <w: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Em caso de declarações falsas, a licitante estará sujeita à tipificação no crime de falsidade</w:t>
      </w:r>
      <w:r>
        <w:rPr>
          <w:rFonts w:ascii="Verdana" w:hAnsi="Verdana"/>
          <w:sz w:val="20"/>
          <w:szCs w:val="20"/>
        </w:rPr>
        <w:t xml:space="preserve"> </w:t>
      </w:r>
      <w:r>
        <w:rPr>
          <w:rFonts w:ascii="Verdana" w:hAnsi="Verdana" w:cs="Times-Roman"/>
          <w:sz w:val="20"/>
          <w:szCs w:val="20"/>
        </w:rPr>
        <w:t>ideológica, nos termos do art. 299 do Decreto-Lei nº 2.848/40 (Código Penal Brasileiro), bem como</w:t>
      </w:r>
      <w:r>
        <w:rPr>
          <w:rFonts w:ascii="Verdana" w:hAnsi="Verdana"/>
          <w:sz w:val="20"/>
          <w:szCs w:val="20"/>
        </w:rPr>
        <w:t xml:space="preserve"> </w:t>
      </w:r>
      <w:r>
        <w:rPr>
          <w:rFonts w:ascii="Verdana" w:hAnsi="Verdana" w:cs="Times-Roman"/>
          <w:sz w:val="20"/>
          <w:szCs w:val="20"/>
        </w:rPr>
        <w:t>nos crimes previstos nos arts. 90 a 93 da Lei nº 8.666/93, sem prejuízo de punição administrativa,</w:t>
      </w:r>
      <w:r>
        <w:rPr>
          <w:rFonts w:ascii="Verdana" w:hAnsi="Verdana"/>
          <w:sz w:val="20"/>
          <w:szCs w:val="20"/>
        </w:rPr>
        <w:t xml:space="preserve"> </w:t>
      </w:r>
      <w:r>
        <w:rPr>
          <w:rFonts w:ascii="Verdana" w:hAnsi="Verdana" w:cs="Times-Roman"/>
          <w:sz w:val="20"/>
          <w:szCs w:val="20"/>
        </w:rPr>
        <w:t>conforme 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Até o horário marcado neste Edital para abertura da sessão de lances, as licitantes poderão retirar ou</w:t>
      </w:r>
      <w:r>
        <w:rPr>
          <w:rFonts w:ascii="Verdana" w:hAnsi="Verdana"/>
          <w:sz w:val="20"/>
          <w:szCs w:val="20"/>
        </w:rPr>
        <w:t xml:space="preserve"> </w:t>
      </w:r>
      <w:r>
        <w:rPr>
          <w:rFonts w:ascii="Verdana" w:hAnsi="Verdana" w:cs="Times-Roman"/>
          <w:sz w:val="20"/>
          <w:szCs w:val="20"/>
        </w:rPr>
        <w:t>substituir a proposta anteriormente apresentada.</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Depois do início da sessão de abertura, não caberá desistência da proposta, salvo por motivo justo,</w:t>
      </w:r>
      <w:r>
        <w:rPr>
          <w:rFonts w:ascii="Verdana" w:hAnsi="Verdana"/>
          <w:sz w:val="20"/>
          <w:szCs w:val="20"/>
        </w:rPr>
        <w:t xml:space="preserve"> </w:t>
      </w:r>
      <w:r>
        <w:rPr>
          <w:rFonts w:ascii="Verdana" w:hAnsi="Verdana" w:cs="Times-Roman"/>
          <w:sz w:val="20"/>
          <w:szCs w:val="20"/>
        </w:rPr>
        <w:t>decorrente de fato superveniente, devidamente motivado e comprovado, a ser avaliado pela Comissão do RDC.</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Se, após o término da fase competitiva, a licitante solicitar pedido de desclassificação de sua proposta</w:t>
      </w:r>
      <w:r>
        <w:rPr>
          <w:rFonts w:ascii="Verdana" w:hAnsi="Verdana"/>
          <w:sz w:val="20"/>
          <w:szCs w:val="20"/>
        </w:rPr>
        <w:t xml:space="preserve"> </w:t>
      </w:r>
      <w:r>
        <w:rPr>
          <w:rFonts w:ascii="Verdana" w:hAnsi="Verdana" w:cs="Times-Roman"/>
          <w:sz w:val="20"/>
          <w:szCs w:val="20"/>
        </w:rPr>
        <w:t>ou lance, poderá ela ser submetida a processo administrativo, para apuração da sua responsabilidade quanto à</w:t>
      </w:r>
      <w:r>
        <w:rPr>
          <w:rFonts w:ascii="Verdana" w:hAnsi="Verdana"/>
          <w:sz w:val="20"/>
          <w:szCs w:val="20"/>
        </w:rPr>
        <w:t xml:space="preserve"> </w:t>
      </w:r>
      <w:r>
        <w:rPr>
          <w:rFonts w:ascii="Verdana" w:hAnsi="Verdana" w:cs="Times-Roman"/>
          <w:sz w:val="20"/>
          <w:szCs w:val="20"/>
        </w:rPr>
        <w:t>oferta de lance e posterior desistência ou o não encaminhamento da proposta quando solicitada, observadas,</w:t>
      </w:r>
      <w:r>
        <w:rPr>
          <w:rFonts w:ascii="Verdana" w:hAnsi="Verdana"/>
          <w:sz w:val="20"/>
          <w:szCs w:val="20"/>
        </w:rPr>
        <w:t xml:space="preserve"> </w:t>
      </w:r>
      <w:r>
        <w:rPr>
          <w:rFonts w:ascii="Verdana" w:hAnsi="Verdana" w:cs="Times-Roman"/>
          <w:sz w:val="20"/>
          <w:szCs w:val="20"/>
        </w:rPr>
        <w:t>ainda, as sanções administrativas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A não desclassificação da proposta não impede o seu julgamento definitivo em sentido contrário,</w:t>
      </w:r>
      <w:r>
        <w:rPr>
          <w:rFonts w:ascii="Verdana" w:hAnsi="Verdana"/>
          <w:sz w:val="20"/>
          <w:szCs w:val="20"/>
        </w:rPr>
        <w:t xml:space="preserve"> </w:t>
      </w:r>
      <w:r>
        <w:rPr>
          <w:rFonts w:ascii="Verdana" w:hAnsi="Verdana" w:cs="Times-Roman"/>
          <w:sz w:val="20"/>
          <w:szCs w:val="20"/>
        </w:rPr>
        <w:t>levado a efeito na fase de aceitação.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Não serão aceitas reclamações posteriores relativamente às propostas, sem que tenham sido devidamente registradas em campo próprio do sistema eletrônico, no momento oportuno, salvo se previsto</w:t>
      </w:r>
      <w:r>
        <w:rPr>
          <w:rFonts w:ascii="Verdana" w:hAnsi="Verdana"/>
          <w:sz w:val="20"/>
          <w:szCs w:val="20"/>
        </w:rPr>
        <w:t xml:space="preserve"> </w:t>
      </w:r>
      <w:r>
        <w:rPr>
          <w:rFonts w:ascii="Verdana" w:hAnsi="Verdana" w:cs="Times-Roman"/>
          <w:sz w:val="20"/>
          <w:szCs w:val="20"/>
        </w:rPr>
        <w:t>em Lei.</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Todas as propostas comerciais ficarão disponíveis no sistema eletrônico COMPRASNET.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Qualquer elemento que possa identificar a licitante até o término da fase de lances, implicará a desclassificação da proposta</w:t>
      </w:r>
      <w:r>
        <w:rPr>
          <w:rFonts w:ascii="Verdana" w:hAnsi="Verdana"/>
          <w:sz w:val="20"/>
          <w:szCs w:val="20"/>
        </w:rPr>
        <w:t xml:space="preserve"> </w:t>
      </w:r>
      <w:r>
        <w:rPr>
          <w:rFonts w:ascii="Verdana" w:hAnsi="Verdana" w:cs="Times-Roman"/>
          <w:sz w:val="20"/>
          <w:szCs w:val="20"/>
        </w:rPr>
        <w:t>comercial, sem prejuízo das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 licitante deve respeitar os preços máximos estabelecidos nas normas de regência de contratações públicas federais, quando participar de licitações públicas;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color w:val="000000"/>
          <w:sz w:val="18"/>
          <w:szCs w:val="18"/>
        </w:rPr>
        <w:t>O descumprimento das regras supramencionadas pela Administração, por parte das contratadas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color w:val="000000"/>
          <w:sz w:val="20"/>
          <w:szCs w:val="20"/>
        </w:rPr>
        <w:t>A verificação de conformidade das propostas será feita exclusivamente em relação à proposta mais bem classificada, após a fase de disputas, nos termos do art. 24, §1º da Lei nº 12.462/11.</w:t>
      </w:r>
    </w:p>
    <w:p>
      <w:pPr>
        <w:pStyle w:val="80"/>
        <w:keepNext w:val="0"/>
        <w:widowControl/>
        <w:spacing w:before="120" w:after="120"/>
        <w:ind w:left="425" w:firstLine="0"/>
        <w:rPr>
          <w:rFonts w:ascii="Verdana" w:hAnsi="Verdana" w:cs="Arial"/>
          <w:szCs w:val="20"/>
        </w:rPr>
      </w:pPr>
    </w:p>
    <w:p>
      <w:pPr>
        <w:pStyle w:val="80"/>
        <w:keepNext w:val="0"/>
        <w:numPr>
          <w:ilvl w:val="0"/>
          <w:numId w:val="13"/>
        </w:numPr>
        <w:rPr>
          <w:rFonts w:ascii="Verdana" w:hAnsi="Verdana" w:cs="Arial"/>
          <w:szCs w:val="20"/>
        </w:rPr>
      </w:pPr>
      <w:bookmarkStart w:id="4" w:name="_Hlk505081883"/>
      <w:r>
        <w:rPr>
          <w:rFonts w:ascii="Verdana" w:hAnsi="Verdana" w:cs="Arial"/>
          <w:b/>
          <w:color w:val="000000"/>
          <w:szCs w:val="20"/>
        </w:rPr>
        <w:t>DA FASE DE DISPUTAS</w:t>
      </w:r>
    </w:p>
    <w:p>
      <w:pPr>
        <w:pStyle w:val="80"/>
        <w:keepNext w:val="0"/>
        <w:widowControl/>
        <w:numPr>
          <w:ilvl w:val="1"/>
          <w:numId w:val="13"/>
        </w:numPr>
        <w:spacing w:before="120" w:after="120"/>
        <w:ind w:left="851" w:hanging="426"/>
        <w:rPr>
          <w:rFonts w:ascii="Verdana" w:hAnsi="Verdana" w:cs="Arial"/>
          <w:szCs w:val="20"/>
        </w:rPr>
      </w:pPr>
      <w:r>
        <w:rPr>
          <w:rFonts w:ascii="Verdana" w:hAnsi="Verdana" w:cs="Arial"/>
          <w:color w:val="000000"/>
          <w:szCs w:val="20"/>
          <w:lang w:eastAsia="en-US"/>
        </w:rPr>
        <w:t>A abertura da presente licitação dar-se-á em sessão pública, por meio de sistema eletrônico, na data, horário e local indicados neste Edital.</w:t>
      </w:r>
    </w:p>
    <w:p>
      <w:pPr>
        <w:pStyle w:val="80"/>
        <w:keepNext w:val="0"/>
        <w:widowControl/>
        <w:numPr>
          <w:ilvl w:val="1"/>
          <w:numId w:val="13"/>
        </w:numPr>
        <w:spacing w:before="120" w:after="120"/>
        <w:ind w:left="851" w:hanging="426"/>
        <w:rPr>
          <w:rFonts w:ascii="Verdana" w:hAnsi="Verdana" w:cs="Arial"/>
          <w:iCs/>
          <w:szCs w:val="20"/>
        </w:rPr>
      </w:pPr>
      <w:r>
        <w:rPr>
          <w:rFonts w:ascii="Verdana" w:hAnsi="Verdana" w:cs="Arial"/>
          <w:iCs/>
          <w:szCs w:val="20"/>
        </w:rPr>
        <w:t>O modo de disputa será o aberto.</w:t>
      </w:r>
    </w:p>
    <w:p>
      <w:pPr>
        <w:pStyle w:val="80"/>
        <w:keepNext w:val="0"/>
        <w:widowControl/>
        <w:numPr>
          <w:ilvl w:val="1"/>
          <w:numId w:val="13"/>
        </w:numPr>
        <w:spacing w:before="120" w:after="120"/>
        <w:ind w:left="851" w:hanging="426"/>
        <w:rPr>
          <w:rFonts w:ascii="Verdana" w:hAnsi="Verdana" w:cs="Arial"/>
          <w:iCs/>
          <w:szCs w:val="20"/>
        </w:rPr>
      </w:pPr>
      <w:r>
        <w:rPr>
          <w:rFonts w:ascii="Verdana" w:hAnsi="Verdana" w:cs="Arial"/>
          <w:iCs/>
          <w:szCs w:val="20"/>
        </w:rPr>
        <w:t>As licitantes apresentarão suas propostas em sessão pública por meio de lances públicos, sucessivos e crescentes.</w:t>
      </w:r>
    </w:p>
    <w:p>
      <w:pPr>
        <w:pStyle w:val="80"/>
        <w:keepNext w:val="0"/>
        <w:numPr>
          <w:ilvl w:val="1"/>
          <w:numId w:val="13"/>
        </w:numPr>
        <w:spacing w:before="120" w:after="120"/>
        <w:ind w:left="851" w:hanging="426"/>
        <w:rPr>
          <w:rFonts w:ascii="Verdana" w:hAnsi="Verdana" w:cs="Arial"/>
          <w:iCs/>
          <w:szCs w:val="20"/>
        </w:rPr>
      </w:pPr>
      <w:r>
        <w:rPr>
          <w:rFonts w:ascii="Verdana" w:hAnsi="Verdana" w:cs="Arial"/>
          <w:iCs/>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A reabertura da fase de lances tem por objetivo aproximar as demais propostas do valor apresentado pela primeira colocada. </w:t>
      </w:r>
    </w:p>
    <w:p>
      <w:pPr>
        <w:pStyle w:val="80"/>
        <w:keepNext w:val="0"/>
        <w:numPr>
          <w:ilvl w:val="3"/>
          <w:numId w:val="13"/>
        </w:numPr>
        <w:spacing w:before="120" w:after="120"/>
        <w:ind w:left="1418" w:hanging="284"/>
        <w:rPr>
          <w:rFonts w:ascii="Verdana" w:hAnsi="Verdana" w:cs="Arial"/>
          <w:iCs/>
          <w:sz w:val="18"/>
          <w:szCs w:val="18"/>
        </w:rPr>
      </w:pPr>
      <w:r>
        <w:rPr>
          <w:rFonts w:ascii="Verdana" w:hAnsi="Verdana" w:cs="Arial"/>
          <w:iCs/>
          <w:sz w:val="18"/>
          <w:szCs w:val="18"/>
        </w:rPr>
        <w:t>A primeira colocada não participará dessa fase de reabertura e não haverá alteração da sua classificação, apenas das licitantes subsequentes.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Reaberta a etapa competitiva, as licitantes classificados poderão encaminhar lances sucessivos, exclusivamente por meio do sistema eletrônico, sendo imediatamente informados do horário e valor consignados no registro de cada lance.</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iCs/>
          <w:sz w:val="18"/>
          <w:szCs w:val="18"/>
        </w:rPr>
        <w:t>Lances iguais serão classificados conforme a ordem de apresentação.</w:t>
      </w:r>
      <w:r>
        <w:rPr>
          <w:rFonts w:ascii="Verdana" w:hAnsi="Verdana" w:cs="Arial"/>
          <w:i/>
          <w:iCs/>
          <w:color w:val="FF0000"/>
          <w:sz w:val="18"/>
          <w:szCs w:val="18"/>
        </w:rPr>
        <w:t xml:space="preserve">  </w:t>
      </w:r>
    </w:p>
    <w:p>
      <w:pPr>
        <w:pStyle w:val="80"/>
        <w:keepNext w:val="0"/>
        <w:numPr>
          <w:ilvl w:val="1"/>
          <w:numId w:val="13"/>
        </w:numPr>
        <w:spacing w:before="120" w:after="120"/>
        <w:ind w:left="851" w:hanging="425"/>
        <w:rPr>
          <w:rFonts w:ascii="Verdana" w:hAnsi="Verdana" w:cs="Arial"/>
          <w:i/>
          <w:iCs/>
          <w:color w:val="FF0000"/>
          <w:szCs w:val="20"/>
        </w:rPr>
      </w:pPr>
      <w:r>
        <w:rPr>
          <w:rFonts w:ascii="Verdana" w:hAnsi="Verdana" w:cs="Arial"/>
          <w:szCs w:val="20"/>
        </w:rPr>
        <w:t>Havendo a adoção de fase aberta, com ou sem combinação, os lances seguirão as seguintes regras:</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sz w:val="18"/>
          <w:szCs w:val="18"/>
        </w:rPr>
        <w:t>Iniciada a etapa, as licitantes deverão encaminhar lances exclusivamente por meio de sistema eletrônico, sendo imediatamente informados do seu recebimento e do valor consignado no registro.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O lance deverá ser ofertado pelo valor do percentual de desconto. </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As licitantes poderão oferecer lances sucessivos, observando o horário fixado para abertura da sessão e as regras estabelecidas no Edital.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A licitante somente poderá oferecer lance de valor do percentual de desconto superior ao último por ele ofertado e registrado pelo sistema. </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O intervalo mínimo de diferença de valores entre os lances, que incidirá tanto em relação aos lances intermediários quanto em relação à proposta que cobrir a melhor oferta deverá ser de 0,1 % (um décimo percentual).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 intervalo entre os lances enviados pela mesma licitante não poderá ser inferior a vinte (20) segundos e o intervalo entre lances não poderá ser inferior a três (3) segundos.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Os lances enviados em desacordo com o item acima serão descartados automaticamente pelo sistema.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Não serão aceitos dois ou mais lances de mesmo valor, prevalecendo aquele que for recebido e registrado em primeiro lugar.</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Durante o transcurso da sessão pública, as licitantes serão informadas, em tempo real, do valor do menor lance registrado, vedada a identificação da licitante.</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O sistema disponibilizará campo próprio para troca de mensagem entre a Comissão do RDC e as licitantes.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No caso de desconexão com a Comissão do RDC, no decorrer da etapa competitiva do RDC, o sistema eletrônico poderá permanecer acessível as licitantes para a recepção dos lances.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Se a desconexão perdurar por tempo superior a 10 (dez) minutos, a sessão será suspensa e terá reinício somente após comunicação expressa da Comissão do RDC aos participantes.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4"/>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Após a aplicação do disposto no subitem anterior, persistindo o empate entre 2 (duas) ou mais propostas, serão utilizados os seguintes critérios de desempate, nesta ordem:</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Disputa final, em que as licitantes empatadas poderão apresentar nova proposta fechada em ato contínuo à classificação;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Sorteio em sessão pública.</w:t>
      </w:r>
    </w:p>
    <w:p>
      <w:pPr>
        <w:pStyle w:val="80"/>
        <w:keepNext w:val="0"/>
        <w:widowControl/>
        <w:spacing w:before="120" w:after="120"/>
        <w:rPr>
          <w:rFonts w:ascii="Verdana" w:hAnsi="Verdana" w:cs="Arial"/>
          <w:color w:val="000000"/>
          <w:szCs w:val="20"/>
          <w:highlight w:val="green"/>
        </w:rPr>
      </w:pPr>
    </w:p>
    <w:p>
      <w:pPr>
        <w:pStyle w:val="80"/>
        <w:keepNext w:val="0"/>
        <w:numPr>
          <w:ilvl w:val="0"/>
          <w:numId w:val="13"/>
        </w:numPr>
        <w:rPr>
          <w:rFonts w:ascii="Verdana" w:hAnsi="Verdana"/>
          <w:b/>
          <w:color w:val="000000"/>
          <w:szCs w:val="20"/>
        </w:rPr>
      </w:pPr>
      <w:r>
        <w:rPr>
          <w:rFonts w:ascii="Verdana" w:hAnsi="Verdana" w:cs="Arial"/>
          <w:b/>
          <w:bCs/>
          <w:color w:val="000000"/>
          <w:szCs w:val="20"/>
          <w:lang w:eastAsia="en-US"/>
        </w:rPr>
        <w:t>DA ACEITABILIDADE DA PROPOSTA VENCEDORA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Após</w:t>
      </w:r>
      <w:r>
        <w:rPr>
          <w:rFonts w:ascii="Verdana" w:hAnsi="Verdana" w:cs="Arial"/>
          <w:color w:val="000000"/>
          <w:szCs w:val="20"/>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Comissão do RDC poderá negociar com a licitante melhor classificada condições mais vantajosas.</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negociação acima poderá ser feita com as demais licitantes, segundo a ordem de classificação, quando a primeira colocada, após a negociação, for desclassificada por sua proposta não atender as condições do edital ou permanecer superior ao orçamento estimado.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negociação será realizada por meio do sistema, podendo ser acompanhada pelas demais licitantes.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Durante a realização deste RDC Eletrônico, a comunicação com a Comissão do RDC dar-se-á exclusivamente por meio de troca de mensagens, via </w:t>
      </w:r>
      <w:r>
        <w:rPr>
          <w:rFonts w:ascii="Verdana" w:hAnsi="Verdana" w:cs="Times-Italic"/>
          <w:i/>
          <w:iCs/>
          <w:sz w:val="20"/>
          <w:szCs w:val="20"/>
        </w:rPr>
        <w:t xml:space="preserve">chat </w:t>
      </w:r>
      <w:r>
        <w:rPr>
          <w:rFonts w:ascii="Verdana" w:hAnsi="Verdana" w:cs="Times-Roman"/>
          <w:sz w:val="20"/>
          <w:szCs w:val="20"/>
        </w:rPr>
        <w:t xml:space="preserve">do sistema eletrônico COMPRASNET, ou quando for o caso e o momento oportuno, pelo endereço eletrônico indicado neste Edital. </w:t>
      </w:r>
      <w:r>
        <w:rPr>
          <w:rFonts w:ascii="Verdana" w:hAnsi="Verdana" w:cs="Times-Bold"/>
          <w:bCs/>
          <w:sz w:val="20"/>
          <w:szCs w:val="20"/>
          <w:u w:val="single"/>
        </w:rPr>
        <w:t>Não se admitirá contato por telefone ou qualquer outro meio</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as participantes.</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a licitante deverá providenciar imediatamente, sob sua inteira responsabilidade, sua reconexão com o sistema eletrônico.</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Todas as especificações do objeto contidas na proposta vinculam a Contratada.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Nos valores propostos estarão inclusos todos os custos operacionais, encargos previdenciários, trabalhistas, tributários, comerciais e quaisquer outros que incidam direta ou indiretamente na prestação dos serviços.</w:t>
      </w:r>
    </w:p>
    <w:p>
      <w:pPr>
        <w:pStyle w:val="80"/>
        <w:keepNext w:val="0"/>
        <w:numPr>
          <w:ilvl w:val="1"/>
          <w:numId w:val="13"/>
        </w:numPr>
        <w:ind w:left="851" w:hanging="284"/>
        <w:rPr>
          <w:rFonts w:ascii="Verdana" w:hAnsi="Verdana" w:cs="Arial"/>
          <w:szCs w:val="20"/>
        </w:rPr>
      </w:pPr>
      <w:r>
        <w:rPr>
          <w:rFonts w:ascii="Verdana" w:hAnsi="Verdana" w:cs="Arial"/>
          <w:szCs w:val="20"/>
        </w:rPr>
        <w:t>A economicidade da proposta será aferida com base nos custos globais e unitários, conforme art. 42, do Decreto nº 7.581/2011.</w:t>
      </w:r>
    </w:p>
    <w:p>
      <w:pPr>
        <w:pStyle w:val="80"/>
        <w:keepNext w:val="0"/>
        <w:numPr>
          <w:ilvl w:val="1"/>
          <w:numId w:val="13"/>
        </w:numPr>
        <w:ind w:left="851" w:hanging="284"/>
        <w:rPr>
          <w:rFonts w:ascii="Verdana" w:hAnsi="Verdana" w:cs="Arial"/>
          <w:szCs w:val="20"/>
        </w:rPr>
      </w:pPr>
      <w:r>
        <w:rPr>
          <w:rFonts w:ascii="Verdana" w:hAnsi="Verdana" w:cs="Arial"/>
          <w:szCs w:val="20"/>
        </w:rPr>
        <w:t>O valor global da proposta não poderá superar o orçamento estimado pela administração pública, com base nos parâmetros previstos nos §§ 3º, 4º ou 6º do art. 8º da Lei nº 12.462, de 2011.</w:t>
      </w:r>
    </w:p>
    <w:p>
      <w:pPr>
        <w:pStyle w:val="80"/>
        <w:keepNext w:val="0"/>
        <w:numPr>
          <w:ilvl w:val="1"/>
          <w:numId w:val="13"/>
        </w:numPr>
        <w:ind w:left="851" w:hanging="284"/>
        <w:rPr>
          <w:rFonts w:ascii="Verdana" w:hAnsi="Verdana" w:cs="Arial"/>
          <w:szCs w:val="20"/>
        </w:rPr>
      </w:pPr>
      <w:r>
        <w:rPr>
          <w:rFonts w:ascii="Verdana" w:hAnsi="Verdana" w:cs="Arial"/>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em situações especiais, devidamente comprovadas pela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80"/>
        <w:keepNext w:val="0"/>
        <w:numPr>
          <w:ilvl w:val="1"/>
          <w:numId w:val="13"/>
        </w:numPr>
        <w:ind w:left="851" w:hanging="284"/>
        <w:rPr>
          <w:rFonts w:ascii="Verdana" w:hAnsi="Verdana" w:cs="Arial"/>
          <w:szCs w:val="20"/>
        </w:rPr>
      </w:pPr>
      <w:r>
        <w:rPr>
          <w:rFonts w:ascii="Verdana" w:hAnsi="Verdana" w:cs="Arial"/>
          <w:szCs w:val="20"/>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pPr>
        <w:pStyle w:val="80"/>
        <w:keepNext w:val="0"/>
        <w:numPr>
          <w:ilvl w:val="1"/>
          <w:numId w:val="13"/>
        </w:numPr>
        <w:ind w:left="851" w:hanging="284"/>
        <w:rPr>
          <w:rFonts w:ascii="Verdana" w:hAnsi="Verdana" w:cs="Arial"/>
          <w:szCs w:val="20"/>
        </w:rPr>
      </w:pPr>
      <w:r>
        <w:rPr>
          <w:rFonts w:ascii="Verdana" w:hAnsi="Verdana" w:cs="Arial"/>
          <w:szCs w:val="20"/>
        </w:rPr>
        <w:t>Encerrada a etapa competitiva do processo, poderão ser divulgados os custos dos itens ou das etapas do orçamento estimado que estiverem abaixo dos custos ou das etapas ofertados pela licitante da melhor proposta, para fins de reelaboração da planilha com os valores adequados ao lance vencedor.</w:t>
      </w:r>
    </w:p>
    <w:p>
      <w:pPr>
        <w:pStyle w:val="80"/>
        <w:keepNext w:val="0"/>
        <w:numPr>
          <w:ilvl w:val="1"/>
          <w:numId w:val="13"/>
        </w:numPr>
        <w:ind w:left="851" w:hanging="284"/>
        <w:rPr>
          <w:rFonts w:ascii="Verdana" w:hAnsi="Verdana" w:cs="Arial"/>
          <w:szCs w:val="20"/>
        </w:rPr>
      </w:pPr>
      <w:r>
        <w:rPr>
          <w:rFonts w:ascii="Verdana" w:hAnsi="Verdana" w:cs="Arial"/>
          <w:color w:val="000000"/>
          <w:szCs w:val="20"/>
        </w:rPr>
        <w:t xml:space="preserve">Será </w:t>
      </w:r>
      <w:r>
        <w:rPr>
          <w:rFonts w:ascii="Verdana" w:hAnsi="Verdana" w:cs="Arial"/>
          <w:szCs w:val="20"/>
        </w:rPr>
        <w:t>desclassificada a proposta que:</w:t>
      </w:r>
    </w:p>
    <w:p>
      <w:pPr>
        <w:pStyle w:val="80"/>
        <w:keepNext w:val="0"/>
        <w:numPr>
          <w:ilvl w:val="2"/>
          <w:numId w:val="13"/>
        </w:numPr>
        <w:rPr>
          <w:rFonts w:ascii="Verdana" w:hAnsi="Verdana" w:cs="Arial"/>
          <w:sz w:val="18"/>
          <w:szCs w:val="18"/>
        </w:rPr>
      </w:pPr>
      <w:r>
        <w:rPr>
          <w:rFonts w:ascii="Verdana" w:hAnsi="Verdana" w:cs="Arial"/>
          <w:sz w:val="18"/>
          <w:szCs w:val="18"/>
        </w:rPr>
        <w:t>- contenha vícios insanáveis;</w:t>
      </w:r>
    </w:p>
    <w:p>
      <w:pPr>
        <w:pStyle w:val="80"/>
        <w:keepNext w:val="0"/>
        <w:numPr>
          <w:ilvl w:val="2"/>
          <w:numId w:val="13"/>
        </w:numPr>
        <w:rPr>
          <w:rFonts w:ascii="Verdana" w:hAnsi="Verdana" w:cs="Arial"/>
          <w:sz w:val="18"/>
          <w:szCs w:val="18"/>
        </w:rPr>
      </w:pPr>
      <w:r>
        <w:rPr>
          <w:rFonts w:ascii="Verdana" w:hAnsi="Verdana" w:cs="Arial"/>
          <w:sz w:val="18"/>
          <w:szCs w:val="18"/>
        </w:rPr>
        <w:t>- não obedeça às especificações técnicas previstas no instrumento convocatório;</w:t>
      </w:r>
    </w:p>
    <w:p>
      <w:pPr>
        <w:pStyle w:val="80"/>
        <w:keepNext w:val="0"/>
        <w:numPr>
          <w:ilvl w:val="2"/>
          <w:numId w:val="13"/>
        </w:numPr>
        <w:rPr>
          <w:rFonts w:ascii="Verdana" w:hAnsi="Verdana" w:cs="Arial"/>
          <w:sz w:val="18"/>
          <w:szCs w:val="18"/>
        </w:rPr>
      </w:pPr>
      <w:r>
        <w:rPr>
          <w:rFonts w:ascii="Verdana" w:hAnsi="Verdana" w:cs="Arial"/>
          <w:sz w:val="18"/>
          <w:szCs w:val="18"/>
        </w:rPr>
        <w:t>- apresente preço manifestamente inexequível ou permaneça acima do orçamento estimado para a contratação;</w:t>
      </w:r>
    </w:p>
    <w:p>
      <w:pPr>
        <w:pStyle w:val="80"/>
        <w:keepNext w:val="0"/>
        <w:numPr>
          <w:ilvl w:val="2"/>
          <w:numId w:val="13"/>
        </w:numPr>
        <w:rPr>
          <w:rFonts w:ascii="Verdana" w:hAnsi="Verdana" w:cs="Arial"/>
          <w:sz w:val="18"/>
          <w:szCs w:val="18"/>
        </w:rPr>
      </w:pPr>
      <w:r>
        <w:rPr>
          <w:rFonts w:ascii="Verdana" w:hAnsi="Verdana" w:cs="Arial"/>
          <w:color w:val="000000" w:themeColor="text1"/>
          <w:sz w:val="18"/>
          <w:szCs w:val="18"/>
        </w:rPr>
        <w:t xml:space="preserve">– </w:t>
      </w:r>
      <w:r>
        <w:rPr>
          <w:rFonts w:ascii="Verdana" w:hAnsi="Verdana" w:cs="Arial"/>
          <w:color w:val="000000" w:themeColor="text1"/>
          <w:sz w:val="18"/>
          <w:szCs w:val="18"/>
          <w:u w:val="single"/>
        </w:rPr>
        <w:t>apresente valor(es) de percentual(is) de desconto diferente(s) do valor proposto e considerado vencedor na fase final de lances</w:t>
      </w:r>
      <w:r>
        <w:rPr>
          <w:rFonts w:ascii="Verdana" w:hAnsi="Verdana" w:cs="Arial"/>
          <w:color w:val="000000" w:themeColor="text1"/>
          <w:sz w:val="18"/>
          <w:szCs w:val="18"/>
        </w:rPr>
        <w:t>;</w:t>
      </w:r>
    </w:p>
    <w:p>
      <w:pPr>
        <w:pStyle w:val="80"/>
        <w:keepNext w:val="0"/>
        <w:numPr>
          <w:ilvl w:val="2"/>
          <w:numId w:val="13"/>
        </w:numPr>
        <w:rPr>
          <w:rFonts w:ascii="Verdana" w:hAnsi="Verdana" w:cs="Arial"/>
          <w:sz w:val="18"/>
          <w:szCs w:val="18"/>
        </w:rPr>
      </w:pPr>
      <w:r>
        <w:rPr>
          <w:rFonts w:ascii="Verdana" w:hAnsi="Verdana" w:cs="Arial"/>
          <w:sz w:val="18"/>
          <w:szCs w:val="18"/>
        </w:rPr>
        <w:t>- não tenha sua exequibilidade demonstrada, quando exigido pela administração pública; ou</w:t>
      </w:r>
    </w:p>
    <w:p>
      <w:pPr>
        <w:pStyle w:val="80"/>
        <w:keepNext w:val="0"/>
        <w:numPr>
          <w:ilvl w:val="2"/>
          <w:numId w:val="13"/>
        </w:numPr>
        <w:rPr>
          <w:rFonts w:ascii="Verdana" w:hAnsi="Verdana" w:cs="Arial"/>
          <w:sz w:val="18"/>
          <w:szCs w:val="18"/>
        </w:rPr>
      </w:pPr>
      <w:r>
        <w:rPr>
          <w:rFonts w:ascii="Verdana" w:hAnsi="Verdana" w:cs="Arial"/>
          <w:sz w:val="18"/>
          <w:szCs w:val="18"/>
        </w:rPr>
        <w:t>- apresente desconformidade com quaisquer outras exigências do instrumento convocatório, desde</w:t>
      </w:r>
      <w:r>
        <w:rPr>
          <w:rFonts w:ascii="Verdana" w:hAnsi="Verdana" w:eastAsia="Times New Roman" w:cs="Arial"/>
          <w:color w:val="000000"/>
          <w:sz w:val="18"/>
          <w:szCs w:val="18"/>
          <w:lang w:eastAsia="pt-BR"/>
        </w:rPr>
        <w:t xml:space="preserve"> que insanável, incluindo previsão de oferta de vantagem não prevista no edital (</w:t>
      </w:r>
      <w:r>
        <w:rPr>
          <w:rFonts w:ascii="Verdana" w:hAnsi="Verdana" w:cs="Arial"/>
          <w:sz w:val="18"/>
          <w:szCs w:val="18"/>
        </w:rPr>
        <w:t>tais quais financiamentos subsidiados ou a fundo perdido) ou apresentação de preço ou vantagem baseada nas ofertas dos demais licitantes.</w:t>
      </w:r>
    </w:p>
    <w:p>
      <w:pPr>
        <w:pStyle w:val="80"/>
        <w:keepNext w:val="0"/>
        <w:numPr>
          <w:ilvl w:val="1"/>
          <w:numId w:val="13"/>
        </w:numPr>
        <w:ind w:left="851" w:hanging="284"/>
        <w:rPr>
          <w:rFonts w:ascii="Verdana" w:hAnsi="Verdana" w:cs="Arial"/>
          <w:color w:val="000000"/>
          <w:szCs w:val="20"/>
        </w:rPr>
      </w:pPr>
      <w:r>
        <w:rPr>
          <w:rFonts w:ascii="Verdana" w:hAnsi="Verdana" w:cs="Arial"/>
          <w:szCs w:val="20"/>
        </w:rPr>
        <w:t>Consideram</w:t>
      </w:r>
      <w:r>
        <w:rPr>
          <w:rFonts w:ascii="Verdana" w:hAnsi="Verdana" w:cs="Arial"/>
          <w:color w:val="000000"/>
          <w:szCs w:val="20"/>
        </w:rPr>
        <w:t xml:space="preserve">-se inexequíveis as propostas com valores globais inferiores a </w:t>
      </w:r>
      <w:r>
        <w:rPr>
          <w:rFonts w:ascii="Verdana" w:hAnsi="Verdana" w:cs="Arial"/>
          <w:b/>
          <w:bCs/>
          <w:color w:val="000000"/>
          <w:szCs w:val="20"/>
        </w:rPr>
        <w:t xml:space="preserve">70% (setenta por cento) </w:t>
      </w:r>
      <w:r>
        <w:rPr>
          <w:rFonts w:ascii="Verdana" w:hAnsi="Verdana" w:cs="Arial"/>
          <w:color w:val="000000"/>
          <w:szCs w:val="20"/>
        </w:rPr>
        <w:t>do menor dos seguintes valores:</w:t>
      </w:r>
    </w:p>
    <w:p>
      <w:pPr>
        <w:pStyle w:val="80"/>
        <w:keepNext w:val="0"/>
        <w:numPr>
          <w:ilvl w:val="2"/>
          <w:numId w:val="14"/>
        </w:numPr>
        <w:rPr>
          <w:rFonts w:ascii="Verdana" w:hAnsi="Verdana" w:cs="Arial"/>
          <w:sz w:val="18"/>
          <w:szCs w:val="18"/>
        </w:rPr>
      </w:pPr>
      <w:r>
        <w:rPr>
          <w:rFonts w:ascii="Verdana" w:hAnsi="Verdana" w:cs="Arial"/>
          <w:sz w:val="18"/>
          <w:szCs w:val="18"/>
        </w:rPr>
        <w:t>Média aritmética dos valores das propostas superiores a 50% (cinquenta por cento) do valor do orçamento estimado pela administração pública, ou,</w:t>
      </w:r>
    </w:p>
    <w:p>
      <w:pPr>
        <w:pStyle w:val="80"/>
        <w:keepNext w:val="0"/>
        <w:numPr>
          <w:ilvl w:val="2"/>
          <w:numId w:val="14"/>
        </w:numPr>
        <w:rPr>
          <w:rFonts w:ascii="Verdana" w:hAnsi="Verdana" w:cs="Arial"/>
          <w:sz w:val="18"/>
          <w:szCs w:val="18"/>
        </w:rPr>
      </w:pPr>
      <w:r>
        <w:rPr>
          <w:rFonts w:ascii="Verdana" w:hAnsi="Verdana" w:cs="Arial"/>
          <w:sz w:val="18"/>
          <w:szCs w:val="18"/>
        </w:rPr>
        <w:t>Valor do orçamento estimado pela Administração Pública.</w:t>
      </w:r>
    </w:p>
    <w:p>
      <w:pPr>
        <w:pStyle w:val="80"/>
        <w:keepNext w:val="0"/>
        <w:numPr>
          <w:ilvl w:val="2"/>
          <w:numId w:val="13"/>
        </w:numPr>
        <w:rPr>
          <w:rFonts w:ascii="Verdana" w:hAnsi="Verdana" w:cs="Arial"/>
          <w:sz w:val="18"/>
          <w:szCs w:val="18"/>
        </w:rPr>
      </w:pPr>
      <w:r>
        <w:rPr>
          <w:rFonts w:ascii="Verdana" w:hAnsi="Verdana" w:cs="Arial"/>
          <w:color w:val="000000"/>
          <w:sz w:val="18"/>
          <w:szCs w:val="18"/>
        </w:rPr>
        <w:t>Na situação deste item, a administração deverá conferir a licitante a oportunidade de demonstrar a exequibilidade da sua proposta, mediante diligências na forma deste Edital.</w:t>
      </w:r>
    </w:p>
    <w:p>
      <w:pPr>
        <w:pStyle w:val="80"/>
        <w:keepNext w:val="0"/>
        <w:numPr>
          <w:ilvl w:val="2"/>
          <w:numId w:val="13"/>
        </w:numPr>
        <w:rPr>
          <w:rFonts w:ascii="Verdana" w:hAnsi="Verdana" w:cs="Arial"/>
          <w:sz w:val="18"/>
          <w:szCs w:val="18"/>
        </w:rPr>
      </w:pPr>
      <w:r>
        <w:rPr>
          <w:rFonts w:ascii="Verdana" w:hAnsi="Verdana" w:cs="Arial"/>
          <w:color w:val="000000"/>
          <w:sz w:val="18"/>
          <w:szCs w:val="18"/>
        </w:rPr>
        <w:t>Na hipótese acima, a licitante deverá demonstrar que o valor da proposta é compatível com a execução do objeto licitado no que se refere aos custos dos insumos e aos coeficientes de produtividade adotados nas composições de custos unitários.</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A análise de exequibilidade da proposta não considerará materiais e instalações a serem fornecidos pela licitante em relação aos quais ele renuncie a parcela ou à totalidade da remuneração, desde que a renúncia esteja expressa na proposta.</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 xml:space="preserve">Sem prejuízo do disposto no item anterior, a </w:t>
      </w:r>
      <w:r>
        <w:rPr>
          <w:rFonts w:ascii="Verdana" w:hAnsi="Verdana" w:cs="Arial"/>
          <w:sz w:val="18"/>
          <w:szCs w:val="18"/>
        </w:rPr>
        <w:t>Comissão</w:t>
      </w:r>
      <w:r>
        <w:rPr>
          <w:rFonts w:ascii="Verdana" w:hAnsi="Verdana" w:cs="Arial"/>
          <w:color w:val="000000"/>
          <w:sz w:val="18"/>
          <w:szCs w:val="18"/>
        </w:rPr>
        <w:t xml:space="preserve"> do RDC poderá de ofício ou mediante provocação fundada de qualquer interessado, realizar diligências para aferir a exequibilidade da proposta ou exigir da licitante que ela seja demonstrada. </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Eventual convocação da licitante para envio de documento digital, será por meio de </w:t>
      </w:r>
      <w:r>
        <w:rPr>
          <w:rFonts w:ascii="Verdana" w:hAnsi="Verdana" w:cs="Arial"/>
          <w:szCs w:val="20"/>
        </w:rPr>
        <w:t>funcionalidade</w:t>
      </w:r>
      <w:r>
        <w:rPr>
          <w:rFonts w:ascii="Verdana" w:hAnsi="Verdana" w:cs="Arial"/>
          <w:color w:val="000000"/>
          <w:szCs w:val="20"/>
          <w:lang w:eastAsia="en-US"/>
        </w:rPr>
        <w:t xml:space="preserve"> disponível no sistema, estabelecendo no “chat” prazo mínimo de 02</w:t>
      </w:r>
      <w:r>
        <w:rPr>
          <w:rFonts w:ascii="Verdana" w:hAnsi="Verdana" w:cs="Arial"/>
          <w:szCs w:val="20"/>
          <w:lang w:eastAsia="en-US"/>
        </w:rPr>
        <w:t xml:space="preserve"> (duas) horas</w:t>
      </w:r>
      <w:r>
        <w:rPr>
          <w:rFonts w:ascii="Verdana" w:hAnsi="Verdana" w:cs="Arial"/>
          <w:color w:val="000000"/>
          <w:szCs w:val="20"/>
          <w:lang w:eastAsia="en-US"/>
        </w:rPr>
        <w:t>, sob pena de não aceitação da proposta.</w:t>
      </w:r>
    </w:p>
    <w:p>
      <w:pPr>
        <w:pStyle w:val="80"/>
        <w:keepNext w:val="0"/>
        <w:numPr>
          <w:ilvl w:val="2"/>
          <w:numId w:val="13"/>
        </w:numPr>
        <w:rPr>
          <w:rFonts w:ascii="Verdana" w:hAnsi="Verdana" w:cs="Arial"/>
          <w:color w:val="000000"/>
          <w:sz w:val="18"/>
          <w:szCs w:val="18"/>
          <w:lang w:eastAsia="en-US"/>
        </w:rPr>
      </w:pPr>
      <w:r>
        <w:rPr>
          <w:rFonts w:ascii="Verdana" w:hAnsi="Verdana" w:cs="Arial"/>
          <w:color w:val="000000"/>
          <w:sz w:val="18"/>
          <w:szCs w:val="18"/>
          <w:lang w:eastAsia="en-US"/>
        </w:rPr>
        <w:t>É facultada à comissão prorrogar o prazo estabelecido, a partir de solicitação fundamentada feita no chat pela licitante, antes de findo o prazo;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ascii="Verdana" w:hAnsi="Verdana" w:cs="Arial"/>
          <w:szCs w:val="20"/>
          <w:lang w:eastAsia="en-US"/>
        </w:rPr>
        <w:t xml:space="preserve">mínimo, </w:t>
      </w:r>
      <w:r>
        <w:rPr>
          <w:rFonts w:ascii="Verdana" w:hAnsi="Verdana" w:cs="Arial"/>
          <w:iCs/>
          <w:szCs w:val="20"/>
          <w:lang w:eastAsia="en-US"/>
        </w:rPr>
        <w:t>vinte e quatro horas de antecedência</w:t>
      </w:r>
      <w:r>
        <w:rPr>
          <w:rFonts w:ascii="Verdana" w:hAnsi="Verdana" w:cs="Arial"/>
          <w:szCs w:val="20"/>
          <w:lang w:eastAsia="en-US"/>
        </w:rPr>
        <w:t>, e a ocorrência será registrada em</w:t>
      </w:r>
      <w:r>
        <w:rPr>
          <w:rFonts w:ascii="Verdana" w:hAnsi="Verdana" w:cs="Arial"/>
          <w:color w:val="000000"/>
          <w:szCs w:val="20"/>
          <w:lang w:eastAsia="en-US"/>
        </w:rPr>
        <w:t xml:space="preserve"> ata.</w:t>
      </w:r>
    </w:p>
    <w:p>
      <w:pPr>
        <w:pStyle w:val="80"/>
        <w:keepNext w:val="0"/>
        <w:numPr>
          <w:ilvl w:val="1"/>
          <w:numId w:val="13"/>
        </w:numPr>
        <w:ind w:left="851" w:hanging="284"/>
        <w:rPr>
          <w:rFonts w:ascii="Verdana" w:hAnsi="Verdana" w:cs="Arial"/>
          <w:szCs w:val="20"/>
        </w:rPr>
      </w:pPr>
      <w:r>
        <w:rPr>
          <w:rFonts w:ascii="Verdana" w:hAnsi="Verdana" w:cs="Arial"/>
          <w:szCs w:val="20"/>
        </w:rPr>
        <w:t>A licitante que abandonar o certame ou deixar de enviar a documentação indicada nesta condição será desclassificada e sujeitar-se-á às sanções previstas neste edital e demais legislações pertinentes a matéria.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Se a proposta ou lance vencedor for desclassificada, a Comissão de Licitação examinará a proposta ou lance subsequente, e, assim sucessivamente, na ordem de classificação.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Havendo necessidade,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Encerrada a análise quanto à aceitação da proposta, a Comissão verificará a habilitação da licitante, observado o disposto neste Edital.</w:t>
      </w:r>
    </w:p>
    <w:p>
      <w:pPr>
        <w:pStyle w:val="80"/>
        <w:keepNext w:val="0"/>
        <w:ind w:left="1287" w:firstLine="0"/>
        <w:rPr>
          <w:rFonts w:ascii="Verdana" w:hAnsi="Verdana" w:cs="Arial"/>
          <w:color w:val="000000"/>
          <w:szCs w:val="20"/>
        </w:rPr>
      </w:pPr>
    </w:p>
    <w:p>
      <w:pPr>
        <w:pStyle w:val="67"/>
        <w:keepNext w:val="0"/>
        <w:numPr>
          <w:ilvl w:val="0"/>
          <w:numId w:val="13"/>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20"/>
          <w:szCs w:val="20"/>
        </w:rPr>
      </w:pPr>
      <w:r>
        <w:rPr>
          <w:rFonts w:ascii="Verdana" w:hAnsi="Verdana" w:cs="Times-Roman"/>
          <w:b/>
          <w:sz w:val="20"/>
          <w:szCs w:val="20"/>
        </w:rPr>
        <w:t>DO ENVIO DA DOCUMENTAÇÃO DE PROPOSTA</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Bold"/>
          <w:bCs/>
          <w:sz w:val="20"/>
          <w:szCs w:val="20"/>
        </w:rPr>
        <w:t>A licitante considerada vencedora será convocada a enviar pelo sistema eletrônico COMPRASNET, a documentação de proposta, adaptada ao valor do último lance de desconto proposto, os seguintes documentos:</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carta com a proposta comercial, conforme modelo do anexo V;</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de custos e formação de preços contendo o orçamento dos serviços, conforme modelo do anexo III-A;</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contendo o cronograma físico e financeiro, conforme modelo do anexo III-B;</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o detalhamento dos Benefícios/Bonificações e Despesas Indiretas (BDI) ou Lucro e Despesas Indiretas (LDI), conforme modelo do anexo IV;</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Termo de Realização de Vistoria ou de não realização de vistoria, conforme modelos dos anexos VI ou VII; e</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Declaração de Responsabilidade, conforme modelo do Anexo VIII.</w:t>
      </w:r>
    </w:p>
    <w:p>
      <w:pPr>
        <w:keepNext w:val="0"/>
        <w:numPr>
          <w:ilvl w:val="2"/>
          <w:numId w:val="13"/>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salientando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e SBC, deixa-se de solicitar a apresentação das planilhas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vencedora deverá encaminhar tempestivamente os documentos supracitados pelo sistema eletrônico, no prazo a ser estipulado de no mínimo 02 (duas) horas, quando solicitado pela Comissão do RDC, podendo este prazo ser prorrogado a critério da CPL, desde que solicitado pela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Dentro do prazo a ser estabelecido pela Comissão do RDC, poderão ser remetidos, por iniciativa da licitante, tantos quantos forem os documentos complementares ou retificadores afetos aos documentos solicitados no </w:t>
      </w:r>
      <w:r>
        <w:rPr>
          <w:rFonts w:ascii="Verdana" w:hAnsi="Verdana" w:cs="Times-Italic"/>
          <w:i/>
          <w:iCs/>
          <w:sz w:val="20"/>
          <w:szCs w:val="20"/>
        </w:rPr>
        <w:t>caput</w:t>
      </w:r>
      <w:r>
        <w:rPr>
          <w:rFonts w:ascii="Verdana" w:hAnsi="Verdana" w:cs="Times-Roman"/>
          <w:sz w:val="20"/>
          <w:szCs w:val="20"/>
        </w:rPr>
        <w:t>.</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Neste caso, a licitante deve manifestar o desejo de envio de nova documentação, </w:t>
      </w:r>
      <w:r>
        <w:rPr>
          <w:rFonts w:ascii="Verdana" w:hAnsi="Verdana" w:cs="Times-Bold"/>
          <w:bCs/>
          <w:sz w:val="18"/>
          <w:szCs w:val="18"/>
        </w:rPr>
        <w:t xml:space="preserve">através do </w:t>
      </w:r>
      <w:r>
        <w:rPr>
          <w:rFonts w:ascii="Verdana" w:hAnsi="Verdana" w:cs="Times-BoldItalic"/>
          <w:bCs/>
          <w:i/>
          <w:iCs/>
          <w:sz w:val="18"/>
          <w:szCs w:val="18"/>
        </w:rPr>
        <w:t xml:space="preserve">chat </w:t>
      </w:r>
      <w:r>
        <w:rPr>
          <w:rFonts w:ascii="Verdana" w:hAnsi="Verdana" w:cs="Times-Bold"/>
          <w:bCs/>
          <w:sz w:val="18"/>
          <w:szCs w:val="18"/>
        </w:rPr>
        <w:t>do sistema</w:t>
      </w:r>
      <w:r>
        <w:rPr>
          <w:rFonts w:ascii="Verdana" w:hAnsi="Verdana" w:cs="Times-Roman"/>
          <w:sz w:val="18"/>
          <w:szCs w:val="18"/>
        </w:rPr>
        <w:t xml:space="preserve">, hipótese em que a Comissão do RDC fará, </w:t>
      </w:r>
      <w:r>
        <w:rPr>
          <w:rFonts w:ascii="Verdana" w:hAnsi="Verdana" w:cs="Times-Bold"/>
          <w:bCs/>
          <w:sz w:val="18"/>
          <w:szCs w:val="18"/>
        </w:rPr>
        <w:t>caso seja necessário</w:t>
      </w:r>
      <w:r>
        <w:rPr>
          <w:rFonts w:ascii="Verdana" w:hAnsi="Verdana" w:cs="Times-Roman"/>
          <w:sz w:val="18"/>
          <w:szCs w:val="18"/>
        </w:rPr>
        <w:t>, novo uso da funcionalidade “Convocar Anexo”.</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r>
        <w:fldChar w:fldCharType="begin"/>
      </w:r>
      <w:r>
        <w:instrText xml:space="preserve"> HYPERLINK "mailto:cpl@id.uff.br" </w:instrText>
      </w:r>
      <w:r>
        <w:fldChar w:fldCharType="separate"/>
      </w:r>
      <w:r>
        <w:rPr>
          <w:rStyle w:val="12"/>
          <w:rFonts w:ascii="Verdana" w:hAnsi="Verdana" w:cs="Times-Roman"/>
          <w:sz w:val="18"/>
          <w:szCs w:val="18"/>
        </w:rPr>
        <w:t>rdc.cli.proad@id.uff.br</w:t>
      </w:r>
      <w:r>
        <w:rPr>
          <w:rStyle w:val="12"/>
          <w:rFonts w:ascii="Verdana" w:hAnsi="Verdana" w:cs="Times-Roman"/>
          <w:sz w:val="18"/>
          <w:szCs w:val="18"/>
        </w:rPr>
        <w:fldChar w:fldCharType="end"/>
      </w:r>
      <w:r>
        <w:rPr>
          <w:rStyle w:val="12"/>
          <w:rFonts w:ascii="Verdana" w:hAnsi="Verdana" w:cs="Times-Roman"/>
          <w:sz w:val="18"/>
          <w:szCs w:val="18"/>
        </w:rPr>
        <w:t>.</w:t>
      </w:r>
      <w:r>
        <w:rPr>
          <w:rFonts w:ascii="Verdana" w:hAnsi="Verdana" w:cs="Times-Roman"/>
          <w:sz w:val="18"/>
          <w:szCs w:val="18"/>
        </w:rPr>
        <w:t>. Posteriormente, tal documentação deverá obrigatoriamente ser lançada no chat do sistema eletrônico para ser conhecida por todos os participantes.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vencedora poderá, </w:t>
      </w:r>
      <w:r>
        <w:rPr>
          <w:rFonts w:ascii="Verdana" w:hAnsi="Verdana" w:cs="Times-Bold"/>
          <w:bCs/>
          <w:sz w:val="20"/>
          <w:szCs w:val="20"/>
        </w:rPr>
        <w:t>opcionalmente</w:t>
      </w:r>
      <w:r>
        <w:rPr>
          <w:rFonts w:ascii="Verdana" w:hAnsi="Verdana" w:cs="Times-Roman"/>
          <w:sz w:val="20"/>
          <w:szCs w:val="20"/>
        </w:rPr>
        <w:t xml:space="preserve">, antecipar o envio de sua </w:t>
      </w:r>
      <w:r>
        <w:rPr>
          <w:rFonts w:ascii="Verdana" w:hAnsi="Verdana" w:cs="Times-Bold"/>
          <w:bCs/>
          <w:sz w:val="20"/>
          <w:szCs w:val="20"/>
        </w:rPr>
        <w:t>documentação de</w:t>
      </w:r>
      <w:r>
        <w:rPr>
          <w:rFonts w:ascii="Verdana" w:hAnsi="Verdana" w:cs="Times-Roman"/>
          <w:sz w:val="20"/>
          <w:szCs w:val="20"/>
        </w:rPr>
        <w:t xml:space="preserve"> </w:t>
      </w:r>
      <w:r>
        <w:rPr>
          <w:rFonts w:ascii="Verdana" w:hAnsi="Verdana" w:cs="Times-Bold"/>
          <w:bCs/>
          <w:sz w:val="20"/>
          <w:szCs w:val="20"/>
        </w:rPr>
        <w:t>habilitação dentro do mesmo prazo estipulado para o envio da proposta</w:t>
      </w:r>
      <w:r>
        <w:rPr>
          <w:rFonts w:ascii="Verdana" w:hAnsi="Verdana" w:cs="Times-Roman"/>
          <w:sz w:val="20"/>
          <w:szCs w:val="20"/>
        </w:rPr>
        <w:t xml:space="preserve">, observando-se as orientações elencadas neste </w:t>
      </w:r>
      <w:r>
        <w:rPr>
          <w:rFonts w:ascii="Verdana" w:hAnsi="Verdana" w:cs="Times-Bold"/>
          <w:bCs/>
          <w:sz w:val="20"/>
          <w:szCs w:val="20"/>
        </w:rPr>
        <w:t>item</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que deixar de apresentar quaisquer dos documentos exigidos, ou os apresentarem em desacordo com o estabelecido neste Edital ou ainda com irregularidades, </w:t>
      </w:r>
      <w:r>
        <w:rPr>
          <w:rFonts w:ascii="Verdana" w:hAnsi="Verdana" w:cs="Times-Bold"/>
          <w:bCs/>
          <w:sz w:val="20"/>
          <w:szCs w:val="20"/>
        </w:rPr>
        <w:t>será desclassificada/inabilitada</w:t>
      </w:r>
      <w:r>
        <w:rPr>
          <w:rFonts w:ascii="Verdana" w:hAnsi="Verdana" w:cs="Times-Roman"/>
          <w:sz w:val="20"/>
          <w:szCs w:val="20"/>
        </w:rPr>
        <w:t xml:space="preserve">, não se admitindo complementação posterior, </w:t>
      </w:r>
      <w:r>
        <w:rPr>
          <w:rFonts w:ascii="Verdana" w:hAnsi="Verdana" w:cs="Times-Bold"/>
          <w:bCs/>
          <w:sz w:val="20"/>
          <w:szCs w:val="20"/>
        </w:rPr>
        <w:t xml:space="preserve">salvo se motivada por alguma diligência de ordem técnica da </w:t>
      </w:r>
      <w:r>
        <w:rPr>
          <w:rFonts w:ascii="Verdana" w:hAnsi="Verdana" w:cs="Times-Roman"/>
          <w:sz w:val="20"/>
          <w:szCs w:val="20"/>
        </w:rPr>
        <w:t>Comissão do RDC</w:t>
      </w:r>
      <w:r>
        <w:rPr>
          <w:rFonts w:ascii="Verdana" w:hAnsi="Verdana" w:cs="Times-Bold"/>
          <w:bCs/>
          <w:sz w:val="20"/>
          <w:szCs w:val="20"/>
        </w:rPr>
        <w:t>, desde que não altere a formulação da proposta</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pPr>
        <w:pStyle w:val="80"/>
        <w:keepNext w:val="0"/>
        <w:numPr>
          <w:ilvl w:val="1"/>
          <w:numId w:val="13"/>
        </w:numPr>
        <w:ind w:left="851" w:hanging="284"/>
        <w:rPr>
          <w:rFonts w:ascii="Verdana" w:hAnsi="Verdana" w:cs="Arial"/>
          <w:szCs w:val="20"/>
          <w:u w:val="single"/>
        </w:rPr>
      </w:pPr>
      <w:r>
        <w:rPr>
          <w:rFonts w:ascii="Verdana" w:hAnsi="Verdana" w:cs="Times-Roman"/>
          <w:szCs w:val="20"/>
        </w:rPr>
        <w:t>Feita a opção pela antecipação, caso reste algum documento pendente de habilitação, este poderá ser solicitado posteriormente pela Comissão do RDC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pPr>
        <w:pStyle w:val="80"/>
        <w:keepNext w:val="0"/>
        <w:numPr>
          <w:ilvl w:val="1"/>
          <w:numId w:val="13"/>
        </w:numPr>
        <w:ind w:left="851" w:hanging="284"/>
        <w:rPr>
          <w:rFonts w:ascii="Verdana" w:hAnsi="Verdana" w:cs="Arial"/>
          <w:szCs w:val="20"/>
          <w:u w:val="single"/>
        </w:rPr>
      </w:pPr>
      <w:r>
        <w:rPr>
          <w:rFonts w:ascii="Verdana" w:hAnsi="Verdana" w:cs="Arial"/>
          <w:szCs w:val="20"/>
          <w:u w:val="single"/>
        </w:rPr>
        <w:t>Formato da documentação de proposta a ser enviada:</w:t>
      </w:r>
    </w:p>
    <w:p>
      <w:pPr>
        <w:pStyle w:val="80"/>
        <w:keepNext w:val="0"/>
        <w:numPr>
          <w:ilvl w:val="2"/>
          <w:numId w:val="13"/>
        </w:numPr>
        <w:ind w:left="1134" w:hanging="283"/>
        <w:rPr>
          <w:rFonts w:ascii="Verdana" w:hAnsi="Verdana" w:cs="Arial"/>
          <w:sz w:val="18"/>
          <w:szCs w:val="18"/>
          <w:u w:val="single"/>
        </w:rPr>
      </w:pPr>
      <w:r>
        <w:rPr>
          <w:rFonts w:ascii="Verdana" w:hAnsi="Verdana" w:cs="Arial"/>
          <w:b/>
          <w:sz w:val="18"/>
          <w:szCs w:val="18"/>
          <w:u w:val="single"/>
        </w:rPr>
        <w:t>Carta proposta</w:t>
      </w:r>
      <w:r>
        <w:rPr>
          <w:rFonts w:ascii="Verdana" w:hAnsi="Verdana" w:cs="Arial"/>
          <w:sz w:val="18"/>
          <w:szCs w:val="18"/>
          <w:u w:val="single"/>
        </w:rPr>
        <w:t>:</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modelo do anexo V a este edital e deverá conter:</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especificação do objeto de forma clara, observadas as especificações constantes dos projetos elaborados pela Administração;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sz w:val="18"/>
          <w:szCs w:val="18"/>
        </w:rPr>
        <w:t xml:space="preserve">- </w:t>
      </w:r>
      <w:r>
        <w:rPr>
          <w:rFonts w:ascii="Verdana" w:hAnsi="Verdana" w:cs="Times-Bold"/>
          <w:bCs/>
          <w:sz w:val="18"/>
          <w:szCs w:val="18"/>
        </w:rPr>
        <w:t>o valor do desconto proposto em percentual;</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valor total proposto em moeda nacional em algarismo e por extenso;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prazo para execução dos serviços de acordo com o cronograma;</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Times-Bold"/>
          <w:bCs/>
          <w:sz w:val="18"/>
          <w:szCs w:val="18"/>
        </w:rPr>
        <w:t>– p</w:t>
      </w:r>
      <w:r>
        <w:rPr>
          <w:rFonts w:ascii="Verdana" w:hAnsi="Verdana" w:cs="Arial"/>
          <w:sz w:val="18"/>
          <w:szCs w:val="18"/>
        </w:rPr>
        <w:t xml:space="preserve">razo de validade da proposta, que </w:t>
      </w:r>
      <w:r>
        <w:rPr>
          <w:rFonts w:ascii="Verdana" w:hAnsi="Verdana" w:cs="Arial"/>
          <w:sz w:val="18"/>
          <w:szCs w:val="18"/>
          <w:u w:val="single"/>
        </w:rPr>
        <w:t>não poderá ser inferior a 90 (noventa) dias consecutivos</w:t>
      </w:r>
      <w:r>
        <w:rPr>
          <w:rFonts w:ascii="Verdana" w:hAnsi="Verdana" w:cs="Arial"/>
          <w:sz w:val="18"/>
          <w:szCs w:val="18"/>
        </w:rPr>
        <w:t>, a contar da data de sua apresentação.</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a razão social da proponente, endereço completo, telefone, endereço eletrônico (e-mail), indicação do banco, número da conta corrente e da agência bancária </w:t>
      </w:r>
      <w:r>
        <w:rPr>
          <w:rFonts w:ascii="Verdana" w:hAnsi="Verdana" w:cs="Arial"/>
          <w:sz w:val="18"/>
          <w:szCs w:val="18"/>
        </w:rPr>
        <w:t>no</w:t>
      </w:r>
      <w:r>
        <w:rPr>
          <w:rFonts w:ascii="Verdana" w:hAnsi="Verdana" w:cs="Arial"/>
          <w:color w:val="000000"/>
          <w:sz w:val="18"/>
          <w:szCs w:val="18"/>
        </w:rPr>
        <w:t xml:space="preserve"> qual serão depositados os pagamentos se a Licitante se for a contratada;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Custos e Formação de Preços</w:t>
      </w:r>
      <w:r>
        <w:rPr>
          <w:rFonts w:ascii="Verdana" w:hAnsi="Verdana" w:cs="Arial"/>
          <w:sz w:val="18"/>
          <w:szCs w:val="18"/>
          <w:u w:val="single"/>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Times-Bold"/>
          <w:bCs/>
          <w:sz w:val="18"/>
          <w:szCs w:val="18"/>
        </w:rPr>
        <w:t>Planilha de Custo e Formação de Preços</w:t>
      </w:r>
      <w:r>
        <w:rPr>
          <w:rFonts w:ascii="Verdana" w:hAnsi="Verdana" w:cs="Times-Bold"/>
          <w:b/>
          <w:bCs/>
          <w:sz w:val="18"/>
          <w:szCs w:val="18"/>
        </w:rPr>
        <w:t xml:space="preserve"> </w:t>
      </w:r>
      <w:r>
        <w:rPr>
          <w:rFonts w:ascii="Verdana" w:hAnsi="Verdana" w:cs="Times-Bold"/>
          <w:bCs/>
          <w:sz w:val="18"/>
          <w:szCs w:val="18"/>
        </w:rPr>
        <w:t>conforme modelo disponibilizado pela UFF em anexo (anexo III-A)</w:t>
      </w:r>
      <w:r>
        <w:rPr>
          <w:rFonts w:ascii="Verdana" w:hAnsi="Verdana" w:cs="Times-Roman"/>
          <w:sz w:val="18"/>
          <w:szCs w:val="18"/>
        </w:rPr>
        <w:t xml:space="preserve">, devendo </w:t>
      </w:r>
      <w:r>
        <w:rPr>
          <w:rFonts w:ascii="Verdana" w:hAnsi="Verdana"/>
          <w:sz w:val="18"/>
          <w:szCs w:val="18"/>
        </w:rPr>
        <w:t xml:space="preserve">constar: quantidade, unidade, custo unitário, BDI, </w:t>
      </w:r>
      <w:r>
        <w:rPr>
          <w:rFonts w:ascii="Verdana" w:hAnsi="Verdana"/>
          <w:sz w:val="18"/>
          <w:szCs w:val="18"/>
          <w:u w:val="single"/>
        </w:rPr>
        <w:t>desconto proposto</w:t>
      </w:r>
      <w:r>
        <w:rPr>
          <w:rFonts w:ascii="Verdana" w:hAnsi="Verdana"/>
          <w:sz w:val="18"/>
          <w:szCs w:val="18"/>
        </w:rPr>
        <w:t>, preços unitários, totais por item, preço global, observando-se os valores em moeda corrente nacional e as unidades do Sistema Métrico Decimal.</w:t>
      </w:r>
    </w:p>
    <w:p>
      <w:pPr>
        <w:pStyle w:val="80"/>
        <w:keepNext w:val="0"/>
        <w:widowControl/>
        <w:numPr>
          <w:ilvl w:val="3"/>
          <w:numId w:val="13"/>
        </w:numPr>
        <w:spacing w:before="120" w:after="120"/>
        <w:ind w:left="1418" w:hanging="284"/>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III-A), que tratando-se de desconto, os novos preços unitários propostos pela licitante, serão obrigatoriamente inferiores aos apresentados;</w:t>
      </w:r>
    </w:p>
    <w:p>
      <w:pPr>
        <w:pStyle w:val="80"/>
        <w:keepNext w:val="0"/>
        <w:widowControl/>
        <w:numPr>
          <w:ilvl w:val="4"/>
          <w:numId w:val="13"/>
        </w:numPr>
        <w:spacing w:before="120" w:after="120"/>
        <w:ind w:left="2268" w:hanging="567"/>
        <w:textAlignment w:val="auto"/>
        <w:rPr>
          <w:rFonts w:ascii="Verdana" w:hAnsi="Verdana" w:eastAsia="Times New Roman" w:cs="Arial"/>
          <w:sz w:val="18"/>
          <w:szCs w:val="18"/>
        </w:rPr>
      </w:pPr>
      <w:bookmarkStart w:id="5" w:name="_Hlk96502837"/>
      <w:r>
        <w:rPr>
          <w:rFonts w:ascii="Verdana" w:hAnsi="Verdana" w:cs="Arial"/>
          <w:sz w:val="18"/>
          <w:szCs w:val="18"/>
        </w:rPr>
        <w:t>-</w:t>
      </w:r>
      <w:r>
        <w:rPr>
          <w:rFonts w:ascii="Verdana" w:hAnsi="Verdana" w:cs="Times-Bold"/>
          <w:bCs/>
          <w:sz w:val="18"/>
          <w:szCs w:val="18"/>
        </w:rPr>
        <w:t xml:space="preserve"> O percentual de desconto proposto pela licitante, deverá ser incluído na última linha da coluna “% Desconto”, incidindo sobre todos os preços unitários estimados pela Administração (UFF).</w:t>
      </w:r>
    </w:p>
    <w:p>
      <w:pPr>
        <w:pStyle w:val="80"/>
        <w:keepNext w:val="0"/>
        <w:widowControl/>
        <w:numPr>
          <w:ilvl w:val="4"/>
          <w:numId w:val="13"/>
        </w:numPr>
        <w:spacing w:before="120" w:after="120"/>
        <w:ind w:left="2268" w:hanging="567"/>
        <w:textAlignment w:val="auto"/>
        <w:rPr>
          <w:rFonts w:ascii="Verdana" w:hAnsi="Verdana" w:eastAsia="Times New Roman" w:cs="Arial"/>
          <w:sz w:val="18"/>
          <w:szCs w:val="18"/>
        </w:rPr>
      </w:pPr>
      <w:r>
        <w:rPr>
          <w:rFonts w:ascii="Verdana" w:hAnsi="Verdana" w:cs="Arial"/>
          <w:color w:val="000000"/>
          <w:sz w:val="18"/>
          <w:szCs w:val="18"/>
        </w:rPr>
        <w:t xml:space="preserve">- A licitante vencedora deverá incluir no campo próprio da planilha de orçamento (Anexo III-A), o valor do percentual de desconto proposto e resultante do último lance ofertado, o cálculo dos preços unitários e totais propostos será efetuado de forma automática. </w:t>
      </w:r>
      <w:r>
        <w:rPr>
          <w:rFonts w:ascii="Verdana" w:hAnsi="Verdana" w:cs="Arial"/>
          <w:color w:val="000000"/>
          <w:sz w:val="18"/>
          <w:szCs w:val="18"/>
          <w:u w:val="single"/>
        </w:rPr>
        <w:t>A planilha encontra-se protegida</w:t>
      </w:r>
      <w:r>
        <w:rPr>
          <w:rFonts w:ascii="Verdana" w:hAnsi="Verdana" w:cs="Arial"/>
          <w:color w:val="000000"/>
          <w:sz w:val="18"/>
          <w:szCs w:val="18"/>
        </w:rPr>
        <w:t>.</w:t>
      </w:r>
      <w:r>
        <w:rPr>
          <w:rFonts w:ascii="Verdana" w:hAnsi="Verdana" w:cs="Arial"/>
          <w:sz w:val="18"/>
          <w:szCs w:val="18"/>
        </w:rPr>
        <w:t xml:space="preserve"> </w:t>
      </w:r>
    </w:p>
    <w:p>
      <w:pPr>
        <w:pStyle w:val="80"/>
        <w:keepNext w:val="0"/>
        <w:widowControl/>
        <w:numPr>
          <w:ilvl w:val="3"/>
          <w:numId w:val="13"/>
        </w:numPr>
        <w:spacing w:before="120" w:after="120"/>
        <w:ind w:left="1418" w:hanging="284"/>
        <w:textAlignment w:val="auto"/>
        <w:rPr>
          <w:rFonts w:ascii="Verdana" w:hAnsi="Verdana" w:eastAsia="Times New Roman" w:cs="Arial"/>
          <w:sz w:val="18"/>
          <w:szCs w:val="18"/>
        </w:rPr>
      </w:pPr>
      <w:r>
        <w:rPr>
          <w:rFonts w:ascii="Verdana" w:hAnsi="Verdana" w:cs="Arial"/>
          <w:sz w:val="18"/>
          <w:szCs w:val="18"/>
        </w:rPr>
        <w:t>- Não será admitido, apresentar aplicado na planilha orçamentária (Anexo III-A), percentual(is) de desconto(s) diferente(s) do valor do lance final proposto;</w:t>
      </w:r>
    </w:p>
    <w:p>
      <w:pPr>
        <w:pStyle w:val="80"/>
        <w:keepNext w:val="0"/>
        <w:widowControl/>
        <w:numPr>
          <w:ilvl w:val="3"/>
          <w:numId w:val="13"/>
        </w:numPr>
        <w:spacing w:before="120" w:after="120"/>
        <w:ind w:left="1418" w:hanging="284"/>
        <w:textAlignment w:val="auto"/>
        <w:rPr>
          <w:rFonts w:ascii="Verdana" w:hAnsi="Verdana" w:eastAsia="Times New Roman" w:cs="Arial"/>
          <w:sz w:val="18"/>
          <w:szCs w:val="18"/>
        </w:rPr>
      </w:pPr>
      <w:r>
        <w:rPr>
          <w:rFonts w:ascii="Verdana" w:hAnsi="Verdana" w:cs="Arial"/>
          <w:color w:val="000000"/>
          <w:sz w:val="18"/>
          <w:szCs w:val="18"/>
        </w:rPr>
        <w:t>– Não serão admitidas alterações de especificações, unidades, quantitativos, custos unitários, valor de BDI e dos preços unitários calculados pela UFF; se tal ocorrência for constatada será motivo de desclassificação da proposta;</w:t>
      </w:r>
      <w:bookmarkEnd w:id="5"/>
    </w:p>
    <w:p>
      <w:pPr>
        <w:pStyle w:val="67"/>
        <w:keepNext w:val="0"/>
        <w:tabs>
          <w:tab w:val="clear" w:pos="-12"/>
          <w:tab w:val="clear" w:pos="708"/>
        </w:tabs>
        <w:suppressAutoHyphens w:val="0"/>
        <w:overflowPunct/>
        <w:spacing w:before="120" w:after="120" w:line="276" w:lineRule="auto"/>
        <w:ind w:left="1134"/>
        <w:jc w:val="both"/>
        <w:rPr>
          <w:rFonts w:ascii="Verdana" w:hAnsi="Verdana" w:cs="Arial"/>
          <w:sz w:val="18"/>
          <w:szCs w:val="18"/>
        </w:rPr>
      </w:pP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com o Cronograma físico-financeiro</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com o cronograma físico e financeiro previsto para a execução dos serviços, conforme modelo disponibilizado pela UFF em anexo (anexo III-B); observando-se as etapas e prazos de execução e a previsão de reembolso orçamentário estabelecida neste Edital e seus anexos, e incluindo as etapas necessárias à medição, ao monitoramento e ao controle das obras;</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 cronograma físico-financeiro proposto pela licitante deverá observar o cronograma de desembolso máximo por período constante do Termo de Referência, bem como indicar os serviços pertencentes ao caminho crítico da obra, com valores dos serviços a serem executados, resultantes da aplicação do percentual de desconto na planilha orçamentária Anexo III-A;</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Style w:val="64"/>
          <w:rFonts w:ascii="Verdana" w:hAnsi="Verdana"/>
          <w:color w:val="auto"/>
          <w:sz w:val="18"/>
          <w:szCs w:val="18"/>
        </w:rPr>
        <w:t>Será adotado o pagamento proporcional dos valores pertinentes à administração local, quando for o caso, relativamente ao andamento físico do objeto contratual, nos termos definidos no Termo de Referência e no respectivo cronograma.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BDI</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demonstrativa da bonificação e despesas indiretas, com a composição analítica das suas taxas, que incidiram sobre os custos unitários contidos na planilha de custos e formação de preços, conforme modelo no anexo IV;</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iCs/>
          <w:sz w:val="18"/>
          <w:szCs w:val="18"/>
        </w:rPr>
        <w:t>Quanto</w:t>
      </w:r>
      <w:r>
        <w:rPr>
          <w:rFonts w:ascii="Verdana" w:hAnsi="Verdana" w:cs="Arial"/>
          <w:sz w:val="18"/>
          <w:szCs w:val="18"/>
        </w:rPr>
        <w:t xml:space="preserve"> aos custos indiretos incidentes sobre as parcelas relativas ao </w:t>
      </w:r>
      <w:r>
        <w:rPr>
          <w:rStyle w:val="64"/>
          <w:rFonts w:ascii="Verdana" w:hAnsi="Verdana"/>
          <w:color w:val="auto"/>
          <w:sz w:val="18"/>
          <w:szCs w:val="18"/>
        </w:rPr>
        <w:t>fornecimento</w:t>
      </w:r>
      <w:r>
        <w:rPr>
          <w:rFonts w:ascii="Verdana" w:hAnsi="Verdana" w:cs="Arial"/>
          <w:sz w:val="18"/>
          <w:szCs w:val="18"/>
        </w:rPr>
        <w:t xml:space="preserve"> de materiais e equipamentos, a licitante deverá apresentar um percentual reduzido de BDI, compatível com a natureza do objeto, conforme modelo anexo ao Edital;</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As alíquotas de tributos cotadas pela licitante não podem ser superiores aos limites estabelecidos na legislação tributária;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 xml:space="preserve">Os documentos em forma de planilha deverão ser encaminhados utilizando-se o aplicativo </w:t>
      </w:r>
      <w:r>
        <w:rPr>
          <w:rFonts w:ascii="Verdana" w:hAnsi="Verdana" w:cs="Times-Roman"/>
          <w:b/>
          <w:sz w:val="20"/>
          <w:szCs w:val="20"/>
        </w:rPr>
        <w:t>Adobe Acrobat Reader</w:t>
      </w:r>
      <w:r>
        <w:rPr>
          <w:rFonts w:ascii="Verdana" w:hAnsi="Verdana" w:cs="Times-Roman"/>
          <w:sz w:val="20"/>
          <w:szCs w:val="20"/>
        </w:rPr>
        <w:t xml:space="preserve"> ou semelhante, na extensão pdf, que deverão estar assinados pelo </w:t>
      </w:r>
      <w:r>
        <w:rPr>
          <w:rFonts w:ascii="Verdana" w:hAnsi="Verdana" w:cs="Times-Roman"/>
          <w:sz w:val="20"/>
          <w:szCs w:val="20"/>
          <w:u w:val="single"/>
        </w:rPr>
        <w:t>responsável técnico</w:t>
      </w:r>
      <w:r>
        <w:rPr>
          <w:rFonts w:ascii="Verdana" w:hAnsi="Verdana" w:cs="Times-Roman"/>
          <w:sz w:val="20"/>
          <w:szCs w:val="20"/>
        </w:rPr>
        <w:t xml:space="preserve"> e seu representante legal.</w:t>
      </w:r>
    </w:p>
    <w:p>
      <w:pPr>
        <w:pStyle w:val="67"/>
        <w:keepNext w:val="0"/>
        <w:numPr>
          <w:ilvl w:val="2"/>
          <w:numId w:val="1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 xml:space="preserve">Quando </w:t>
      </w:r>
      <w:r>
        <w:rPr>
          <w:rFonts w:ascii="Verdana" w:hAnsi="Verdana" w:cs="Times-Roman"/>
          <w:sz w:val="18"/>
          <w:szCs w:val="18"/>
        </w:rPr>
        <w:t>da análise da proposta apresentada,</w:t>
      </w:r>
      <w:r>
        <w:rPr>
          <w:rFonts w:ascii="Verdana" w:hAnsi="Verdana" w:cs="Arial"/>
          <w:sz w:val="18"/>
          <w:szCs w:val="18"/>
        </w:rPr>
        <w:t xml:space="preserve"> caso haja necessidade de se verificar cálculo efetuado na(s) planilha(s), a CPL se reserva o direito de solicitar </w:t>
      </w:r>
      <w:r>
        <w:rPr>
          <w:rFonts w:ascii="Verdana" w:hAnsi="Verdana" w:cs="Times-Roman"/>
          <w:sz w:val="18"/>
          <w:szCs w:val="18"/>
        </w:rPr>
        <w:t>à licitante,</w:t>
      </w:r>
      <w:r>
        <w:rPr>
          <w:rFonts w:ascii="Verdana" w:hAnsi="Verdana" w:cs="Arial"/>
          <w:sz w:val="18"/>
          <w:szCs w:val="18"/>
        </w:rPr>
        <w:t xml:space="preserve"> a apresentação da(s) mesma(s) na forma do aplicativo Excel, </w:t>
      </w:r>
      <w:r>
        <w:rPr>
          <w:rFonts w:ascii="Verdana" w:hAnsi="Verdana" w:cs="Times-Roman"/>
          <w:sz w:val="18"/>
          <w:szCs w:val="18"/>
        </w:rPr>
        <w:t>conforme modelo(s) disponibilizado(s) anexo(s) ao edital.</w:t>
      </w:r>
      <w:r>
        <w:rPr>
          <w:rFonts w:ascii="Verdana" w:hAnsi="Verdana" w:cs="Arial"/>
          <w:sz w:val="18"/>
          <w:szCs w:val="18"/>
        </w:rPr>
        <w:t xml:space="preserve"> </w:t>
      </w:r>
    </w:p>
    <w:p>
      <w:pPr>
        <w:pStyle w:val="80"/>
        <w:keepNext w:val="0"/>
        <w:widowControl/>
        <w:numPr>
          <w:ilvl w:val="1"/>
          <w:numId w:val="13"/>
        </w:numPr>
        <w:spacing w:before="120" w:after="120"/>
        <w:ind w:left="851" w:hanging="284"/>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da(s) planilha(s) não constituem motivo para a desclassificaç</w:t>
      </w:r>
      <w:r>
        <w:rPr>
          <w:rFonts w:ascii="Arial" w:hAnsi="Arial" w:cs="Arial"/>
          <w:szCs w:val="20"/>
        </w:rPr>
        <w:t>ã</w:t>
      </w:r>
      <w:r>
        <w:rPr>
          <w:rFonts w:ascii="Verdana" w:hAnsi="Verdana" w:cs="Arial"/>
          <w:szCs w:val="20"/>
        </w:rPr>
        <w:t>o da proposta. A(s) planilha(s) poderá́(ão) ser ajustada(s) pela licitante, no prazo indicado pela Comissão, desde que não haja majoração do preço.</w:t>
      </w:r>
    </w:p>
    <w:p>
      <w:pPr>
        <w:pStyle w:val="80"/>
        <w:keepNext w:val="0"/>
        <w:widowControl/>
        <w:numPr>
          <w:ilvl w:val="2"/>
          <w:numId w:val="13"/>
        </w:numPr>
        <w:spacing w:before="120" w:after="120"/>
        <w:ind w:left="1135" w:hanging="284"/>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80"/>
        <w:keepNext w:val="0"/>
        <w:widowControl/>
        <w:numPr>
          <w:ilvl w:val="2"/>
          <w:numId w:val="13"/>
        </w:numPr>
        <w:spacing w:before="120" w:after="120"/>
        <w:ind w:left="1134" w:hanging="283"/>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indicação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r>
        <w:rPr>
          <w:rFonts w:ascii="Verdana" w:hAnsi="Verdana" w:cs="Arial"/>
          <w:color w:val="000000"/>
          <w:sz w:val="18"/>
          <w:szCs w:val="18"/>
        </w:rPr>
        <w:t> </w:t>
      </w:r>
    </w:p>
    <w:p>
      <w:pPr>
        <w:pStyle w:val="80"/>
        <w:keepNext w:val="0"/>
        <w:ind w:left="1287" w:firstLine="0"/>
        <w:rPr>
          <w:rFonts w:ascii="Verdana" w:hAnsi="Verdana" w:cs="Arial"/>
          <w:color w:val="000000"/>
          <w:sz w:val="18"/>
          <w:szCs w:val="18"/>
        </w:rPr>
      </w:pPr>
    </w:p>
    <w:p>
      <w:pPr>
        <w:pStyle w:val="80"/>
        <w:keepNext w:val="0"/>
        <w:numPr>
          <w:ilvl w:val="0"/>
          <w:numId w:val="13"/>
        </w:numPr>
        <w:rPr>
          <w:rFonts w:ascii="Verdana" w:hAnsi="Verdana" w:cs="Arial"/>
          <w:bCs/>
          <w:color w:val="000000"/>
          <w:szCs w:val="20"/>
        </w:rPr>
      </w:pPr>
      <w:bookmarkStart w:id="6" w:name="_Hlk88838545"/>
      <w:bookmarkStart w:id="7" w:name="_Hlk88898657"/>
      <w:r>
        <w:rPr>
          <w:rFonts w:ascii="Verdana" w:hAnsi="Verdana" w:cs="Arial"/>
          <w:b/>
          <w:szCs w:val="20"/>
        </w:rPr>
        <w:t xml:space="preserve"> Da Habilitação</w:t>
      </w:r>
      <w:bookmarkEnd w:id="6"/>
      <w:bookmarkEnd w:id="7"/>
      <w:r>
        <w:rPr>
          <w:rFonts w:ascii="Verdana" w:hAnsi="Verdana" w:cs="Arial"/>
          <w:bCs/>
          <w:color w:val="000000"/>
          <w:szCs w:val="20"/>
        </w:rPr>
        <w:t xml:space="preserve"> </w:t>
      </w:r>
    </w:p>
    <w:p>
      <w:pPr>
        <w:pStyle w:val="80"/>
        <w:keepNext w:val="0"/>
        <w:numPr>
          <w:ilvl w:val="1"/>
          <w:numId w:val="13"/>
        </w:numPr>
        <w:rPr>
          <w:rFonts w:ascii="Verdana" w:hAnsi="Verdana" w:cs="Arial"/>
          <w:bCs/>
          <w:color w:val="000000"/>
          <w:szCs w:val="20"/>
        </w:rPr>
      </w:pPr>
      <w:bookmarkStart w:id="8" w:name="_Hlk96339076"/>
      <w:r>
        <w:rPr>
          <w:rFonts w:ascii="Verdana" w:hAnsi="Verdana" w:cs="Arial"/>
          <w:bCs/>
          <w:color w:val="000000"/>
          <w:szCs w:val="20"/>
        </w:rPr>
        <w:t>Como condição prévia ao exame da documentação de habilitação da licitante detentora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SICAF;</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Empresas Inidôneas e Suspensas - CEIS, mantido pela Controladoria Geral da União (www.portaldatransparencia.gov.br/ceis);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Lista de Inidôneos, mantida pelo Tribunal de Contas da União - TCU;</w:t>
      </w:r>
    </w:p>
    <w:p>
      <w:pPr>
        <w:pStyle w:val="80"/>
        <w:keepNext w:val="0"/>
        <w:numPr>
          <w:ilvl w:val="1"/>
          <w:numId w:val="13"/>
        </w:numPr>
        <w:ind w:left="851" w:hanging="284"/>
        <w:rPr>
          <w:rFonts w:ascii="Verdana" w:hAnsi="Verdana" w:cs="Arial"/>
          <w:bCs/>
          <w:color w:val="000000"/>
          <w:szCs w:val="20"/>
        </w:rPr>
      </w:pPr>
      <w:r>
        <w:rPr>
          <w:rFonts w:ascii="Verdana" w:hAnsi="Verdana" w:cs="Arial"/>
          <w:bCs/>
          <w:color w:val="000000"/>
          <w:szCs w:val="20"/>
        </w:rPr>
        <w:t>Para a consulta de licitantes pessoa jurídica poderá haver a substituição das consultas das alíneas "b”, “c”, “d” acima pela Consulta Consolidada de Pessoa Jurídica do TCU (https://certidoesapf.apps.tcu.gov.br/)</w:t>
      </w:r>
    </w:p>
    <w:p>
      <w:pPr>
        <w:pStyle w:val="80"/>
        <w:keepNext w:val="0"/>
        <w:numPr>
          <w:ilvl w:val="2"/>
          <w:numId w:val="13"/>
        </w:numPr>
        <w:ind w:left="1134" w:hanging="283"/>
        <w:rPr>
          <w:rFonts w:ascii="Verdana" w:hAnsi="Verdana" w:cs="Arial"/>
          <w:bCs/>
          <w:color w:val="000000"/>
          <w:sz w:val="18"/>
          <w:szCs w:val="18"/>
        </w:rPr>
      </w:pPr>
      <w:r>
        <w:rPr>
          <w:rFonts w:ascii="Verdana" w:hAnsi="Verdana" w:cs="Arial"/>
          <w:bCs/>
          <w:color w:val="000000"/>
          <w:sz w:val="18"/>
          <w:szCs w:val="18"/>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A tentativa de burla será verificada por meio dos vínculos societários, linhas de fornecimento similares, dentre outros.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A licitante será convocada para manifestação previamente à sua desclassificação.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Constatada a existência de sanção, a Comissão de Licitação reputará a licitante inabilitado, por falta de condição de participação.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Caso atendidas as condições de participação, a habilitação das licitantes será verificada por meio do SICAF, nos documentos por ele abrangidos, em relação à habilitação jurídica, à regularidade fiscal, à qualificação econômico-financeira e habilitação técnica, conforme o disposto na Instrução Normativa SEGES/MP nº 03, de 2018.</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Também será admitida a substituição parcial ou total de documentação de habilitação técnica por certificado de pré-qualificação válido quando da solicitação de sua apresentação pela Comissão de Licitação;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É dever da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pPr>
        <w:pStyle w:val="80"/>
        <w:keepNext w:val="0"/>
        <w:numPr>
          <w:ilvl w:val="1"/>
          <w:numId w:val="13"/>
        </w:numPr>
        <w:ind w:left="851" w:hanging="284"/>
        <w:rPr>
          <w:rFonts w:ascii="Verdana" w:hAnsi="Verdana" w:cs="Arial"/>
          <w:szCs w:val="20"/>
        </w:rPr>
      </w:pPr>
      <w:r>
        <w:rPr>
          <w:rFonts w:ascii="Verdana" w:hAnsi="Verdana" w:cs="Arial"/>
          <w:color w:val="000000" w:themeColor="text1"/>
          <w:szCs w:val="20"/>
        </w:rPr>
        <w:t xml:space="preserve"> A licitante classificada em primeiro lugar será convocada a encaminhar, no prazo de até 24 </w:t>
      </w:r>
      <w:r>
        <w:rPr>
          <w:rFonts w:ascii="Verdana" w:hAnsi="Verdana" w:cs="Arial"/>
          <w:iCs/>
          <w:szCs w:val="20"/>
        </w:rPr>
        <w:t>(vinte e quatro) horas</w:t>
      </w:r>
      <w:r>
        <w:rPr>
          <w:rFonts w:ascii="Verdana" w:hAnsi="Verdana" w:cs="Arial"/>
          <w:color w:val="000000" w:themeColor="text1"/>
          <w:szCs w:val="20"/>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80"/>
        <w:keepNext w:val="0"/>
        <w:widowControl/>
        <w:numPr>
          <w:ilvl w:val="2"/>
          <w:numId w:val="13"/>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Havendo a n</w:t>
      </w:r>
      <w:r>
        <w:rPr>
          <w:rFonts w:ascii="Verdana" w:hAnsi="Verdana" w:cs="Arial"/>
          <w:color w:val="000000"/>
          <w:sz w:val="18"/>
          <w:szCs w:val="18"/>
        </w:rPr>
        <w:t xml:space="preserve">ecessidade de envio de documentos </w:t>
      </w:r>
      <w:r>
        <w:rPr>
          <w:rFonts w:ascii="Verdana" w:hAnsi="Verdana" w:cs="Arial"/>
          <w:color w:val="000000" w:themeColor="text1"/>
          <w:sz w:val="18"/>
          <w:szCs w:val="18"/>
        </w:rPr>
        <w:t xml:space="preserve">complementares, </w:t>
      </w:r>
      <w:r>
        <w:rPr>
          <w:rFonts w:ascii="Verdana" w:hAnsi="Verdana" w:cs="Arial"/>
          <w:color w:val="000000"/>
          <w:sz w:val="18"/>
          <w:szCs w:val="18"/>
        </w:rPr>
        <w:t>necessários a esclarecer informações, corrigir impropriedades na documentação de habilitação ou complementar a instrução do processo, </w:t>
      </w:r>
      <w:r>
        <w:rPr>
          <w:rFonts w:ascii="Verdana" w:hAnsi="Verdana" w:cs="Arial"/>
          <w:color w:val="000000" w:themeColor="text1"/>
          <w:sz w:val="18"/>
          <w:szCs w:val="18"/>
        </w:rPr>
        <w:t xml:space="preserve">a licitante será convocada a encaminhá-los, </w:t>
      </w:r>
      <w:r>
        <w:rPr>
          <w:rFonts w:ascii="Verdana" w:hAnsi="Verdana" w:cs="Arial"/>
          <w:color w:val="000000"/>
          <w:sz w:val="18"/>
          <w:szCs w:val="18"/>
        </w:rPr>
        <w:t>em formato digital, via sistema,</w:t>
      </w:r>
      <w:r>
        <w:rPr>
          <w:rFonts w:ascii="Verdana" w:hAnsi="Verdana" w:cs="Arial"/>
          <w:color w:val="000000" w:themeColor="text1"/>
          <w:sz w:val="18"/>
          <w:szCs w:val="18"/>
        </w:rPr>
        <w:t xml:space="preserve"> no prazo de 02</w:t>
      </w:r>
      <w:r>
        <w:rPr>
          <w:rFonts w:ascii="Verdana" w:hAnsi="Verdana" w:cs="Arial"/>
          <w:sz w:val="18"/>
          <w:szCs w:val="18"/>
        </w:rPr>
        <w:t xml:space="preserve"> (duas)</w:t>
      </w:r>
      <w:r>
        <w:rPr>
          <w:rFonts w:ascii="Verdana" w:hAnsi="Verdana" w:cs="Arial"/>
          <w:iCs/>
          <w:sz w:val="18"/>
          <w:szCs w:val="18"/>
        </w:rPr>
        <w:t xml:space="preserve"> </w:t>
      </w:r>
      <w:r>
        <w:rPr>
          <w:rFonts w:ascii="Verdana" w:hAnsi="Verdana" w:cs="Arial"/>
          <w:sz w:val="18"/>
          <w:szCs w:val="18"/>
        </w:rPr>
        <w:t>horas</w:t>
      </w:r>
      <w:r>
        <w:rPr>
          <w:rFonts w:ascii="Verdana" w:hAnsi="Verdana" w:cs="Arial"/>
          <w:color w:val="000000" w:themeColor="text1"/>
          <w:sz w:val="18"/>
          <w:szCs w:val="18"/>
        </w:rPr>
        <w:t>, sob pena de inabilitação</w:t>
      </w:r>
      <w:r>
        <w:rPr>
          <w:rFonts w:ascii="Verdana" w:hAnsi="Verdana" w:cs="Arial"/>
          <w:sz w:val="18"/>
          <w:szCs w:val="18"/>
        </w:rPr>
        <w:t>.</w:t>
      </w:r>
    </w:p>
    <w:p>
      <w:pPr>
        <w:pStyle w:val="80"/>
        <w:keepNext w:val="0"/>
        <w:widowControl/>
        <w:numPr>
          <w:ilvl w:val="2"/>
          <w:numId w:val="13"/>
        </w:numPr>
        <w:spacing w:before="120" w:after="120"/>
        <w:textAlignment w:val="auto"/>
        <w:rPr>
          <w:rFonts w:ascii="Verdana" w:hAnsi="Verdana" w:cs="Arial"/>
          <w:sz w:val="18"/>
          <w:szCs w:val="18"/>
          <w:lang w:eastAsia="ar-SA"/>
        </w:rPr>
      </w:pPr>
      <w:r>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Não serão aceitos documentos de habilitação com indicação de CNPJ/CPF diferentes, salvo aqueles legalmente permitidos.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80"/>
        <w:keepNext w:val="0"/>
        <w:numPr>
          <w:ilvl w:val="3"/>
          <w:numId w:val="13"/>
        </w:numPr>
        <w:ind w:left="1418" w:hanging="284"/>
        <w:rPr>
          <w:rFonts w:ascii="Verdana" w:hAnsi="Verdana"/>
          <w:color w:val="000000"/>
          <w:sz w:val="18"/>
          <w:szCs w:val="18"/>
        </w:rPr>
      </w:pPr>
      <w:r>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pPr>
        <w:pStyle w:val="80"/>
        <w:keepNext w:val="0"/>
        <w:widowControl/>
        <w:numPr>
          <w:ilvl w:val="1"/>
          <w:numId w:val="13"/>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0"/>
        <w:keepNext w:val="0"/>
        <w:widowControl/>
        <w:numPr>
          <w:ilvl w:val="1"/>
          <w:numId w:val="13"/>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80"/>
        <w:keepNext w:val="0"/>
        <w:numPr>
          <w:ilvl w:val="1"/>
          <w:numId w:val="13"/>
        </w:numPr>
        <w:rPr>
          <w:rFonts w:ascii="Verdana" w:hAnsi="Verdana" w:cs="Arial"/>
          <w:color w:val="000000"/>
          <w:szCs w:val="20"/>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da vencedora, comprovar a regularização. O prazo poderá ser prorrogado por igual período, a critério da administração pública, quando requerida pela licitante, mediante apresentação de justificativa.</w:t>
      </w:r>
    </w:p>
    <w:p>
      <w:pPr>
        <w:pStyle w:val="80"/>
        <w:keepNext w:val="0"/>
        <w:numPr>
          <w:ilvl w:val="1"/>
          <w:numId w:val="13"/>
        </w:numPr>
        <w:rPr>
          <w:rFonts w:ascii="Verdana" w:hAnsi="Verdana" w:cs="Arial"/>
          <w:color w:val="000000"/>
          <w:szCs w:val="20"/>
        </w:rPr>
      </w:pPr>
      <w:r>
        <w:rPr>
          <w:rFonts w:ascii="Verdana" w:hAnsi="Verdana" w:cs="Arial"/>
          <w:color w:val="000000"/>
          <w:szCs w:val="20"/>
        </w:rPr>
        <w:t>Havendo necessidade de analisar minuciosamente os documentos exigidos,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Será inabilitado a licitante que não comprovar sua habilitação, seja por não apresentar quaisquer dos documentos exigidos, ou apresentá-los em desacordo com o estabelecido neste Edital.</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Constatado</w:t>
      </w:r>
      <w:r>
        <w:rPr>
          <w:rFonts w:ascii="Verdana" w:hAnsi="Verdana" w:cs="Arial"/>
          <w:color w:val="000000"/>
          <w:szCs w:val="20"/>
          <w:lang w:eastAsia="en-US"/>
        </w:rPr>
        <w:t xml:space="preserve"> o atendimento às exigências de habilitação fixadas no Edital, a licitante será declarada vencedora.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Ressalvado o disposto no item 9.3, as licitantes deverão encaminhar, nos termos deste Edital, a documentação relacionada nos itens a seguir, para fins de habilitação</w:t>
      </w:r>
      <w:r>
        <w:rPr>
          <w:rFonts w:ascii="Verdana" w:hAnsi="Verdana" w:cs="Arial"/>
          <w:szCs w:val="20"/>
        </w:rPr>
        <w:t>.</w:t>
      </w:r>
      <w:bookmarkEnd w:id="8"/>
    </w:p>
    <w:p>
      <w:pPr>
        <w:pStyle w:val="80"/>
        <w:keepNext w:val="0"/>
        <w:ind w:left="851" w:firstLine="0"/>
        <w:rPr>
          <w:rFonts w:ascii="Verdana" w:hAnsi="Verdana" w:cs="Arial"/>
          <w:color w:val="000000"/>
          <w:sz w:val="18"/>
          <w:szCs w:val="18"/>
        </w:rPr>
      </w:pPr>
    </w:p>
    <w:p>
      <w:pPr>
        <w:pStyle w:val="80"/>
        <w:keepNext w:val="0"/>
        <w:numPr>
          <w:ilvl w:val="0"/>
          <w:numId w:val="13"/>
        </w:numPr>
        <w:rPr>
          <w:rFonts w:ascii="Verdana" w:hAnsi="Verdana" w:cs="Arial"/>
          <w:b/>
          <w:bCs/>
          <w:szCs w:val="20"/>
        </w:rPr>
      </w:pPr>
      <w:r>
        <w:rPr>
          <w:rFonts w:ascii="Verdana" w:hAnsi="Verdana" w:cs="Arial"/>
          <w:b/>
          <w:bCs/>
          <w:color w:val="000000"/>
          <w:szCs w:val="20"/>
        </w:rPr>
        <w:t xml:space="preserve"> Da Habilitação jurídica:</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80"/>
        <w:keepNext w:val="0"/>
        <w:numPr>
          <w:ilvl w:val="1"/>
          <w:numId w:val="13"/>
        </w:numPr>
        <w:rPr>
          <w:rFonts w:ascii="Verdana" w:hAnsi="Verdana" w:cs="Arial"/>
          <w:sz w:val="18"/>
          <w:szCs w:val="18"/>
        </w:rPr>
      </w:pPr>
      <w:r>
        <w:rPr>
          <w:rFonts w:ascii="Verdana" w:hAnsi="Verdana" w:cs="Arial"/>
          <w:color w:val="000000"/>
          <w:sz w:val="18"/>
          <w:szCs w:val="18"/>
        </w:rPr>
        <w:t>Decreto de autorização, em se tratando de sociedade empresária estrangeira em funcionamento no País;</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Os documentos acima deverão estar acompanhados de todas as alterações ou da consolidação respectiva;</w:t>
      </w:r>
    </w:p>
    <w:p>
      <w:pPr>
        <w:pStyle w:val="80"/>
        <w:keepNext w:val="0"/>
        <w:ind w:left="1418" w:firstLine="0"/>
        <w:rPr>
          <w:rFonts w:ascii="Verdana" w:hAnsi="Verdana" w:cs="Arial"/>
          <w:color w:val="000000"/>
          <w:sz w:val="18"/>
          <w:szCs w:val="18"/>
        </w:rPr>
      </w:pPr>
    </w:p>
    <w:p>
      <w:pPr>
        <w:pStyle w:val="80"/>
        <w:keepNext w:val="0"/>
        <w:numPr>
          <w:ilvl w:val="0"/>
          <w:numId w:val="13"/>
        </w:numPr>
        <w:rPr>
          <w:rFonts w:ascii="Verdana" w:hAnsi="Verdana" w:cs="Arial"/>
          <w:b/>
          <w:szCs w:val="20"/>
        </w:rPr>
      </w:pPr>
      <w:r>
        <w:rPr>
          <w:rFonts w:ascii="Verdana" w:hAnsi="Verdana" w:cs="Arial"/>
          <w:b/>
          <w:bCs/>
          <w:color w:val="000000"/>
          <w:szCs w:val="20"/>
        </w:rPr>
        <w:t xml:space="preserve"> Da Regularidade fiscal </w:t>
      </w:r>
      <w:r>
        <w:rPr>
          <w:rFonts w:ascii="Verdana" w:hAnsi="Verdana" w:cs="Arial"/>
          <w:b/>
          <w:szCs w:val="20"/>
        </w:rPr>
        <w:t>e trabalhista</w:t>
      </w:r>
      <w:r>
        <w:rPr>
          <w:rFonts w:ascii="Verdana" w:hAnsi="Verdana" w:cs="Arial"/>
          <w:b/>
          <w:bCs/>
          <w:color w:val="000000"/>
          <w:szCs w:val="20"/>
        </w:rPr>
        <w:t>:</w:t>
      </w:r>
    </w:p>
    <w:p>
      <w:pPr>
        <w:pStyle w:val="80"/>
        <w:keepNext w:val="0"/>
        <w:numPr>
          <w:ilvl w:val="1"/>
          <w:numId w:val="13"/>
        </w:numPr>
        <w:rPr>
          <w:rFonts w:ascii="Verdana" w:hAnsi="Verdana" w:cs="Arial"/>
          <w:szCs w:val="20"/>
        </w:rPr>
      </w:pPr>
      <w:r>
        <w:rPr>
          <w:rFonts w:ascii="Verdana" w:hAnsi="Verdana" w:cs="Arial"/>
          <w:szCs w:val="20"/>
          <w:lang w:eastAsia="en-US"/>
        </w:rPr>
        <w:t>Prova de inscrição no Cadastro Nacional de Pessoas Jurídicas;</w:t>
      </w:r>
    </w:p>
    <w:p>
      <w:pPr>
        <w:pStyle w:val="80"/>
        <w:keepNext w:val="0"/>
        <w:numPr>
          <w:ilvl w:val="1"/>
          <w:numId w:val="13"/>
        </w:numPr>
        <w:rPr>
          <w:rFonts w:ascii="Verdana" w:hAnsi="Verdana" w:cs="Arial"/>
          <w:szCs w:val="20"/>
        </w:rPr>
      </w:pPr>
      <w:r>
        <w:rPr>
          <w:rFonts w:ascii="Verdana" w:hAnsi="Verdana"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80"/>
        <w:keepNext w:val="0"/>
        <w:numPr>
          <w:ilvl w:val="1"/>
          <w:numId w:val="13"/>
        </w:numPr>
        <w:rPr>
          <w:rFonts w:ascii="Verdana" w:hAnsi="Verdana" w:cs="Arial"/>
          <w:szCs w:val="20"/>
          <w:lang w:eastAsia="en-US"/>
        </w:rPr>
      </w:pPr>
      <w:r>
        <w:rPr>
          <w:rFonts w:ascii="Verdana" w:hAnsi="Verdana" w:cs="Arial"/>
          <w:color w:val="000000"/>
          <w:szCs w:val="20"/>
          <w:lang w:eastAsia="en-US"/>
        </w:rPr>
        <w:t xml:space="preserve">Prova </w:t>
      </w:r>
      <w:r>
        <w:rPr>
          <w:rFonts w:ascii="Verdana" w:hAnsi="Verdana" w:cs="Arial"/>
          <w:szCs w:val="20"/>
          <w:lang w:eastAsia="en-US"/>
        </w:rPr>
        <w:t>de regularidade com o Fundo de Garantia do Tempo de Serviço (FGTS);</w:t>
      </w:r>
    </w:p>
    <w:p>
      <w:pPr>
        <w:pStyle w:val="80"/>
        <w:keepNext w:val="0"/>
        <w:numPr>
          <w:ilvl w:val="1"/>
          <w:numId w:val="13"/>
        </w:numPr>
        <w:rPr>
          <w:rFonts w:ascii="Verdana" w:hAnsi="Verdana" w:cs="Arial"/>
          <w:szCs w:val="20"/>
        </w:rPr>
      </w:pPr>
      <w:r>
        <w:rPr>
          <w:rFonts w:ascii="Verdana" w:hAnsi="Verdana"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80"/>
        <w:keepNext w:val="0"/>
        <w:numPr>
          <w:ilvl w:val="1"/>
          <w:numId w:val="13"/>
        </w:numPr>
        <w:rPr>
          <w:rFonts w:ascii="Verdana" w:hAnsi="Verdana" w:cs="Arial"/>
          <w:szCs w:val="20"/>
        </w:rPr>
      </w:pPr>
      <w:r>
        <w:rPr>
          <w:rFonts w:ascii="Verdana" w:hAnsi="Verdana" w:cs="Arial"/>
          <w:bCs/>
          <w:szCs w:val="20"/>
        </w:rPr>
        <w:t xml:space="preserve">Prova de </w:t>
      </w:r>
      <w:r>
        <w:rPr>
          <w:rFonts w:ascii="Verdana" w:hAnsi="Verdana" w:cs="Arial"/>
          <w:szCs w:val="20"/>
          <w:lang w:eastAsia="en-US"/>
        </w:rPr>
        <w:t>inscrição</w:t>
      </w:r>
      <w:r>
        <w:rPr>
          <w:rFonts w:ascii="Verdana" w:hAnsi="Verdana" w:cs="Arial"/>
          <w:bCs/>
          <w:szCs w:val="20"/>
        </w:rPr>
        <w:t xml:space="preserve"> no cadastro de contribuintes municipal, relativo ao domicílio ou sede da licitante, pertinente ao seu ramo de atividade e compatível com o objeto contratual;</w:t>
      </w:r>
    </w:p>
    <w:p>
      <w:pPr>
        <w:pStyle w:val="80"/>
        <w:keepNext w:val="0"/>
        <w:numPr>
          <w:ilvl w:val="1"/>
          <w:numId w:val="13"/>
        </w:numPr>
        <w:rPr>
          <w:rFonts w:ascii="Verdana" w:hAnsi="Verdana" w:cs="Arial"/>
          <w:szCs w:val="20"/>
        </w:rPr>
      </w:pPr>
      <w:r>
        <w:rPr>
          <w:rFonts w:ascii="Verdana" w:hAnsi="Verdana" w:cs="Arial"/>
          <w:szCs w:val="20"/>
        </w:rPr>
        <w:t xml:space="preserve">Prova de regularidade com a Fazenda Municipal do domicílio ou sede </w:t>
      </w:r>
      <w:r>
        <w:rPr>
          <w:rFonts w:ascii="Verdana" w:hAnsi="Verdana" w:cs="Arial"/>
          <w:bCs/>
          <w:szCs w:val="20"/>
        </w:rPr>
        <w:t>da licitante</w:t>
      </w:r>
      <w:r>
        <w:rPr>
          <w:rFonts w:ascii="Verdana" w:hAnsi="Verdana" w:cs="Arial"/>
          <w:szCs w:val="20"/>
        </w:rPr>
        <w:t>;</w:t>
      </w:r>
    </w:p>
    <w:p>
      <w:pPr>
        <w:pStyle w:val="80"/>
        <w:keepNext w:val="0"/>
        <w:numPr>
          <w:ilvl w:val="1"/>
          <w:numId w:val="13"/>
        </w:numPr>
        <w:rPr>
          <w:rFonts w:ascii="Verdana" w:hAnsi="Verdana" w:cs="Arial"/>
          <w:szCs w:val="20"/>
        </w:rPr>
      </w:pPr>
      <w:r>
        <w:rPr>
          <w:rFonts w:ascii="Verdana" w:hAnsi="Verdana" w:cs="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80"/>
        <w:keepNext w:val="0"/>
        <w:ind w:left="1418" w:firstLine="0"/>
        <w:rPr>
          <w:rFonts w:ascii="Verdana" w:hAnsi="Verdana" w:cs="Arial"/>
          <w:sz w:val="18"/>
          <w:szCs w:val="18"/>
        </w:rPr>
      </w:pPr>
    </w:p>
    <w:p>
      <w:pPr>
        <w:pStyle w:val="80"/>
        <w:keepNext w:val="0"/>
        <w:numPr>
          <w:ilvl w:val="0"/>
          <w:numId w:val="13"/>
        </w:numPr>
        <w:rPr>
          <w:rFonts w:ascii="Verdana" w:hAnsi="Verdana"/>
          <w:b/>
          <w:color w:val="000000"/>
          <w:szCs w:val="20"/>
        </w:rPr>
      </w:pPr>
      <w:r>
        <w:rPr>
          <w:rFonts w:ascii="Verdana" w:hAnsi="Verdana"/>
          <w:b/>
          <w:color w:val="000000"/>
          <w:szCs w:val="20"/>
        </w:rPr>
        <w:t xml:space="preserve"> Da Qualificação Econômico-Financeira: </w:t>
      </w:r>
    </w:p>
    <w:p>
      <w:pPr>
        <w:pStyle w:val="80"/>
        <w:keepNext w:val="0"/>
        <w:numPr>
          <w:ilvl w:val="1"/>
          <w:numId w:val="13"/>
        </w:numPr>
        <w:rPr>
          <w:rFonts w:ascii="Verdana" w:hAnsi="Verdana" w:cs="Arial"/>
          <w:szCs w:val="20"/>
        </w:rPr>
      </w:pPr>
      <w:r>
        <w:rPr>
          <w:rFonts w:ascii="Verdana" w:hAnsi="Verdana" w:cs="Arial"/>
          <w:szCs w:val="20"/>
        </w:rPr>
        <w:t>Certidão negativa de falência, recuperação judicial ou recuperação extrajudicial expedida pelo distribuidor da sede da licitante;</w:t>
      </w:r>
    </w:p>
    <w:p>
      <w:pPr>
        <w:pStyle w:val="80"/>
        <w:keepNext w:val="0"/>
        <w:numPr>
          <w:ilvl w:val="2"/>
          <w:numId w:val="13"/>
        </w:numPr>
        <w:rPr>
          <w:rFonts w:ascii="Verdana" w:hAnsi="Verdana" w:cs="Arial"/>
          <w:color w:val="000000"/>
          <w:sz w:val="18"/>
          <w:szCs w:val="18"/>
          <w:lang w:eastAsia="en-US"/>
        </w:rPr>
      </w:pPr>
      <w:bookmarkStart w:id="9" w:name="_Ref532534462"/>
      <w:r>
        <w:rPr>
          <w:rFonts w:ascii="Verdana" w:hAnsi="Verdana" w:cs="Arial"/>
          <w:color w:val="000000"/>
          <w:sz w:val="18"/>
          <w:szCs w:val="18"/>
          <w:lang w:eastAsia="en-US"/>
        </w:rPr>
        <w:t>No caso de certidão positiva de recuperação judicial ou extrajudicial, a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9"/>
    </w:p>
    <w:p>
      <w:pPr>
        <w:pStyle w:val="80"/>
        <w:keepNext w:val="0"/>
        <w:numPr>
          <w:ilvl w:val="1"/>
          <w:numId w:val="13"/>
        </w:numPr>
        <w:rPr>
          <w:rFonts w:ascii="Verdana" w:hAnsi="Verdana" w:cs="Arial"/>
          <w:sz w:val="18"/>
          <w:szCs w:val="18"/>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Pr>
          <w:rFonts w:ascii="Verdana" w:hAnsi="Verdana" w:cs="Arial"/>
          <w:sz w:val="18"/>
          <w:szCs w:val="18"/>
        </w:rPr>
        <w:t>sua</w:t>
      </w:r>
      <w:r>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é admissível o balanço intermediário, se decorrer de lei ou contrato/estatuto social.</w:t>
      </w:r>
    </w:p>
    <w:p>
      <w:pPr>
        <w:pStyle w:val="80"/>
        <w:keepNext w:val="0"/>
        <w:numPr>
          <w:ilvl w:val="1"/>
          <w:numId w:val="13"/>
        </w:numPr>
        <w:tabs>
          <w:tab w:val="left" w:pos="1418"/>
        </w:tabs>
        <w:rPr>
          <w:rFonts w:ascii="Verdana" w:hAnsi="Verdana" w:cs="Arial"/>
          <w:szCs w:val="20"/>
        </w:rPr>
      </w:pPr>
      <w:r>
        <w:rPr>
          <w:rFonts w:ascii="Verdana" w:hAnsi="Verdana" w:cs="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24"/>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LG = </w:t>
            </w:r>
          </w:p>
        </w:tc>
        <w:tc>
          <w:tcPr>
            <w:tcW w:w="4961" w:type="dxa"/>
            <w:gridSpan w:val="2"/>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SG = </w:t>
            </w:r>
          </w:p>
        </w:tc>
        <w:tc>
          <w:tcPr>
            <w:tcW w:w="4961" w:type="dxa"/>
            <w:gridSpan w:val="2"/>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LC = </w:t>
            </w:r>
          </w:p>
        </w:tc>
        <w:tc>
          <w:tcPr>
            <w:tcW w:w="2409" w:type="dxa"/>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2409" w:type="dxa"/>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w:t>
            </w:r>
          </w:p>
        </w:tc>
      </w:tr>
    </w:tbl>
    <w:p>
      <w:pPr>
        <w:pStyle w:val="80"/>
        <w:keepNext w:val="0"/>
        <w:rPr>
          <w:rFonts w:ascii="Verdana" w:hAnsi="Verdana" w:cs="Arial"/>
          <w:color w:val="000000"/>
          <w:sz w:val="18"/>
          <w:szCs w:val="18"/>
        </w:rPr>
      </w:pPr>
    </w:p>
    <w:p>
      <w:pPr>
        <w:pStyle w:val="80"/>
        <w:keepNext w:val="0"/>
        <w:numPr>
          <w:ilvl w:val="2"/>
          <w:numId w:val="13"/>
        </w:numPr>
        <w:rPr>
          <w:rFonts w:ascii="Verdana" w:hAnsi="Verdana" w:cs="Arial"/>
          <w:sz w:val="18"/>
          <w:szCs w:val="18"/>
        </w:rPr>
      </w:pPr>
      <w:r>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10 % </w:t>
      </w:r>
      <w:r>
        <w:rPr>
          <w:rFonts w:ascii="Verdana" w:hAnsi="Verdana" w:cs="Arial"/>
          <w:bCs/>
          <w:sz w:val="18"/>
          <w:szCs w:val="18"/>
        </w:rPr>
        <w:t>(dez por cento)</w:t>
      </w:r>
      <w:r>
        <w:rPr>
          <w:rFonts w:ascii="Verdana" w:hAnsi="Verdana" w:cs="Arial"/>
          <w:sz w:val="18"/>
          <w:szCs w:val="18"/>
        </w:rPr>
        <w:t xml:space="preserve"> do valor estimado da contratação ou do item pertinente. </w:t>
      </w:r>
    </w:p>
    <w:p>
      <w:pPr>
        <w:pStyle w:val="80"/>
        <w:keepNext w:val="0"/>
        <w:widowControl/>
        <w:spacing w:before="120" w:after="120"/>
        <w:ind w:left="1134" w:firstLine="0"/>
        <w:rPr>
          <w:rFonts w:ascii="Verdana" w:hAnsi="Verdana" w:cs="Arial"/>
          <w:sz w:val="18"/>
          <w:szCs w:val="18"/>
        </w:rPr>
      </w:pPr>
    </w:p>
    <w:p>
      <w:pPr>
        <w:pStyle w:val="80"/>
        <w:keepNext w:val="0"/>
        <w:numPr>
          <w:ilvl w:val="0"/>
          <w:numId w:val="13"/>
        </w:numPr>
        <w:rPr>
          <w:rFonts w:ascii="Verdana" w:hAnsi="Verdana" w:cs="Arial"/>
          <w:b/>
          <w:bCs/>
          <w:iCs/>
          <w:color w:val="000000"/>
          <w:szCs w:val="20"/>
        </w:rPr>
      </w:pPr>
      <w:r>
        <w:rPr>
          <w:rFonts w:ascii="Verdana" w:hAnsi="Verdana"/>
          <w:b/>
          <w:color w:val="000000"/>
          <w:szCs w:val="20"/>
        </w:rPr>
        <w:t xml:space="preserve"> Da Habilitação Técnica:</w:t>
      </w:r>
    </w:p>
    <w:p>
      <w:pPr>
        <w:pStyle w:val="80"/>
        <w:keepNext w:val="0"/>
        <w:numPr>
          <w:ilvl w:val="1"/>
          <w:numId w:val="13"/>
        </w:numPr>
        <w:rPr>
          <w:rFonts w:ascii="Verdana" w:hAnsi="Verdana" w:cs="Arial"/>
          <w:b/>
          <w:bCs/>
          <w:iCs/>
          <w:color w:val="000000"/>
          <w:szCs w:val="20"/>
        </w:rPr>
      </w:pPr>
      <w:r>
        <w:rPr>
          <w:rFonts w:ascii="Verdana" w:hAnsi="Verdana" w:cs="Calibri" w:eastAsiaTheme="minorHAnsi"/>
          <w:szCs w:val="20"/>
          <w:lang w:eastAsia="en-US"/>
        </w:rPr>
        <w:t>Os critérios de qualificação técnica a serem atendidos pela Licitante, estão previstos no subitem 19.3 do Termo de Referência (Anexo I).</w:t>
      </w:r>
    </w:p>
    <w:p>
      <w:pPr>
        <w:pStyle w:val="67"/>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lang w:eastAsia="en-US"/>
        </w:rPr>
        <w:t xml:space="preserve">DOS </w:t>
      </w:r>
      <w:r>
        <w:rPr>
          <w:rFonts w:ascii="Verdana" w:hAnsi="Verdana" w:cs="Arial"/>
          <w:b/>
          <w:bCs/>
          <w:color w:val="000000"/>
          <w:szCs w:val="20"/>
          <w:lang w:eastAsia="en-US"/>
        </w:rPr>
        <w:t>RECURSOS</w:t>
      </w:r>
      <w:r>
        <w:rPr>
          <w:rFonts w:ascii="Verdana" w:hAnsi="Verdana" w:cs="Arial"/>
          <w:b/>
          <w:color w:val="000000"/>
          <w:szCs w:val="20"/>
          <w:lang w:eastAsia="en-US"/>
        </w:rPr>
        <w:t xml:space="preserve"> </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eastAsia="Zurich BT" w:cs="Arial"/>
          <w:bCs/>
          <w:szCs w:val="20"/>
        </w:rPr>
        <w:t>sociedade cooperativa</w:t>
      </w:r>
      <w:r>
        <w:rPr>
          <w:rFonts w:ascii="Verdana" w:hAnsi="Verdana" w:cs="Arial"/>
          <w:color w:val="000000"/>
          <w:szCs w:val="20"/>
          <w:lang w:eastAsia="en-US"/>
        </w:rPr>
        <w:t xml:space="preserve">, se for o caso, </w:t>
      </w:r>
      <w:r>
        <w:rPr>
          <w:rFonts w:ascii="Verdana" w:hAnsi="Verdana" w:cs="Arial"/>
          <w:color w:val="000000"/>
          <w:szCs w:val="20"/>
        </w:rPr>
        <w:t>poderá a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São suscetíveis de recurso neste momento as seguintes decisões:</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ato de habilitação ou inabilitação de licitante; </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julgamento das propostas; </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Independentemente do momento de realização do ato a ser recorrido, o recurso deverá ser apresentado nesta fase recursal única. </w:t>
      </w:r>
    </w:p>
    <w:p>
      <w:pPr>
        <w:pStyle w:val="80"/>
        <w:keepNext w:val="0"/>
        <w:numPr>
          <w:ilvl w:val="1"/>
          <w:numId w:val="13"/>
        </w:numPr>
        <w:ind w:left="851" w:hanging="284"/>
        <w:rPr>
          <w:rFonts w:ascii="Verdana" w:hAnsi="Verdana" w:cs="Arial"/>
          <w:szCs w:val="20"/>
        </w:rPr>
      </w:pPr>
      <w:r>
        <w:rPr>
          <w:rFonts w:ascii="Verdana" w:hAnsi="Verdana" w:cs="Arial"/>
          <w:color w:val="000000"/>
          <w:szCs w:val="20"/>
        </w:rPr>
        <w:t xml:space="preserve">Havendo quem se manifeste, caberá à Comissão de Licitação verificar a tempestividade e a </w:t>
      </w:r>
      <w:r>
        <w:rPr>
          <w:rFonts w:ascii="Verdana" w:hAnsi="Verdana" w:cs="Arial"/>
          <w:color w:val="000000"/>
          <w:szCs w:val="20"/>
          <w:lang w:eastAsia="en-US"/>
        </w:rPr>
        <w:t>existência</w:t>
      </w:r>
      <w:r>
        <w:rPr>
          <w:rFonts w:ascii="Verdana" w:hAnsi="Verdana" w:cs="Arial"/>
          <w:color w:val="000000"/>
          <w:szCs w:val="20"/>
        </w:rPr>
        <w:t xml:space="preserve"> de motivação da intenção de recorrer, para decidir se admite ou não o recurso, fundamentadamente.</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Nesse momento a Comissão de Licitação não adentrará no mérito recursal, mas apenas verificará as condições de admissibilidade do recurso.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 falta de manifestação motivada da licitante quanto à intenção de recorrer importará a decadência desse direito.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Uma vez admitido o recurso, a recorrente terá, a partir de então, o prazo de cinco dias úteis para apresentar as razões, pelo sistema eletrônico, ficando as demais licitantes, desde logo, intimados para, querendo, apresentarem contrarrazões também pelo sistema eletrônico, em outros cinco dias úteis, que começarão a contar do término do prazo da recorrente, sendo-lhes assegurada vista imediata dos elementos indispensáveis à defesa de seus interesses.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A competência e prazo para análise do recurso observará o disposto no art. 56 do Decreto nº 7.581, de 2011.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 acolhimento do recurso invalida tão somente os atos insuscetíveis de aproveitamento.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Os autos do processo permanecerão com vista franqueada aos interessados, no endereço constante neste Edital.</w:t>
      </w:r>
    </w:p>
    <w:p>
      <w:pPr>
        <w:pStyle w:val="80"/>
        <w:keepNext w:val="0"/>
        <w:ind w:left="851" w:hanging="284"/>
        <w:rPr>
          <w:rFonts w:ascii="Verdana" w:hAnsi="Verdana" w:cs="Arial"/>
          <w:szCs w:val="20"/>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rPr>
        <w:t xml:space="preserve">DA </w:t>
      </w:r>
      <w:r>
        <w:rPr>
          <w:rFonts w:ascii="Verdana" w:hAnsi="Verdana" w:cs="Arial"/>
          <w:b/>
          <w:bCs/>
          <w:color w:val="000000"/>
          <w:szCs w:val="20"/>
          <w:lang w:eastAsia="en-US"/>
        </w:rPr>
        <w:t>ADJUDICAÇÃO</w:t>
      </w:r>
      <w:r>
        <w:rPr>
          <w:rFonts w:ascii="Verdana" w:hAnsi="Verdana" w:cs="Arial"/>
          <w:b/>
          <w:color w:val="000000"/>
          <w:szCs w:val="20"/>
        </w:rPr>
        <w:t xml:space="preserve"> E HOMOLOGAÇÃO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Finalizada a fase recursal, a administração pública poderá negociar condições mais vantajosas com o primeiro colocado.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Exaurida a negociação acima, constatada a regularidade dos atos praticados, a autoridade competente poderá:</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determinar o retorno dos autos para saneamento de irregularidades que forem supríveis;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anular o procedimento, no todo ou em parte, por vício insanável;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revogar o procedimento por motivo de conveniência e oportunidade;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adjudicar o objeto, homologar a licitação e convocar a licitante vencedora para a assinatura do contrato, preferencialmente em ato único.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Caberá</w:t>
      </w:r>
      <w:r>
        <w:rPr>
          <w:rFonts w:ascii="Verdana" w:hAnsi="Verdana" w:cs="Arial"/>
          <w:color w:val="000000"/>
          <w:szCs w:val="20"/>
        </w:rPr>
        <w:t xml:space="preserve"> recurso no prazo de cinco dias úteis contado a partir da data da anulação ou revogação da licitação, observado o disposto no item 11 desse edital, no que couber. </w:t>
      </w:r>
      <w:r>
        <w:rPr>
          <w:rFonts w:ascii="Verdana" w:hAnsi="Verdana" w:cs="Arial"/>
          <w:color w:val="000000"/>
          <w:szCs w:val="20"/>
        </w:rPr>
        <w:tab/>
      </w:r>
    </w:p>
    <w:p>
      <w:pPr>
        <w:pStyle w:val="80"/>
        <w:keepNext w:val="0"/>
        <w:numPr>
          <w:ilvl w:val="0"/>
          <w:numId w:val="13"/>
        </w:numPr>
        <w:ind w:left="284" w:hanging="284"/>
        <w:rPr>
          <w:rFonts w:ascii="Verdana" w:hAnsi="Verdana" w:cs="Arial"/>
          <w:szCs w:val="20"/>
        </w:rPr>
      </w:pPr>
      <w:r>
        <w:rPr>
          <w:rFonts w:ascii="Verdana" w:hAnsi="Verdana" w:cs="Arial"/>
          <w:b/>
          <w:szCs w:val="20"/>
        </w:rPr>
        <w:t xml:space="preserve">DA </w:t>
      </w:r>
      <w:r>
        <w:rPr>
          <w:rFonts w:ascii="Verdana" w:hAnsi="Verdana" w:cs="Arial"/>
          <w:b/>
          <w:bCs/>
          <w:szCs w:val="20"/>
          <w:lang w:eastAsia="en-US"/>
        </w:rPr>
        <w:t>GARANTIA</w:t>
      </w:r>
      <w:r>
        <w:rPr>
          <w:rFonts w:ascii="Verdana" w:hAnsi="Verdana" w:cs="Arial"/>
          <w:b/>
          <w:szCs w:val="20"/>
        </w:rPr>
        <w:t xml:space="preserve"> DE EXECUÇÃO</w:t>
      </w:r>
    </w:p>
    <w:p>
      <w:pPr>
        <w:pStyle w:val="80"/>
        <w:keepNext w:val="0"/>
        <w:numPr>
          <w:ilvl w:val="1"/>
          <w:numId w:val="13"/>
        </w:numPr>
        <w:ind w:left="851" w:hanging="284"/>
        <w:rPr>
          <w:rFonts w:ascii="Verdana" w:hAnsi="Verdana" w:cs="Arial"/>
          <w:szCs w:val="20"/>
        </w:rPr>
      </w:pPr>
      <w:r>
        <w:rPr>
          <w:rFonts w:ascii="Verdana" w:hAnsi="Verdana" w:cs="Arial"/>
          <w:szCs w:val="20"/>
        </w:rPr>
        <w:t xml:space="preserve">Será exigida a prestação de garantia na presente contratação, conforme regras constantes do Termo de Referência. </w:t>
      </w:r>
    </w:p>
    <w:p>
      <w:pPr>
        <w:pStyle w:val="80"/>
        <w:keepNext w:val="0"/>
        <w:ind w:firstLine="0"/>
        <w:rPr>
          <w:rFonts w:ascii="Verdana" w:hAnsi="Verdana" w:cs="Arial"/>
          <w:bCs/>
          <w:iCs/>
          <w:color w:val="000000"/>
          <w:szCs w:val="20"/>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rPr>
        <w:t xml:space="preserve">DO </w:t>
      </w:r>
      <w:r>
        <w:rPr>
          <w:rFonts w:ascii="Verdana" w:hAnsi="Verdana" w:cs="Arial"/>
          <w:b/>
          <w:bCs/>
          <w:color w:val="000000"/>
          <w:szCs w:val="20"/>
          <w:lang w:eastAsia="en-US"/>
        </w:rPr>
        <w:t>TERMO</w:t>
      </w:r>
      <w:r>
        <w:rPr>
          <w:rFonts w:ascii="Verdana" w:hAnsi="Verdana" w:cs="Arial"/>
          <w:b/>
          <w:color w:val="000000"/>
          <w:szCs w:val="20"/>
        </w:rPr>
        <w:t xml:space="preserve"> DE CONTRATO OU INSTRUMENTO EQUIVALENTE</w:t>
      </w:r>
    </w:p>
    <w:p>
      <w:pPr>
        <w:pStyle w:val="80"/>
        <w:keepNext w:val="0"/>
        <w:numPr>
          <w:ilvl w:val="1"/>
          <w:numId w:val="13"/>
        </w:numPr>
        <w:ind w:left="851" w:hanging="284"/>
        <w:rPr>
          <w:rFonts w:ascii="Verdana" w:hAnsi="Verdana" w:cs="Arial"/>
          <w:szCs w:val="20"/>
        </w:rPr>
      </w:pPr>
      <w:r>
        <w:rPr>
          <w:rFonts w:ascii="Verdana" w:hAnsi="Verdana" w:cs="Arial"/>
          <w:szCs w:val="20"/>
        </w:rPr>
        <w:t>Após a homologação da licitação, em sendo realizada a contratação, será firmado Termo de Contrato ou emitido instrumento equivalente.</w:t>
      </w:r>
    </w:p>
    <w:p>
      <w:pPr>
        <w:pStyle w:val="80"/>
        <w:keepNext w:val="0"/>
        <w:numPr>
          <w:ilvl w:val="1"/>
          <w:numId w:val="13"/>
        </w:numPr>
        <w:ind w:left="851" w:hanging="284"/>
        <w:rPr>
          <w:rFonts w:ascii="Verdana" w:hAnsi="Verdana" w:eastAsia="Arial" w:cs="Arial"/>
          <w:color w:val="000000"/>
          <w:szCs w:val="20"/>
        </w:rPr>
      </w:pPr>
      <w:bookmarkStart w:id="10" w:name="_Hlk37451885"/>
      <w:r>
        <w:rPr>
          <w:rFonts w:ascii="Verdana" w:hAnsi="Verdana" w:eastAsia="Arial" w:cs="Arial"/>
          <w:color w:val="000000"/>
          <w:szCs w:val="20"/>
        </w:rPr>
        <w:t xml:space="preserve">A vencedora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O prazo previsto no subitem anterior poderá ser prorrogado, por igual período, por solicitação justificada da adjudicatária e aceita pela Administração.</w:t>
      </w:r>
    </w:p>
    <w:bookmarkEnd w:id="10"/>
    <w:p>
      <w:pPr>
        <w:pStyle w:val="80"/>
        <w:keepNext w:val="0"/>
        <w:numPr>
          <w:ilvl w:val="1"/>
          <w:numId w:val="13"/>
        </w:numPr>
        <w:ind w:left="851" w:hanging="284"/>
        <w:rPr>
          <w:rFonts w:ascii="Verdana" w:hAnsi="Verdana" w:eastAsia="Arial" w:cs="Arial"/>
          <w:color w:val="000000"/>
          <w:szCs w:val="20"/>
        </w:rPr>
      </w:pPr>
      <w:r>
        <w:rPr>
          <w:rFonts w:ascii="Verdana" w:hAnsi="Verdana" w:eastAsia="Arial" w:cs="Arial"/>
          <w:color w:val="000000"/>
          <w:szCs w:val="20"/>
        </w:rPr>
        <w:t>O Aceite da Nota de Empenho ou do instrumento equivalente, emitida à empresa adjudicada, implica no reconhecimento de que:</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referida Nota está substituindo o contrato, aplicando-se à relação de negócios ali estabelecida as disposições da Lei nº 8.666, de 1993;</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se vincula à sua proposta e às previsões contidas no edital e seus anexos;</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reconhece que as hipóteses de rescisão são aquelas previstas nos artigos 77 e 78 da Lei nº 8.666/93 e reconhece os direitos da Administração previstos nos artigos 79 e 80 da mesma Lei.</w:t>
      </w:r>
    </w:p>
    <w:p>
      <w:pPr>
        <w:pStyle w:val="80"/>
        <w:keepNext w:val="0"/>
        <w:numPr>
          <w:ilvl w:val="1"/>
          <w:numId w:val="13"/>
        </w:numPr>
        <w:ind w:left="851" w:hanging="284"/>
        <w:rPr>
          <w:rFonts w:ascii="Verdana" w:hAnsi="Verdana" w:eastAsia="Arial" w:cs="Arial"/>
          <w:color w:val="000000"/>
          <w:szCs w:val="20"/>
        </w:rPr>
      </w:pPr>
      <w:r>
        <w:rPr>
          <w:rFonts w:ascii="Verdana" w:hAnsi="Verdana" w:eastAsia="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Nos casos em que houver necessidade de assinatura do instrumento de contrato, e a licitante não estiver inscrita no SICAF, este deverá proceder ao seu cadastramento, sem ônus, antes da contratação.</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Na hipótese de irregularidade do registro no SICAF, o contratado deverá regularizar a sua situação perante o cadastro</w:t>
      </w:r>
      <w:r>
        <w:rPr>
          <w:rFonts w:ascii="Verdana" w:hAnsi="Verdana" w:cs="Arial"/>
          <w:color w:val="000000"/>
          <w:sz w:val="18"/>
          <w:szCs w:val="18"/>
        </w:rPr>
        <w:t xml:space="preserve"> no prazo de até 05 (cinco) dias úteis, sob pena de aplicação das penalidades previstas no edital e anexos.</w:t>
      </w:r>
    </w:p>
    <w:p>
      <w:pPr>
        <w:pStyle w:val="80"/>
        <w:keepNext w:val="0"/>
        <w:numPr>
          <w:ilvl w:val="1"/>
          <w:numId w:val="13"/>
        </w:numPr>
        <w:ind w:left="851" w:hanging="284"/>
        <w:rPr>
          <w:rFonts w:ascii="Verdana" w:hAnsi="Verdana" w:eastAsia="Arial" w:cs="Arial"/>
          <w:color w:val="000000"/>
          <w:szCs w:val="20"/>
        </w:rPr>
      </w:pPr>
      <w:r>
        <w:rPr>
          <w:rFonts w:ascii="Verdana" w:hAnsi="Verdana" w:cs="Arial"/>
          <w:color w:val="000000"/>
          <w:szCs w:val="20"/>
        </w:rPr>
        <w:t>Na assinatura do contrato, será exigida a comprovação das condições de habilitação consignadas no edital, que deverão ser mantidas pela licitante durante a vigência do contrato.</w:t>
      </w:r>
    </w:p>
    <w:p>
      <w:pPr>
        <w:pStyle w:val="80"/>
        <w:keepNext w:val="0"/>
        <w:numPr>
          <w:ilvl w:val="1"/>
          <w:numId w:val="13"/>
        </w:numPr>
        <w:ind w:left="851" w:hanging="284"/>
        <w:rPr>
          <w:rFonts w:ascii="Verdana" w:hAnsi="Verdana" w:cs="Arial"/>
          <w:color w:val="000000"/>
          <w:szCs w:val="20"/>
        </w:rPr>
      </w:pPr>
      <w:bookmarkStart w:id="11" w:name="_Hlk37452257"/>
      <w:r>
        <w:rPr>
          <w:rFonts w:ascii="Verdana" w:hAnsi="Verdana" w:cs="Arial"/>
          <w:color w:val="000000"/>
          <w:szCs w:val="20"/>
        </w:rPr>
        <w:t>Na hipótese da vencedora da licitação não comprovar as condições de habilitação consignadas no edital ou se recusar a assinar o contrato, a Administração, sem prejuízo da aplicação das sanções das demais cominações legais cabíveis a essa licitante, poderá convocar outra licitante, respeitada a ordem de classificação, para, após a comprovação dos requisitos para habilitação, analisada a proposta e eventuais documentos complementares assinar o contrato nas condições ofertadas pela licitante originalmente vencedora.</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Na hipótese de nenhuma das licitantes aceitar a contratação nos termos acima, a administração pública poderá convocar as licitantes remanescentes, na ordem de classificação, </w:t>
      </w:r>
      <w:r>
        <w:rPr>
          <w:rFonts w:ascii="Verdana" w:hAnsi="Verdana" w:eastAsia="Arial" w:cs="Arial"/>
          <w:color w:val="000000"/>
          <w:sz w:val="18"/>
          <w:szCs w:val="18"/>
        </w:rPr>
        <w:t>para</w:t>
      </w:r>
      <w:r>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11"/>
      <w:r>
        <w:rPr>
          <w:rFonts w:ascii="Verdana" w:hAnsi="Verdana" w:cs="Arial"/>
          <w:color w:val="000000"/>
          <w:sz w:val="18"/>
          <w:szCs w:val="18"/>
        </w:rPr>
        <w:t>. </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DO REAJUSTAMENTO EM SENTIDO GERAL</w:t>
      </w:r>
    </w:p>
    <w:p>
      <w:pPr>
        <w:pStyle w:val="80"/>
        <w:keepNext w:val="0"/>
        <w:numPr>
          <w:ilvl w:val="1"/>
          <w:numId w:val="13"/>
        </w:numPr>
        <w:ind w:left="851" w:hanging="284"/>
        <w:rPr>
          <w:rFonts w:ascii="Verdana" w:hAnsi="Verdana" w:cs="Arial"/>
          <w:szCs w:val="20"/>
          <w:lang w:eastAsia="en-US"/>
        </w:rPr>
      </w:pPr>
      <w:r>
        <w:rPr>
          <w:rFonts w:ascii="Verdana" w:hAnsi="Verdana" w:cs="Arial"/>
          <w:szCs w:val="20"/>
          <w:lang w:eastAsia="en-US"/>
        </w:rPr>
        <w:t xml:space="preserve">As </w:t>
      </w:r>
      <w:r>
        <w:rPr>
          <w:rFonts w:ascii="Verdana" w:hAnsi="Verdana" w:cs="Arial"/>
          <w:color w:val="000000"/>
          <w:szCs w:val="20"/>
        </w:rPr>
        <w:t>regras</w:t>
      </w:r>
      <w:r>
        <w:rPr>
          <w:rFonts w:ascii="Verdana" w:hAnsi="Verdana" w:cs="Arial"/>
          <w:szCs w:val="20"/>
          <w:lang w:eastAsia="en-US"/>
        </w:rPr>
        <w:t xml:space="preserve"> acerca do reajuste do valor contratual são as estabelecidas no Termo de Referência, anexo a este Edital.</w:t>
      </w:r>
    </w:p>
    <w:p>
      <w:pPr>
        <w:pStyle w:val="80"/>
        <w:keepNext w:val="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i/>
          <w:color w:val="FF0000"/>
          <w:szCs w:val="20"/>
        </w:rPr>
        <w:t xml:space="preserve"> </w:t>
      </w:r>
      <w:r>
        <w:rPr>
          <w:rFonts w:ascii="Verdana" w:hAnsi="Verdana" w:cs="Arial"/>
          <w:b/>
          <w:szCs w:val="20"/>
        </w:rPr>
        <w:t xml:space="preserve">DA </w:t>
      </w:r>
      <w:r>
        <w:rPr>
          <w:rFonts w:ascii="Verdana" w:hAnsi="Verdana" w:cs="Arial"/>
          <w:b/>
          <w:color w:val="000000"/>
          <w:szCs w:val="20"/>
        </w:rPr>
        <w:t>ACEITAÇÃO</w:t>
      </w:r>
      <w:r>
        <w:rPr>
          <w:rFonts w:ascii="Verdana" w:hAnsi="Verdana" w:cs="Arial"/>
          <w:b/>
          <w:szCs w:val="20"/>
        </w:rPr>
        <w:t xml:space="preserve"> DO OBJETO E DA FISCALIZAÇÃO</w:t>
      </w:r>
    </w:p>
    <w:p>
      <w:pPr>
        <w:pStyle w:val="80"/>
        <w:keepNext w:val="0"/>
        <w:numPr>
          <w:ilvl w:val="1"/>
          <w:numId w:val="13"/>
        </w:numPr>
        <w:ind w:left="851" w:hanging="284"/>
        <w:rPr>
          <w:rFonts w:ascii="Verdana" w:hAnsi="Verdana" w:cs="Arial"/>
          <w:szCs w:val="20"/>
        </w:rPr>
      </w:pPr>
      <w:r>
        <w:rPr>
          <w:rFonts w:ascii="Verdana" w:hAnsi="Verdana" w:cs="Arial"/>
          <w:szCs w:val="20"/>
          <w:lang w:eastAsia="en-US"/>
        </w:rPr>
        <w:t>Os critérios de recebimento e aceitação do objeto e de fiscalização estão previstos no Termo de Referência.</w:t>
      </w:r>
    </w:p>
    <w:p>
      <w:pPr>
        <w:pStyle w:val="80"/>
        <w:keepNext w:val="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As </w:t>
      </w:r>
      <w:r>
        <w:rPr>
          <w:rFonts w:ascii="Verdana" w:hAnsi="Verdana" w:cs="Arial"/>
          <w:szCs w:val="20"/>
          <w:lang w:eastAsia="en-US"/>
        </w:rPr>
        <w:t>obrigações</w:t>
      </w:r>
      <w:r>
        <w:rPr>
          <w:rFonts w:ascii="Verdana" w:hAnsi="Verdana" w:cs="Arial"/>
          <w:color w:val="000000"/>
          <w:szCs w:val="20"/>
          <w:lang w:eastAsia="en-US"/>
        </w:rPr>
        <w:t xml:space="preserve"> da Contratante e da Contratada são as estabelecidas no </w:t>
      </w:r>
      <w:r>
        <w:rPr>
          <w:rFonts w:ascii="Verdana" w:hAnsi="Verdana" w:cs="Arial"/>
          <w:szCs w:val="20"/>
          <w:lang w:eastAsia="en-US"/>
        </w:rPr>
        <w:t>Termo de Referência.</w:t>
      </w:r>
    </w:p>
    <w:p>
      <w:pPr>
        <w:pStyle w:val="80"/>
        <w:keepNext w:val="0"/>
        <w:widowControl/>
        <w:spacing w:before="120" w:after="12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b/>
          <w:color w:val="000000"/>
          <w:szCs w:val="20"/>
        </w:rPr>
        <w:t xml:space="preserve">DO </w:t>
      </w:r>
      <w:r>
        <w:rPr>
          <w:rFonts w:ascii="Verdana" w:hAnsi="Verdana" w:cs="Arial"/>
          <w:b/>
          <w:color w:val="000000"/>
          <w:szCs w:val="20"/>
          <w:lang w:eastAsia="en-US"/>
        </w:rPr>
        <w:t>PAGAMENTO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As regras </w:t>
      </w:r>
      <w:r>
        <w:rPr>
          <w:rFonts w:ascii="Verdana" w:hAnsi="Verdana" w:cs="Arial"/>
          <w:szCs w:val="20"/>
          <w:lang w:eastAsia="en-US"/>
        </w:rPr>
        <w:t>acerca</w:t>
      </w:r>
      <w:r>
        <w:rPr>
          <w:rFonts w:ascii="Verdana" w:hAnsi="Verdana" w:cs="Arial"/>
          <w:color w:val="000000"/>
          <w:szCs w:val="20"/>
          <w:lang w:eastAsia="en-US"/>
        </w:rPr>
        <w:t xml:space="preserve"> do pagamento são as estabelecidas no Termo de Referência, anexo a 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É admitida a cessão de crédito decorrente da contratação de que trata este Instrumento Convocatório, nos termos do previsto na minuta contratual anexa a este Edital. </w:t>
      </w:r>
    </w:p>
    <w:p>
      <w:pPr>
        <w:pStyle w:val="80"/>
        <w:keepNext w:val="0"/>
        <w:numPr>
          <w:ilvl w:val="2"/>
          <w:numId w:val="13"/>
        </w:numPr>
        <w:ind w:left="1134" w:hanging="283"/>
        <w:rPr>
          <w:rFonts w:ascii="Verdana" w:hAnsi="Verdana" w:cs="Arial"/>
          <w:iCs/>
          <w:sz w:val="18"/>
          <w:szCs w:val="18"/>
          <w:lang w:eastAsia="en-US"/>
        </w:rPr>
      </w:pPr>
      <w:r>
        <w:rPr>
          <w:rFonts w:ascii="Verdana" w:hAnsi="Verdana" w:cs="Arial"/>
          <w:iCs/>
          <w:sz w:val="18"/>
          <w:szCs w:val="18"/>
          <w:lang w:eastAsia="en-US"/>
        </w:rPr>
        <w:t>A presente contratação não permite a antecipação de pagamento, conforme as regras previstas no Termo de Referência.</w:t>
      </w:r>
    </w:p>
    <w:p>
      <w:pPr>
        <w:pStyle w:val="80"/>
        <w:keepNext w:val="0"/>
        <w:ind w:left="1854" w:firstLine="0"/>
        <w:rPr>
          <w:rFonts w:ascii="Verdana" w:hAnsi="Verdana" w:cs="Arial"/>
          <w:iCs/>
          <w:sz w:val="18"/>
          <w:szCs w:val="18"/>
          <w:lang w:eastAsia="en-US"/>
        </w:rPr>
      </w:pPr>
    </w:p>
    <w:p>
      <w:pPr>
        <w:pStyle w:val="80"/>
        <w:keepNext w:val="0"/>
        <w:numPr>
          <w:ilvl w:val="0"/>
          <w:numId w:val="13"/>
        </w:numPr>
        <w:rPr>
          <w:rFonts w:ascii="Verdana" w:hAnsi="Verdana" w:cs="Arial"/>
          <w:szCs w:val="20"/>
        </w:rPr>
      </w:pPr>
      <w:r>
        <w:rPr>
          <w:rFonts w:ascii="Verdana" w:hAnsi="Verdana" w:cs="Arial"/>
          <w:b/>
          <w:color w:val="000000"/>
          <w:szCs w:val="20"/>
        </w:rPr>
        <w:t>DAS SANÇÕES ADMINISTRATIVAS.</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Comete</w:t>
      </w:r>
      <w:r>
        <w:rPr>
          <w:rFonts w:ascii="Verdana" w:hAnsi="Verdana" w:cs="Arial"/>
          <w:szCs w:val="20"/>
          <w:shd w:val="clear" w:color="auto" w:fill="FFFFFF"/>
        </w:rPr>
        <w:t xml:space="preserve"> infração administrativa, nos termos do art. 47 da Lei nº 12.462, de 2011, a licitante que: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convocada dentro do prazo de validade da sua proposta não celebrar o contrato, inclusive nas hipóteses previstas no item 16.6 deste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deixar de entregar a documentação exigida para o certame ou apresentar documento falso;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ensejar o retardamento da execução ou da entrega do objeto da licitação sem motivo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não mantiver a proposta, salvo se em decorrência de fato superveniente, devidamente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fraudar a licitação ou praticar atos fraudulentos na execução do contrato;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comportar-se de modo inidôneo ou cometer fraude fiscal;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der causa à inexecução total ou parcial do contrato.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Considera-se comportamento inidôneo a declaração falsa quanto às condições de participação, quanto ao enquadramento como ME/EPP ou o conluio entre as licitantes, em qualquer momento da licitação, mesmo após o encerramento da fase de lances.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licitante que cometer qualquer das infrações discriminadas nos subitens anteriores ficará sujeito, sem prejuízo da responsabilidade civil e criminal, às seguintes sanções: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Advertência por faltas leves, assim entendidas como aquelas que não acarretarem prejuízos significativos ao objeto da contratação;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Multa de até 1% (um por cento) sobre o valor total da obra estimado pela Administração, prejudicado pela conduta da licitante;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Suspensão temporária de participação em licitação e impedimento de contratar com a Administração, por prazo não superior a 2 (dois) anos;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penalidade de multa pode ser aplicada cumulativamente com as demais sanções.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Caso o valor da multa não seja suficiente para cobrir os prejuízos causados pela conduta da licitante, a União ou Entidade poderá cobrar o valor remanescente judicialmente, conforme artigo 419 do Código Civil.</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aplicação de qualquer das penalidades previstas realizar-se-á em processo administrativo que assegurará o contraditório e a ampla defesa a licitante02/2022judicatária, observando-se o procedimento previsto na Lei nº 12.462, de 2011, e subsidiariamente nas Leis nº 8.666, de 1993 e 9.784, de 1999.</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penalidades serão obrigatoriamente registradas no SICAF.</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sanções por atos praticados no decorrer da contratação estão previstas no Termo de Referência.</w:t>
      </w:r>
    </w:p>
    <w:p>
      <w:pPr>
        <w:pStyle w:val="80"/>
        <w:keepNext w:val="0"/>
        <w:widowControl/>
        <w:spacing w:before="120" w:after="120"/>
        <w:ind w:left="425" w:firstLine="0"/>
        <w:rPr>
          <w:rFonts w:ascii="Verdana" w:hAnsi="Verdana" w:cs="Arial"/>
          <w:szCs w:val="20"/>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 xml:space="preserve"> DA IMPUGNAÇÃO AO EDITAL E DO PEDIDO DE ESCLARECIMENTO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Até 5 (cinco) dias úteis antes da data designada para a abertura da sessão pública, qualquer pessoa poderá impugnar este Edital.</w:t>
      </w:r>
    </w:p>
    <w:p>
      <w:pPr>
        <w:pStyle w:val="80"/>
        <w:keepNext w:val="0"/>
        <w:numPr>
          <w:ilvl w:val="2"/>
          <w:numId w:val="13"/>
        </w:numPr>
        <w:rPr>
          <w:rFonts w:ascii="Verdana" w:hAnsi="Verdana" w:cs="Arial"/>
          <w:color w:val="000000"/>
          <w:sz w:val="18"/>
          <w:szCs w:val="18"/>
          <w:lang w:eastAsia="en-US"/>
        </w:rPr>
      </w:pPr>
      <w:r>
        <w:rPr>
          <w:rFonts w:ascii="Verdana" w:hAnsi="Verdana" w:cs="Arial"/>
          <w:color w:val="000000"/>
          <w:sz w:val="18"/>
          <w:szCs w:val="18"/>
          <w:lang w:eastAsia="en-US"/>
        </w:rPr>
        <w:t xml:space="preserve">A Comissão do RDC deverá </w:t>
      </w:r>
      <w:r>
        <w:rPr>
          <w:rFonts w:ascii="Arial" w:hAnsi="Arial" w:cs="Arial" w:eastAsiaTheme="minorHAnsi"/>
          <w:szCs w:val="20"/>
          <w:lang w:eastAsia="en-US" w:bidi="ar-SA"/>
        </w:rPr>
        <w:t>julgar e responder à impugnação interposta em até</w:t>
      </w:r>
      <w:r>
        <w:rPr>
          <w:rFonts w:ascii="Verdana" w:hAnsi="Verdana" w:cs="Arial"/>
          <w:color w:val="000000"/>
          <w:sz w:val="18"/>
          <w:szCs w:val="18"/>
          <w:lang w:eastAsia="en-US"/>
        </w:rPr>
        <w:t xml:space="preserve"> 03 (três) dias úteis, conforme determinação constante no § </w:t>
      </w:r>
      <w:r>
        <w:rPr>
          <w:rFonts w:ascii="Verdana" w:hAnsi="Verdana" w:cs="Arial"/>
          <w:color w:val="000000"/>
          <w:szCs w:val="20"/>
          <w:lang w:eastAsia="en-US"/>
        </w:rPr>
        <w:t>1º do art</w:t>
      </w:r>
      <w:r>
        <w:rPr>
          <w:rFonts w:ascii="Verdana" w:hAnsi="Verdana" w:cs="Arial"/>
          <w:color w:val="000000"/>
          <w:sz w:val="18"/>
          <w:szCs w:val="18"/>
          <w:lang w:eastAsia="en-US"/>
        </w:rPr>
        <w:t>. 41 da Lei 8.666/93.</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 xml:space="preserve">A impugnação poderá ser realizada por forma eletrônica, pelo e-mail </w:t>
      </w:r>
      <w:r>
        <w:fldChar w:fldCharType="begin"/>
      </w:r>
      <w:r>
        <w:instrText xml:space="preserve"> HYPERLINK "mailto:cpl@id.uff.br" </w:instrText>
      </w:r>
      <w:r>
        <w:fldChar w:fldCharType="separate"/>
      </w:r>
      <w:r>
        <w:rPr>
          <w:rStyle w:val="12"/>
          <w:rFonts w:ascii="Verdana" w:hAnsi="Verdana"/>
          <w:b/>
          <w:szCs w:val="20"/>
        </w:rPr>
        <w:t>rdc.cli.proad@id.uff.br</w:t>
      </w:r>
      <w:r>
        <w:rPr>
          <w:rStyle w:val="12"/>
          <w:rFonts w:ascii="Verdana" w:hAnsi="Verdana"/>
          <w:b/>
          <w:szCs w:val="20"/>
        </w:rPr>
        <w:fldChar w:fldCharType="end"/>
      </w:r>
      <w:r>
        <w:rPr>
          <w:rFonts w:ascii="Verdana" w:hAnsi="Verdana"/>
          <w:b/>
          <w:szCs w:val="20"/>
        </w:rPr>
        <w:t>.</w:t>
      </w:r>
      <w:r>
        <w:rPr>
          <w:rFonts w:ascii="Verdana" w:hAnsi="Verdana"/>
          <w:szCs w:val="20"/>
        </w:rPr>
        <w:t xml:space="preserve"> para a Comissão do RDC</w:t>
      </w:r>
      <w:r>
        <w:rPr>
          <w:rFonts w:ascii="Verdana" w:hAnsi="Verdana" w:cs="Arial"/>
          <w:color w:val="000000"/>
          <w:szCs w:val="20"/>
          <w:lang w:eastAsia="en-US"/>
        </w:rPr>
        <w:t xml:space="preserve">, ou por petição dirigida ou protocolada </w:t>
      </w:r>
      <w:r>
        <w:rPr>
          <w:rFonts w:ascii="Verdana" w:hAnsi="Verdana" w:cs="Arial"/>
          <w:szCs w:val="20"/>
        </w:rPr>
        <w:t>no Protocolo Geral da Reitoria, situado na Rua Miguel de Frias n.º 09, Icaraí, Niterói – RJ</w:t>
      </w:r>
      <w:r>
        <w:rPr>
          <w:rFonts w:ascii="Verdana" w:hAnsi="Verdana" w:cs="Arial"/>
          <w:color w:val="000000"/>
          <w:szCs w:val="20"/>
        </w:rPr>
        <w:t>.</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Acolhida a impugnação, será definida e publicada nova data para a realização do certame.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Cs w:val="20"/>
        </w:rPr>
        <w:t xml:space="preserve"> </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sz w:val="18"/>
          <w:szCs w:val="18"/>
        </w:rPr>
        <w:t xml:space="preserve">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informando </w:t>
      </w:r>
      <w:r>
        <w:rPr>
          <w:rFonts w:ascii="Verdana" w:hAnsi="Verdana"/>
          <w:b/>
          <w:sz w:val="18"/>
          <w:szCs w:val="18"/>
        </w:rPr>
        <w:t>o número da licitação, modalidade, objeto e nº do processo</w:t>
      </w:r>
      <w:r>
        <w:rPr>
          <w:rFonts w:ascii="Verdana" w:hAnsi="Verdana"/>
          <w:sz w:val="18"/>
          <w:szCs w:val="18"/>
        </w:rPr>
        <w:t xml:space="preserve">, por e-mail: </w:t>
      </w:r>
      <w:r>
        <w:fldChar w:fldCharType="begin"/>
      </w:r>
      <w:r>
        <w:instrText xml:space="preserve"> HYPERLINK "mailto:cpl@id.uff.br" </w:instrText>
      </w:r>
      <w:r>
        <w:fldChar w:fldCharType="separate"/>
      </w:r>
      <w:r>
        <w:rPr>
          <w:rStyle w:val="12"/>
          <w:rFonts w:ascii="Verdana" w:hAnsi="Verdana"/>
          <w:b/>
          <w:sz w:val="18"/>
          <w:szCs w:val="18"/>
        </w:rPr>
        <w:t>rdc.cli.proad@id.uff.br</w:t>
      </w:r>
      <w:r>
        <w:rPr>
          <w:rStyle w:val="12"/>
          <w:rFonts w:ascii="Verdana" w:hAnsi="Verdana"/>
          <w:b/>
          <w:sz w:val="18"/>
          <w:szCs w:val="18"/>
        </w:rPr>
        <w:fldChar w:fldCharType="end"/>
      </w:r>
      <w:r>
        <w:rPr>
          <w:rFonts w:ascii="Verdana" w:hAnsi="Verdana"/>
          <w:b/>
          <w:sz w:val="18"/>
          <w:szCs w:val="18"/>
        </w:rPr>
        <w:t>.</w:t>
      </w:r>
      <w:r>
        <w:rPr>
          <w:rFonts w:ascii="Verdana" w:hAnsi="Verdana"/>
          <w:sz w:val="18"/>
          <w:szCs w:val="18"/>
        </w:rPr>
        <w:t xml:space="preserve"> para a Comissão do RDC que os reencaminhará para a Coordenadoria de Arquitetura/CArq da Divisão de Projetos/DDP da Superintendência de Arquitetura, Engenharia e Patrimônio/SAEP, para que os esclarecimentos possam ser prestados.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impugnações e pedidos de esclarecimentos não suspendem os prazos previstos no certame.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concessão de efeito suspensivo à impugnação é medida excepcional e deverá ser motivada pelo pregoeiro, nos autos do processo de licitação.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respostas aos pedidos de esclarecimentos serão divulgadas pelo sistema e vincularão os participantes e a Administração.</w:t>
      </w:r>
    </w:p>
    <w:p>
      <w:pPr>
        <w:pStyle w:val="80"/>
        <w:keepNext w:val="0"/>
        <w:ind w:firstLine="0"/>
        <w:rPr>
          <w:rFonts w:ascii="Verdana" w:hAnsi="Verdana" w:cs="Arial"/>
          <w:b/>
          <w:color w:val="000000"/>
          <w:szCs w:val="20"/>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DAS DISPOSIÇÕES GERAIS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Da sessão pública do RDC divulgar-se-á Ata no sistema eletrônico.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Todas as referências de tempo no Edital, no aviso e durante a sessão pública observarão o horário de Brasília – DF.</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homologação do resultado desta licitação não implicará direito à contratação.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licitantes assumem todos os custos de preparação e apresentação de suas propostas e a Administração não será, em nenhum caso, responsável por esses custos, independentemente da condução ou do resultado do processo licitatório.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 desatendimento de exigências formais não essenciais não importará o afastamento da licitante, desde que seja possível o aproveitamento do ato, observados os princípios da isonomia e do interesse público.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Em caso de divergência entre disposições deste Edital e de seus anexos ou demais peças que compõem o processo, prevalecerá as deste Edital.</w:t>
      </w:r>
    </w:p>
    <w:p>
      <w:pPr>
        <w:pStyle w:val="80"/>
        <w:keepNext w:val="0"/>
        <w:numPr>
          <w:ilvl w:val="1"/>
          <w:numId w:val="13"/>
        </w:numPr>
        <w:ind w:left="851" w:hanging="284"/>
        <w:rPr>
          <w:rFonts w:ascii="Verdana" w:hAnsi="Verdana" w:cs="Arial"/>
          <w:color w:val="000000"/>
          <w:szCs w:val="20"/>
          <w:lang w:eastAsia="en-US"/>
        </w:rPr>
      </w:pPr>
      <w:r>
        <w:rPr>
          <w:rFonts w:ascii="Verdana" w:hAnsi="Verdana"/>
          <w:color w:val="000000"/>
          <w:szCs w:val="20"/>
          <w:shd w:val="clear" w:color="auto" w:fill="FFFFFF"/>
        </w:rPr>
        <w:t>O Edital está disponibilizado, na íntegra, no endereço eletrônico</w:t>
      </w:r>
      <w:r>
        <w:fldChar w:fldCharType="begin"/>
      </w:r>
      <w:r>
        <w:instrText xml:space="preserve"> HYPERLINK </w:instrText>
      </w:r>
      <w:r>
        <w:fldChar w:fldCharType="separate"/>
      </w:r>
      <w:r>
        <w:rPr>
          <w:rStyle w:val="12"/>
          <w:rFonts w:ascii="Verdana" w:hAnsi="Verdana"/>
          <w:szCs w:val="20"/>
        </w:rPr>
        <w:t xml:space="preserve"> </w:t>
      </w:r>
      <w:r>
        <w:rPr>
          <w:rStyle w:val="12"/>
          <w:rFonts w:ascii="Verdana" w:hAnsi="Verdana" w:cs="Arial"/>
          <w:szCs w:val="20"/>
          <w:shd w:val="clear" w:color="auto" w:fill="FFFFFF"/>
        </w:rPr>
        <w:t>www.gov.br/compras</w:t>
      </w:r>
      <w:r>
        <w:rPr>
          <w:rStyle w:val="12"/>
          <w:rFonts w:ascii="Verdana" w:hAnsi="Verdana" w:cs="Arial"/>
          <w:szCs w:val="20"/>
          <w:shd w:val="clear" w:color="auto" w:fill="FFFFFF"/>
        </w:rPr>
        <w:fldChar w:fldCharType="end"/>
      </w:r>
      <w:r>
        <w:rPr>
          <w:rFonts w:ascii="Verdana" w:hAnsi="Verdana"/>
          <w:szCs w:val="20"/>
        </w:rPr>
        <w:t xml:space="preserve"> ou </w:t>
      </w:r>
      <w:r>
        <w:fldChar w:fldCharType="begin"/>
      </w:r>
      <w:r>
        <w:instrText xml:space="preserve"> HYPERLINK "http://www.uff.br/licitacoes" </w:instrText>
      </w:r>
      <w:r>
        <w:fldChar w:fldCharType="separate"/>
      </w:r>
      <w:r>
        <w:rPr>
          <w:rStyle w:val="12"/>
          <w:rFonts w:ascii="Verdana" w:hAnsi="Verdana" w:cs="Arial"/>
          <w:szCs w:val="20"/>
          <w:shd w:val="clear" w:color="auto" w:fill="FFFFFF"/>
        </w:rPr>
        <w:t>www.uff.br/licitacoes</w:t>
      </w:r>
      <w:r>
        <w:rPr>
          <w:rStyle w:val="12"/>
          <w:rFonts w:ascii="Verdana" w:hAnsi="Verdana" w:cs="Arial"/>
          <w:szCs w:val="20"/>
          <w:shd w:val="clear" w:color="auto" w:fill="FFFFFF"/>
        </w:rPr>
        <w:fldChar w:fldCharType="end"/>
      </w:r>
      <w:r>
        <w:rPr>
          <w:rFonts w:ascii="Verdana" w:hAnsi="Verdana"/>
          <w:szCs w:val="20"/>
        </w:rPr>
        <w:t>.</w:t>
      </w:r>
      <w:r>
        <w:rPr>
          <w:rFonts w:ascii="Verdana" w:hAnsi="Verdana"/>
          <w:color w:val="000000"/>
          <w:szCs w:val="20"/>
          <w:shd w:val="clear" w:color="auto" w:fill="FFFFFF"/>
        </w:rPr>
        <w:t xml:space="preserve">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w:instrText>
      </w:r>
      <w:r>
        <w:fldChar w:fldCharType="separate"/>
      </w:r>
      <w:r>
        <w:rPr>
          <w:rStyle w:val="12"/>
          <w:rFonts w:ascii="Verdana" w:hAnsi="Verdana" w:cs="Arial"/>
          <w:szCs w:val="20"/>
          <w:shd w:val="clear" w:color="auto" w:fill="FFFFFF"/>
        </w:rPr>
        <w:t>www.uff.br/licitacoes</w:t>
      </w:r>
      <w:r>
        <w:rPr>
          <w:rStyle w:val="12"/>
          <w:rFonts w:ascii="Verdana" w:hAnsi="Verdana" w:cs="Arial"/>
          <w:szCs w:val="20"/>
          <w:shd w:val="clear" w:color="auto" w:fill="FFFFFF"/>
        </w:rPr>
        <w:fldChar w:fldCharType="end"/>
      </w:r>
      <w:r>
        <w:rPr>
          <w:rFonts w:ascii="Verdana" w:hAnsi="Verdana" w:cs="Arial"/>
          <w:szCs w:val="20"/>
          <w:shd w:val="clear" w:color="auto" w:fill="FFFFFF"/>
        </w:rPr>
        <w:t>&gt;</w:t>
      </w:r>
      <w:r>
        <w:rPr>
          <w:rFonts w:ascii="Verdana" w:hAnsi="Verdana" w:cs="Arial"/>
          <w:color w:val="000000"/>
          <w:szCs w:val="20"/>
          <w:lang w:eastAsia="en-US"/>
        </w:rPr>
        <w:t>.</w:t>
      </w:r>
    </w:p>
    <w:p>
      <w:pPr>
        <w:pStyle w:val="80"/>
        <w:keepNext w:val="0"/>
        <w:ind w:left="851" w:hanging="284"/>
        <w:rPr>
          <w:rFonts w:ascii="Verdana" w:hAnsi="Verdana" w:cs="Arial"/>
          <w:color w:val="000000"/>
          <w:szCs w:val="20"/>
          <w:lang w:eastAsia="en-US"/>
        </w:rPr>
      </w:pP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Cs w:val="20"/>
          <w:lang w:eastAsia="en-US"/>
        </w:rPr>
        <w:t>Integram este Edital, para todos os fins e efeitos, os seguintes anexos:</w:t>
      </w:r>
    </w:p>
    <w:p>
      <w:pPr>
        <w:pStyle w:val="80"/>
        <w:keepNext w:val="0"/>
        <w:numPr>
          <w:ilvl w:val="2"/>
          <w:numId w:val="13"/>
        </w:numPr>
        <w:ind w:left="1134" w:hanging="283"/>
        <w:rPr>
          <w:rFonts w:ascii="Verdana" w:hAnsi="Verdana" w:cs="Arial"/>
          <w:sz w:val="18"/>
          <w:szCs w:val="18"/>
        </w:rPr>
      </w:pPr>
      <w:r>
        <w:rPr>
          <w:rFonts w:ascii="Verdana" w:hAnsi="Verdana" w:cs="Arial"/>
          <w:color w:val="000000"/>
          <w:sz w:val="18"/>
          <w:szCs w:val="18"/>
        </w:rPr>
        <w:t>ANEXO I – Termo de Referência;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II – Caderno de Especificações;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III-A – Planilha de Custos e Formação de Preços;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III-B – Modelo de Cronograma Físico-Financeiro;</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IV – Modelo de Composição do BDI;</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 – Modelo de Carta Proposta;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sz w:val="18"/>
          <w:szCs w:val="18"/>
        </w:rPr>
        <w:t xml:space="preserve"> VI – Modelo de Termo de Realização de Vistoria;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ANEXO VII – Modelo de Termo de não Realização de Vistoria;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 VIII– Modelo de Declaração de Responsabilidade</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 xml:space="preserve">ANEXO IX - </w:t>
      </w:r>
      <w:r>
        <w:rPr>
          <w:rFonts w:ascii="Verdana" w:hAnsi="Verdana" w:cs="Arial"/>
          <w:bCs/>
          <w:iCs/>
          <w:sz w:val="18"/>
          <w:szCs w:val="18"/>
        </w:rPr>
        <w:t>Minuta de Termo de Contrato;</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X-A – Registro fotográfico CLP;</w:t>
      </w:r>
    </w:p>
    <w:p>
      <w:pPr>
        <w:pStyle w:val="80"/>
        <w:keepNext w:val="0"/>
        <w:numPr>
          <w:ilvl w:val="2"/>
          <w:numId w:val="13"/>
        </w:numPr>
        <w:ind w:left="1134" w:hanging="283"/>
        <w:rPr>
          <w:rFonts w:ascii="Verdana" w:hAnsi="Verdana" w:cs="Arial"/>
          <w:sz w:val="18"/>
          <w:szCs w:val="18"/>
        </w:rPr>
      </w:pPr>
      <w:r>
        <w:rPr>
          <w:rFonts w:ascii="Verdana" w:hAnsi="Verdana" w:cs="Arial"/>
          <w:bCs/>
          <w:iCs/>
          <w:sz w:val="18"/>
          <w:szCs w:val="18"/>
        </w:rPr>
        <w:t>ANEXO X-B – Registro fotográfico Almoxarifado e</w:t>
      </w:r>
    </w:p>
    <w:p>
      <w:pPr>
        <w:pStyle w:val="80"/>
        <w:keepNext w:val="0"/>
        <w:numPr>
          <w:ilvl w:val="2"/>
          <w:numId w:val="13"/>
        </w:numPr>
        <w:ind w:left="1134" w:hanging="283"/>
        <w:rPr>
          <w:rFonts w:ascii="Verdana" w:hAnsi="Verdana" w:cs="Arial"/>
          <w:sz w:val="18"/>
          <w:szCs w:val="18"/>
        </w:rPr>
      </w:pPr>
      <w:r>
        <w:rPr>
          <w:rFonts w:ascii="Verdana" w:hAnsi="Verdana" w:cs="Arial"/>
          <w:bCs/>
          <w:iCs/>
          <w:sz w:val="18"/>
          <w:szCs w:val="18"/>
        </w:rPr>
        <w:t>ANEXO XI – Plantas.</w:t>
      </w:r>
    </w:p>
    <w:p>
      <w:pPr>
        <w:pStyle w:val="80"/>
        <w:keepNext w:val="0"/>
        <w:ind w:left="1854" w:firstLine="0"/>
        <w:rPr>
          <w:rFonts w:ascii="Verdana" w:hAnsi="Verdana" w:cs="Arial"/>
          <w:sz w:val="18"/>
          <w:szCs w:val="18"/>
        </w:rPr>
      </w:pPr>
    </w:p>
    <w:p>
      <w:pPr>
        <w:pStyle w:val="80"/>
        <w:keepNext w:val="0"/>
        <w:rPr>
          <w:rFonts w:ascii="Verdana" w:hAnsi="Verdana" w:cs="Arial"/>
          <w:color w:val="000000"/>
          <w:sz w:val="18"/>
          <w:szCs w:val="18"/>
        </w:rPr>
      </w:pPr>
    </w:p>
    <w:p>
      <w:pPr>
        <w:pStyle w:val="80"/>
        <w:keepNext w:val="0"/>
        <w:jc w:val="center"/>
        <w:rPr>
          <w:rFonts w:ascii="Verdana" w:hAnsi="Verdana" w:cs="Arial"/>
          <w:color w:val="000000"/>
          <w:sz w:val="18"/>
          <w:szCs w:val="18"/>
        </w:rPr>
      </w:pPr>
      <w:r>
        <w:rPr>
          <w:rFonts w:ascii="Verdana" w:hAnsi="Verdana" w:cs="Arial"/>
          <w:color w:val="000000"/>
          <w:sz w:val="18"/>
          <w:szCs w:val="18"/>
        </w:rPr>
        <w:t>Niterói, 21 de fevereiro de 2022.</w:t>
      </w:r>
    </w:p>
    <w:p>
      <w:pPr>
        <w:pStyle w:val="80"/>
        <w:keepNext w:val="0"/>
        <w:jc w:val="center"/>
        <w:rPr>
          <w:rFonts w:ascii="Verdana" w:hAnsi="Verdana" w:cs="Arial"/>
          <w:color w:val="000000"/>
          <w:sz w:val="18"/>
          <w:szCs w:val="18"/>
        </w:rPr>
      </w:pPr>
    </w:p>
    <w:p>
      <w:pPr>
        <w:pStyle w:val="80"/>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pPr>
        <w:pStyle w:val="80"/>
        <w:keepNext w:val="0"/>
        <w:spacing w:before="0" w:after="0" w:line="240" w:lineRule="auto"/>
        <w:jc w:val="center"/>
        <w:rPr>
          <w:rFonts w:ascii="Verdana" w:hAnsi="Verdana" w:cs="Arial"/>
          <w:b/>
          <w:bCs/>
          <w:iCs/>
          <w:color w:val="000000"/>
          <w:sz w:val="16"/>
          <w:szCs w:val="16"/>
          <w:bdr w:val="single" w:color="auto" w:sz="4" w:space="0"/>
        </w:rPr>
      </w:pPr>
      <w:r>
        <w:rPr>
          <w:rFonts w:hint="default" w:ascii="Verdana" w:hAnsi="Verdana" w:cs="Arial"/>
          <w:b/>
          <w:bCs/>
          <w:iCs/>
          <w:color w:val="000000"/>
          <w:sz w:val="16"/>
          <w:szCs w:val="16"/>
          <w:lang w:val="pt-BR"/>
        </w:rPr>
        <w:t>CLI</w:t>
      </w:r>
      <w:r>
        <w:rPr>
          <w:rFonts w:ascii="Verdana" w:hAnsi="Verdana" w:cs="Arial"/>
          <w:b/>
          <w:bCs/>
          <w:iCs/>
          <w:color w:val="000000"/>
          <w:sz w:val="16"/>
          <w:szCs w:val="16"/>
        </w:rPr>
        <w:t>/AD/UFF</w:t>
      </w:r>
    </w:p>
    <w:p>
      <w:pPr>
        <w:pStyle w:val="80"/>
        <w:keepNext w:val="0"/>
        <w:jc w:val="center"/>
        <w:rPr>
          <w:rFonts w:ascii="Verdana" w:hAnsi="Verdana" w:cs="Arial"/>
          <w:b/>
          <w:bCs/>
          <w:iCs/>
          <w:color w:val="000000"/>
          <w:sz w:val="18"/>
          <w:szCs w:val="18"/>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134" w:bottom="851" w:left="1701" w:header="426" w:footer="0" w:gutter="0"/>
      <w:cols w:space="720" w:num="1"/>
      <w:formProt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Italic">
    <w:altName w:val="Segoe Print"/>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imes-Bol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4"/>
        <w:szCs w:val="14"/>
      </w:rPr>
      <w:id w:val="250395305"/>
      <w:docPartObj>
        <w:docPartGallery w:val="autotext"/>
      </w:docPartObj>
    </w:sdtPr>
    <w:sdtEndPr>
      <w:rPr>
        <w:sz w:val="14"/>
        <w:szCs w:val="14"/>
      </w:rPr>
    </w:sdtEndPr>
    <w:sdtContent>
      <w:p>
        <w:pPr>
          <w:jc w:val="right"/>
          <w:rPr>
            <w:sz w:val="14"/>
            <w:szCs w:val="14"/>
          </w:rPr>
        </w:pPr>
        <w:r>
          <w:rPr>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25</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25</w:t>
        </w:r>
        <w:r>
          <w:rPr>
            <w:sz w:val="14"/>
            <w:szCs w:val="14"/>
          </w:rPr>
          <w:fldChar w:fldCharType="end"/>
        </w:r>
      </w:p>
    </w:sdtContent>
  </w:sdt>
  <w:p>
    <w:pPr>
      <w:pStyle w:val="20"/>
      <w:keepNext w:val="0"/>
      <w:rPr>
        <w:sz w:val="16"/>
        <w:szCs w:val="16"/>
      </w:rPr>
    </w:pPr>
    <w:r>
      <w:t>___________________________________________________________________</w:t>
    </w:r>
  </w:p>
  <w:p>
    <w:pPr>
      <w:pStyle w:val="20"/>
      <w:rPr>
        <w:rFonts w:cs="Arial"/>
        <w:sz w:val="12"/>
        <w:szCs w:val="12"/>
      </w:rPr>
    </w:pPr>
    <w:r>
      <w:rPr>
        <w:rFonts w:cs="Arial"/>
        <w:sz w:val="12"/>
        <w:szCs w:val="12"/>
      </w:rPr>
      <w:t>Câmara Nacional de Modelos de Licitações e Contratos Administrativos da Consultoria-Geral da União</w:t>
    </w:r>
  </w:p>
  <w:p>
    <w:pPr>
      <w:pStyle w:val="20"/>
      <w:rPr>
        <w:rFonts w:cs="Arial"/>
        <w:sz w:val="12"/>
        <w:szCs w:val="12"/>
      </w:rPr>
    </w:pPr>
    <w:r>
      <w:rPr>
        <w:rFonts w:cs="Arial"/>
        <w:sz w:val="12"/>
        <w:szCs w:val="12"/>
      </w:rPr>
      <w:t>Edital modelo para Regime Diferenciado de Contratações. Obras</w:t>
    </w:r>
  </w:p>
  <w:p>
    <w:pPr>
      <w:pStyle w:val="20"/>
      <w:rPr>
        <w:rFonts w:cs="Arial"/>
        <w:sz w:val="12"/>
        <w:szCs w:val="12"/>
      </w:rPr>
    </w:pPr>
    <w:r>
      <w:rPr>
        <w:rFonts w:cs="Arial"/>
        <w:sz w:val="12"/>
        <w:szCs w:val="12"/>
      </w:rPr>
      <w:t>Atualização: Julho/2020</w:t>
    </w:r>
  </w:p>
  <w:p>
    <w:pPr>
      <w:pStyle w:val="20"/>
      <w:keepNext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sz w:val="16"/>
        <w:szCs w:val="16"/>
      </w:rPr>
    </w:pPr>
    <w:r>
      <w:rPr>
        <w:sz w:val="16"/>
        <w:szCs w:val="16"/>
      </w:rPr>
      <w:t>Processo n.º 23069.169275/2021-19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7B35"/>
    <w:multiLevelType w:val="multilevel"/>
    <w:tmpl w:val="03377B35"/>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999760F"/>
    <w:multiLevelType w:val="multilevel"/>
    <w:tmpl w:val="0999760F"/>
    <w:lvl w:ilvl="0" w:tentative="0">
      <w:start w:val="4"/>
      <w:numFmt w:val="decimal"/>
      <w:lvlText w:val="%1."/>
      <w:lvlJc w:val="left"/>
      <w:pPr>
        <w:ind w:left="660" w:hanging="660"/>
      </w:pPr>
      <w:rPr>
        <w:rFonts w:hint="default"/>
        <w:color w:val="000000"/>
      </w:rPr>
    </w:lvl>
    <w:lvl w:ilvl="1" w:tentative="0">
      <w:start w:val="6"/>
      <w:numFmt w:val="decimal"/>
      <w:lvlText w:val="%1.%2."/>
      <w:lvlJc w:val="left"/>
      <w:pPr>
        <w:ind w:left="1038" w:hanging="660"/>
      </w:pPr>
      <w:rPr>
        <w:rFonts w:hint="default"/>
        <w:color w:val="000000"/>
      </w:rPr>
    </w:lvl>
    <w:lvl w:ilvl="2" w:tentative="0">
      <w:start w:val="1"/>
      <w:numFmt w:val="decimal"/>
      <w:lvlText w:val="%1.%2.%3."/>
      <w:lvlJc w:val="left"/>
      <w:pPr>
        <w:ind w:left="1476" w:hanging="720"/>
      </w:pPr>
      <w:rPr>
        <w:rFonts w:hint="default"/>
        <w:color w:val="000000"/>
      </w:rPr>
    </w:lvl>
    <w:lvl w:ilvl="3" w:tentative="0">
      <w:start w:val="1"/>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3">
    <w:nsid w:val="1F8B3FEA"/>
    <w:multiLevelType w:val="multilevel"/>
    <w:tmpl w:val="1F8B3FEA"/>
    <w:lvl w:ilvl="0" w:tentative="0">
      <w:start w:val="4"/>
      <w:numFmt w:val="decimal"/>
      <w:lvlText w:val="%1"/>
      <w:lvlJc w:val="left"/>
      <w:pPr>
        <w:tabs>
          <w:tab w:val="left" w:pos="360"/>
        </w:tabs>
        <w:ind w:left="360" w:hanging="360"/>
      </w:pPr>
      <w:rPr>
        <w:rFonts w:hint="default"/>
        <w:b/>
      </w:rPr>
    </w:lvl>
    <w:lvl w:ilvl="1" w:tentative="0">
      <w:start w:val="1"/>
      <w:numFmt w:val="decimal"/>
      <w:lvlText w:val="%1.%2"/>
      <w:lvlJc w:val="left"/>
      <w:pPr>
        <w:tabs>
          <w:tab w:val="left" w:pos="1211"/>
        </w:tabs>
        <w:ind w:left="1211" w:hanging="360"/>
      </w:pPr>
      <w:rPr>
        <w:rFonts w:hint="default" w:ascii="Verdana" w:hAnsi="Verdana"/>
        <w:b w:val="0"/>
        <w:sz w:val="18"/>
        <w:szCs w:val="18"/>
      </w:rPr>
    </w:lvl>
    <w:lvl w:ilvl="2" w:tentative="0">
      <w:start w:val="1"/>
      <w:numFmt w:val="decimal"/>
      <w:lvlText w:val="%1.%2.%3"/>
      <w:lvlJc w:val="left"/>
      <w:pPr>
        <w:tabs>
          <w:tab w:val="left" w:pos="2130"/>
        </w:tabs>
        <w:ind w:left="2130" w:hanging="720"/>
      </w:pPr>
      <w:rPr>
        <w:rFonts w:hint="default" w:ascii="Verdana" w:hAnsi="Verdana"/>
        <w:b w:val="0"/>
        <w:sz w:val="18"/>
        <w:szCs w:val="18"/>
      </w:rPr>
    </w:lvl>
    <w:lvl w:ilvl="3" w:tentative="0">
      <w:start w:val="1"/>
      <w:numFmt w:val="decimal"/>
      <w:lvlText w:val="%1.%2.%3.%4"/>
      <w:lvlJc w:val="left"/>
      <w:pPr>
        <w:tabs>
          <w:tab w:val="left" w:pos="2835"/>
        </w:tabs>
        <w:ind w:left="2835" w:hanging="720"/>
      </w:pPr>
      <w:rPr>
        <w:rFonts w:hint="default" w:ascii="Verdana" w:hAnsi="Verdana"/>
        <w:b w:val="0"/>
        <w:sz w:val="18"/>
        <w:szCs w:val="18"/>
      </w:rPr>
    </w:lvl>
    <w:lvl w:ilvl="4" w:tentative="0">
      <w:start w:val="1"/>
      <w:numFmt w:val="decimal"/>
      <w:lvlText w:val="%1.%2.%3.%4.%5"/>
      <w:lvlJc w:val="left"/>
      <w:pPr>
        <w:tabs>
          <w:tab w:val="left" w:pos="3540"/>
        </w:tabs>
        <w:ind w:left="3540" w:hanging="720"/>
      </w:pPr>
      <w:rPr>
        <w:rFonts w:hint="default"/>
        <w:b w:val="0"/>
      </w:rPr>
    </w:lvl>
    <w:lvl w:ilvl="5" w:tentative="0">
      <w:start w:val="1"/>
      <w:numFmt w:val="decimal"/>
      <w:lvlText w:val="%1.%2.%3.%4.%5.%6"/>
      <w:lvlJc w:val="left"/>
      <w:pPr>
        <w:tabs>
          <w:tab w:val="left" w:pos="4605"/>
        </w:tabs>
        <w:ind w:left="4605" w:hanging="1080"/>
      </w:pPr>
      <w:rPr>
        <w:rFonts w:hint="default"/>
        <w:b w:val="0"/>
      </w:rPr>
    </w:lvl>
    <w:lvl w:ilvl="6" w:tentative="0">
      <w:start w:val="1"/>
      <w:numFmt w:val="decimal"/>
      <w:lvlText w:val="%1.%2.%3.%4.%5.%6.%7"/>
      <w:lvlJc w:val="left"/>
      <w:pPr>
        <w:tabs>
          <w:tab w:val="left" w:pos="5310"/>
        </w:tabs>
        <w:ind w:left="5310" w:hanging="1080"/>
      </w:pPr>
      <w:rPr>
        <w:rFonts w:hint="default"/>
        <w:b w:val="0"/>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4">
    <w:nsid w:val="26A417A3"/>
    <w:multiLevelType w:val="multilevel"/>
    <w:tmpl w:val="26A417A3"/>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5">
    <w:nsid w:val="29FB3847"/>
    <w:multiLevelType w:val="multilevel"/>
    <w:tmpl w:val="29FB3847"/>
    <w:lvl w:ilvl="0" w:tentative="0">
      <w:start w:val="1"/>
      <w:numFmt w:val="decimal"/>
      <w:lvlText w:val="%1."/>
      <w:lvlJc w:val="left"/>
      <w:pPr>
        <w:ind w:left="0" w:firstLine="0"/>
      </w:pPr>
      <w:rPr>
        <w:b/>
      </w:rPr>
    </w:lvl>
    <w:lvl w:ilvl="1" w:tentative="0">
      <w:start w:val="2"/>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2A536525"/>
    <w:multiLevelType w:val="multilevel"/>
    <w:tmpl w:val="2A536525"/>
    <w:lvl w:ilvl="0" w:tentative="0">
      <w:start w:val="1"/>
      <w:numFmt w:val="lowerLetter"/>
      <w:lvlText w:val="%1)"/>
      <w:lvlJc w:val="left"/>
      <w:pPr>
        <w:ind w:left="2574" w:hanging="360"/>
      </w:pPr>
    </w:lvl>
    <w:lvl w:ilvl="1" w:tentative="0">
      <w:start w:val="1"/>
      <w:numFmt w:val="lowerLetter"/>
      <w:lvlText w:val="%2."/>
      <w:lvlJc w:val="left"/>
      <w:pPr>
        <w:ind w:left="3294" w:hanging="360"/>
      </w:pPr>
    </w:lvl>
    <w:lvl w:ilvl="2" w:tentative="0">
      <w:start w:val="1"/>
      <w:numFmt w:val="lowerRoman"/>
      <w:lvlText w:val="%3."/>
      <w:lvlJc w:val="right"/>
      <w:pPr>
        <w:ind w:left="4014" w:hanging="180"/>
      </w:pPr>
    </w:lvl>
    <w:lvl w:ilvl="3" w:tentative="0">
      <w:start w:val="1"/>
      <w:numFmt w:val="decimal"/>
      <w:lvlText w:val="%4."/>
      <w:lvlJc w:val="left"/>
      <w:pPr>
        <w:ind w:left="4734" w:hanging="360"/>
      </w:pPr>
    </w:lvl>
    <w:lvl w:ilvl="4" w:tentative="0">
      <w:start w:val="1"/>
      <w:numFmt w:val="lowerLetter"/>
      <w:lvlText w:val="%5."/>
      <w:lvlJc w:val="left"/>
      <w:pPr>
        <w:ind w:left="5454" w:hanging="360"/>
      </w:pPr>
    </w:lvl>
    <w:lvl w:ilvl="5" w:tentative="0">
      <w:start w:val="1"/>
      <w:numFmt w:val="lowerRoman"/>
      <w:lvlText w:val="%6."/>
      <w:lvlJc w:val="right"/>
      <w:pPr>
        <w:ind w:left="6174" w:hanging="180"/>
      </w:pPr>
    </w:lvl>
    <w:lvl w:ilvl="6" w:tentative="0">
      <w:start w:val="1"/>
      <w:numFmt w:val="decimal"/>
      <w:lvlText w:val="%7."/>
      <w:lvlJc w:val="left"/>
      <w:pPr>
        <w:ind w:left="6894" w:hanging="360"/>
      </w:pPr>
    </w:lvl>
    <w:lvl w:ilvl="7" w:tentative="0">
      <w:start w:val="1"/>
      <w:numFmt w:val="lowerLetter"/>
      <w:lvlText w:val="%8."/>
      <w:lvlJc w:val="left"/>
      <w:pPr>
        <w:ind w:left="7614" w:hanging="360"/>
      </w:pPr>
    </w:lvl>
    <w:lvl w:ilvl="8" w:tentative="0">
      <w:start w:val="1"/>
      <w:numFmt w:val="lowerRoman"/>
      <w:lvlText w:val="%9."/>
      <w:lvlJc w:val="right"/>
      <w:pPr>
        <w:ind w:left="8334" w:hanging="180"/>
      </w:pPr>
    </w:lvl>
  </w:abstractNum>
  <w:abstractNum w:abstractNumId="7">
    <w:nsid w:val="2A6A53B5"/>
    <w:multiLevelType w:val="multilevel"/>
    <w:tmpl w:val="2A6A53B5"/>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8">
    <w:nsid w:val="36CB5ACA"/>
    <w:multiLevelType w:val="multilevel"/>
    <w:tmpl w:val="36CB5ACA"/>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516B2C"/>
    <w:multiLevelType w:val="multilevel"/>
    <w:tmpl w:val="37516B2C"/>
    <w:lvl w:ilvl="0" w:tentative="0">
      <w:start w:val="1"/>
      <w:numFmt w:val="decimal"/>
      <w:lvlText w:val="%1."/>
      <w:lvlJc w:val="left"/>
      <w:pPr>
        <w:ind w:left="0" w:firstLine="0"/>
      </w:pPr>
      <w:rPr>
        <w:b/>
      </w:rPr>
    </w:lvl>
    <w:lvl w:ilvl="1" w:tentative="0">
      <w:start w:val="1"/>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42806A5A"/>
    <w:multiLevelType w:val="multilevel"/>
    <w:tmpl w:val="42806A5A"/>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472343CA"/>
    <w:multiLevelType w:val="multilevel"/>
    <w:tmpl w:val="472343CA"/>
    <w:lvl w:ilvl="0" w:tentative="0">
      <w:start w:val="4"/>
      <w:numFmt w:val="decimal"/>
      <w:lvlText w:val="%1."/>
      <w:lvlJc w:val="left"/>
      <w:pPr>
        <w:ind w:left="660" w:hanging="660"/>
      </w:pPr>
      <w:rPr>
        <w:rFonts w:hint="default"/>
        <w:color w:val="000000"/>
      </w:rPr>
    </w:lvl>
    <w:lvl w:ilvl="1" w:tentative="0">
      <w:start w:val="4"/>
      <w:numFmt w:val="decimal"/>
      <w:lvlText w:val="%1.%2."/>
      <w:lvlJc w:val="left"/>
      <w:pPr>
        <w:ind w:left="1038" w:hanging="660"/>
      </w:pPr>
      <w:rPr>
        <w:rFonts w:hint="default"/>
        <w:color w:val="000000"/>
      </w:rPr>
    </w:lvl>
    <w:lvl w:ilvl="2" w:tentative="0">
      <w:start w:val="1"/>
      <w:numFmt w:val="decimal"/>
      <w:lvlText w:val="%1.%2.%3."/>
      <w:lvlJc w:val="left"/>
      <w:pPr>
        <w:ind w:left="1713" w:hanging="720"/>
      </w:pPr>
      <w:rPr>
        <w:rFonts w:hint="default"/>
        <w:color w:val="000000"/>
      </w:rPr>
    </w:lvl>
    <w:lvl w:ilvl="3" w:tentative="0">
      <w:start w:val="2"/>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12">
    <w:nsid w:val="51D05B32"/>
    <w:multiLevelType w:val="multilevel"/>
    <w:tmpl w:val="51D05B32"/>
    <w:lvl w:ilvl="0" w:tentative="0">
      <w:start w:val="8"/>
      <w:numFmt w:val="decimal"/>
      <w:lvlText w:val="%1."/>
      <w:lvlJc w:val="left"/>
      <w:pPr>
        <w:ind w:left="375" w:hanging="375"/>
      </w:pPr>
      <w:rPr>
        <w:rFonts w:hint="default" w:cs="Times New Roman"/>
        <w:b/>
        <w:color w:val="000000"/>
      </w:rPr>
    </w:lvl>
    <w:lvl w:ilvl="1" w:tentative="0">
      <w:start w:val="1"/>
      <w:numFmt w:val="decimal"/>
      <w:lvlText w:val="%1.%2."/>
      <w:lvlJc w:val="left"/>
      <w:pPr>
        <w:ind w:left="1287" w:hanging="720"/>
      </w:pPr>
      <w:rPr>
        <w:rFonts w:hint="default" w:cs="Times New Roman"/>
        <w:b w:val="0"/>
        <w:bCs w:val="0"/>
        <w:i w:val="0"/>
        <w:color w:val="000000"/>
        <w:sz w:val="20"/>
        <w:szCs w:val="20"/>
      </w:rPr>
    </w:lvl>
    <w:lvl w:ilvl="2" w:tentative="0">
      <w:start w:val="1"/>
      <w:numFmt w:val="decimal"/>
      <w:lvlText w:val="%1.%2.%3."/>
      <w:lvlJc w:val="left"/>
      <w:pPr>
        <w:ind w:left="1854" w:hanging="720"/>
      </w:pPr>
      <w:rPr>
        <w:rFonts w:hint="default" w:cs="Times New Roman"/>
        <w:b w:val="0"/>
        <w:bCs w:val="0"/>
        <w:i w:val="0"/>
        <w:color w:val="000000"/>
        <w:sz w:val="18"/>
        <w:szCs w:val="18"/>
      </w:rPr>
    </w:lvl>
    <w:lvl w:ilvl="3" w:tentative="0">
      <w:start w:val="1"/>
      <w:numFmt w:val="decimal"/>
      <w:lvlText w:val="%1.%2.%3.%4."/>
      <w:lvlJc w:val="left"/>
      <w:pPr>
        <w:ind w:left="2781" w:hanging="1080"/>
      </w:pPr>
      <w:rPr>
        <w:rFonts w:hint="default" w:cs="Times New Roman"/>
        <w:i w:val="0"/>
        <w:color w:val="000000"/>
        <w:sz w:val="18"/>
        <w:szCs w:val="18"/>
      </w:rPr>
    </w:lvl>
    <w:lvl w:ilvl="4" w:tentative="0">
      <w:start w:val="1"/>
      <w:numFmt w:val="decimal"/>
      <w:lvlText w:val="%1.%2.%3.%4.%5."/>
      <w:lvlJc w:val="left"/>
      <w:pPr>
        <w:ind w:left="3708" w:hanging="1440"/>
      </w:pPr>
      <w:rPr>
        <w:rFonts w:hint="default" w:cs="Times New Roman"/>
        <w:i w:val="0"/>
        <w:color w:val="000000"/>
      </w:rPr>
    </w:lvl>
    <w:lvl w:ilvl="5" w:tentative="0">
      <w:start w:val="1"/>
      <w:numFmt w:val="decimal"/>
      <w:lvlText w:val="%1.%2.%3.%4.%5.%6."/>
      <w:lvlJc w:val="left"/>
      <w:pPr>
        <w:ind w:left="4275" w:hanging="1440"/>
      </w:pPr>
      <w:rPr>
        <w:rFonts w:hint="default" w:cs="Times New Roman"/>
        <w:i w:val="0"/>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3">
    <w:nsid w:val="55DA64AB"/>
    <w:multiLevelType w:val="multilevel"/>
    <w:tmpl w:val="55DA64AB"/>
    <w:lvl w:ilvl="0" w:tentative="0">
      <w:start w:val="2"/>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4">
    <w:nsid w:val="58C70088"/>
    <w:multiLevelType w:val="multilevel"/>
    <w:tmpl w:val="58C70088"/>
    <w:lvl w:ilvl="0" w:tentative="0">
      <w:start w:val="1"/>
      <w:numFmt w:val="decimal"/>
      <w:pStyle w:val="87"/>
      <w:lvlText w:val="%1."/>
      <w:lvlJc w:val="left"/>
      <w:pPr>
        <w:ind w:left="502" w:hanging="360"/>
      </w:pPr>
      <w:rPr>
        <w:b/>
        <w:i w:val="0"/>
        <w:strike w:val="0"/>
        <w:dstrike w:val="0"/>
      </w:rPr>
    </w:lvl>
    <w:lvl w:ilvl="1" w:tentative="0">
      <w:start w:val="1"/>
      <w:numFmt w:val="decimal"/>
      <w:pStyle w:val="85"/>
      <w:lvlText w:val="%1.%2."/>
      <w:lvlJc w:val="left"/>
      <w:pPr>
        <w:ind w:left="858" w:hanging="432"/>
      </w:pPr>
      <w:rPr>
        <w:b w:val="0"/>
        <w:strike w:val="0"/>
      </w:rPr>
    </w:lvl>
    <w:lvl w:ilvl="2" w:tentative="0">
      <w:start w:val="1"/>
      <w:numFmt w:val="decimal"/>
      <w:lvlText w:val="%1.%2.%3."/>
      <w:lvlJc w:val="left"/>
      <w:pPr>
        <w:ind w:left="1224" w:hanging="504"/>
      </w:pPr>
      <w:rPr>
        <w:i w:val="0"/>
        <w:strike w:val="0"/>
      </w:rPr>
    </w:lvl>
    <w:lvl w:ilvl="3" w:tentative="0">
      <w:start w:val="1"/>
      <w:numFmt w:val="decimal"/>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5FA91080"/>
    <w:multiLevelType w:val="multilevel"/>
    <w:tmpl w:val="5FA91080"/>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lowerLetter"/>
      <w:lvlText w:val="%4)"/>
      <w:lvlJc w:val="left"/>
      <w:pPr>
        <w:ind w:left="2781" w:hanging="1080"/>
      </w:pPr>
      <w:rPr>
        <w:rFonts w:hint="default"/>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1"/>
  </w:num>
  <w:num w:numId="2">
    <w:abstractNumId w:val="14"/>
  </w:num>
  <w:num w:numId="3">
    <w:abstractNumId w:val="9"/>
  </w:num>
  <w:num w:numId="4">
    <w:abstractNumId w:val="5"/>
  </w:num>
  <w:num w:numId="5">
    <w:abstractNumId w:val="13"/>
  </w:num>
  <w:num w:numId="6">
    <w:abstractNumId w:val="7"/>
  </w:num>
  <w:num w:numId="7">
    <w:abstractNumId w:val="3"/>
  </w:num>
  <w:num w:numId="8">
    <w:abstractNumId w:val="15"/>
  </w:num>
  <w:num w:numId="9">
    <w:abstractNumId w:val="8"/>
  </w:num>
  <w:num w:numId="10">
    <w:abstractNumId w:val="11"/>
  </w:num>
  <w:num w:numId="11">
    <w:abstractNumId w:val="2"/>
  </w:num>
  <w:num w:numId="12">
    <w:abstractNumId w:val="4"/>
  </w:num>
  <w:num w:numId="13">
    <w:abstractNumId w:val="1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171AC"/>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4CA8"/>
    <w:rsid w:val="000469F5"/>
    <w:rsid w:val="000477C8"/>
    <w:rsid w:val="00050A75"/>
    <w:rsid w:val="00051A5C"/>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5632"/>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2CC"/>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3BB7"/>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A6848"/>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56656"/>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7B5"/>
    <w:rsid w:val="00294D07"/>
    <w:rsid w:val="002968A4"/>
    <w:rsid w:val="002A01C3"/>
    <w:rsid w:val="002A0FE8"/>
    <w:rsid w:val="002A4FE2"/>
    <w:rsid w:val="002B1A43"/>
    <w:rsid w:val="002B2A86"/>
    <w:rsid w:val="002B4DC1"/>
    <w:rsid w:val="002B789D"/>
    <w:rsid w:val="002C017F"/>
    <w:rsid w:val="002C5E8C"/>
    <w:rsid w:val="002D0297"/>
    <w:rsid w:val="002D3CF1"/>
    <w:rsid w:val="002D5E31"/>
    <w:rsid w:val="002D7462"/>
    <w:rsid w:val="002D7755"/>
    <w:rsid w:val="002D7941"/>
    <w:rsid w:val="002E31BF"/>
    <w:rsid w:val="002E61A4"/>
    <w:rsid w:val="002E62AC"/>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0C9"/>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35D"/>
    <w:rsid w:val="003C0988"/>
    <w:rsid w:val="003C2252"/>
    <w:rsid w:val="003C6A5D"/>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36AD6"/>
    <w:rsid w:val="00440F3F"/>
    <w:rsid w:val="004410DF"/>
    <w:rsid w:val="00443C35"/>
    <w:rsid w:val="0044424A"/>
    <w:rsid w:val="0044659C"/>
    <w:rsid w:val="00447667"/>
    <w:rsid w:val="004479A4"/>
    <w:rsid w:val="004538E9"/>
    <w:rsid w:val="00453B64"/>
    <w:rsid w:val="00454F62"/>
    <w:rsid w:val="0045560F"/>
    <w:rsid w:val="00455669"/>
    <w:rsid w:val="0046022B"/>
    <w:rsid w:val="0046240D"/>
    <w:rsid w:val="00465AD0"/>
    <w:rsid w:val="0046717A"/>
    <w:rsid w:val="00473A6E"/>
    <w:rsid w:val="00474B8F"/>
    <w:rsid w:val="00476152"/>
    <w:rsid w:val="00480079"/>
    <w:rsid w:val="00482F6E"/>
    <w:rsid w:val="00483252"/>
    <w:rsid w:val="004833F6"/>
    <w:rsid w:val="004846F2"/>
    <w:rsid w:val="00485B8E"/>
    <w:rsid w:val="004860EA"/>
    <w:rsid w:val="00486743"/>
    <w:rsid w:val="00486C35"/>
    <w:rsid w:val="00486F6B"/>
    <w:rsid w:val="004870D4"/>
    <w:rsid w:val="00490344"/>
    <w:rsid w:val="00494EAD"/>
    <w:rsid w:val="004A32BA"/>
    <w:rsid w:val="004A3C0A"/>
    <w:rsid w:val="004A6021"/>
    <w:rsid w:val="004A6552"/>
    <w:rsid w:val="004A7D47"/>
    <w:rsid w:val="004B0AEA"/>
    <w:rsid w:val="004B35B0"/>
    <w:rsid w:val="004B4A70"/>
    <w:rsid w:val="004B5A04"/>
    <w:rsid w:val="004B68B8"/>
    <w:rsid w:val="004C02C8"/>
    <w:rsid w:val="004C2241"/>
    <w:rsid w:val="004C3F44"/>
    <w:rsid w:val="004C6D38"/>
    <w:rsid w:val="004C76E2"/>
    <w:rsid w:val="004D0F3B"/>
    <w:rsid w:val="004D2748"/>
    <w:rsid w:val="004D3ED5"/>
    <w:rsid w:val="004D576B"/>
    <w:rsid w:val="004D622F"/>
    <w:rsid w:val="004D7D29"/>
    <w:rsid w:val="004E0406"/>
    <w:rsid w:val="004E0969"/>
    <w:rsid w:val="004E108A"/>
    <w:rsid w:val="004E16F0"/>
    <w:rsid w:val="004E2401"/>
    <w:rsid w:val="004E26B9"/>
    <w:rsid w:val="004E2A48"/>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15BA"/>
    <w:rsid w:val="00513003"/>
    <w:rsid w:val="00513214"/>
    <w:rsid w:val="00513C9B"/>
    <w:rsid w:val="005143FD"/>
    <w:rsid w:val="005160E2"/>
    <w:rsid w:val="005206FC"/>
    <w:rsid w:val="00522B74"/>
    <w:rsid w:val="00523CCB"/>
    <w:rsid w:val="00523F2B"/>
    <w:rsid w:val="00524865"/>
    <w:rsid w:val="0052533B"/>
    <w:rsid w:val="005321BF"/>
    <w:rsid w:val="00533C39"/>
    <w:rsid w:val="00535049"/>
    <w:rsid w:val="00535415"/>
    <w:rsid w:val="00536C30"/>
    <w:rsid w:val="005371E7"/>
    <w:rsid w:val="00537AF0"/>
    <w:rsid w:val="00540846"/>
    <w:rsid w:val="00540CF5"/>
    <w:rsid w:val="00540FF0"/>
    <w:rsid w:val="00541685"/>
    <w:rsid w:val="0054679D"/>
    <w:rsid w:val="00547F7A"/>
    <w:rsid w:val="00550A4A"/>
    <w:rsid w:val="00550E79"/>
    <w:rsid w:val="00552325"/>
    <w:rsid w:val="00552ADA"/>
    <w:rsid w:val="00552E85"/>
    <w:rsid w:val="00555155"/>
    <w:rsid w:val="005551A3"/>
    <w:rsid w:val="00555468"/>
    <w:rsid w:val="00555615"/>
    <w:rsid w:val="005600AE"/>
    <w:rsid w:val="00562074"/>
    <w:rsid w:val="0056403C"/>
    <w:rsid w:val="0056435C"/>
    <w:rsid w:val="005668D7"/>
    <w:rsid w:val="0056771B"/>
    <w:rsid w:val="00571B66"/>
    <w:rsid w:val="0057595A"/>
    <w:rsid w:val="0057637C"/>
    <w:rsid w:val="005765B7"/>
    <w:rsid w:val="00577B6E"/>
    <w:rsid w:val="005814FB"/>
    <w:rsid w:val="0058255C"/>
    <w:rsid w:val="005825FE"/>
    <w:rsid w:val="00585086"/>
    <w:rsid w:val="00587981"/>
    <w:rsid w:val="005928B2"/>
    <w:rsid w:val="00594BD3"/>
    <w:rsid w:val="005A289E"/>
    <w:rsid w:val="005A5BE9"/>
    <w:rsid w:val="005B1D7C"/>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20BA"/>
    <w:rsid w:val="006433D3"/>
    <w:rsid w:val="00643690"/>
    <w:rsid w:val="00644336"/>
    <w:rsid w:val="0064459C"/>
    <w:rsid w:val="006453DF"/>
    <w:rsid w:val="00645871"/>
    <w:rsid w:val="00645AC1"/>
    <w:rsid w:val="006502F8"/>
    <w:rsid w:val="006552A2"/>
    <w:rsid w:val="00661324"/>
    <w:rsid w:val="0066356C"/>
    <w:rsid w:val="0066475C"/>
    <w:rsid w:val="0066686A"/>
    <w:rsid w:val="00667241"/>
    <w:rsid w:val="0067021D"/>
    <w:rsid w:val="00672E8E"/>
    <w:rsid w:val="00673556"/>
    <w:rsid w:val="00673B29"/>
    <w:rsid w:val="00676173"/>
    <w:rsid w:val="006804AA"/>
    <w:rsid w:val="00681580"/>
    <w:rsid w:val="00683054"/>
    <w:rsid w:val="006863F1"/>
    <w:rsid w:val="00686F0D"/>
    <w:rsid w:val="006903D5"/>
    <w:rsid w:val="00692FAD"/>
    <w:rsid w:val="00695357"/>
    <w:rsid w:val="00696B46"/>
    <w:rsid w:val="006A0B1C"/>
    <w:rsid w:val="006A1583"/>
    <w:rsid w:val="006A19D8"/>
    <w:rsid w:val="006A494E"/>
    <w:rsid w:val="006A79A4"/>
    <w:rsid w:val="006B51B4"/>
    <w:rsid w:val="006B718F"/>
    <w:rsid w:val="006B731A"/>
    <w:rsid w:val="006C2BA5"/>
    <w:rsid w:val="006C311B"/>
    <w:rsid w:val="006C3BD5"/>
    <w:rsid w:val="006C7F31"/>
    <w:rsid w:val="006D06E8"/>
    <w:rsid w:val="006D25F1"/>
    <w:rsid w:val="006D4D12"/>
    <w:rsid w:val="006D7A6F"/>
    <w:rsid w:val="006E2FBD"/>
    <w:rsid w:val="006E355F"/>
    <w:rsid w:val="006E455B"/>
    <w:rsid w:val="006E6201"/>
    <w:rsid w:val="006E7A15"/>
    <w:rsid w:val="006F03A1"/>
    <w:rsid w:val="006F1622"/>
    <w:rsid w:val="006F3082"/>
    <w:rsid w:val="006F4124"/>
    <w:rsid w:val="006F6C2A"/>
    <w:rsid w:val="006F7262"/>
    <w:rsid w:val="00703A82"/>
    <w:rsid w:val="0070436B"/>
    <w:rsid w:val="0071409D"/>
    <w:rsid w:val="007141DB"/>
    <w:rsid w:val="007143B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B0E"/>
    <w:rsid w:val="00754C05"/>
    <w:rsid w:val="00756241"/>
    <w:rsid w:val="00765693"/>
    <w:rsid w:val="00765D1B"/>
    <w:rsid w:val="00766684"/>
    <w:rsid w:val="00774EDF"/>
    <w:rsid w:val="00775337"/>
    <w:rsid w:val="007769F6"/>
    <w:rsid w:val="00777549"/>
    <w:rsid w:val="007815D3"/>
    <w:rsid w:val="007837CD"/>
    <w:rsid w:val="007839F7"/>
    <w:rsid w:val="00785876"/>
    <w:rsid w:val="00786E59"/>
    <w:rsid w:val="007912E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C74E6"/>
    <w:rsid w:val="007D10D7"/>
    <w:rsid w:val="007D36B5"/>
    <w:rsid w:val="007D36FB"/>
    <w:rsid w:val="007D4E19"/>
    <w:rsid w:val="007E0AAF"/>
    <w:rsid w:val="007E2F29"/>
    <w:rsid w:val="007E589A"/>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234"/>
    <w:rsid w:val="00874DCD"/>
    <w:rsid w:val="00876C01"/>
    <w:rsid w:val="00877622"/>
    <w:rsid w:val="00877A47"/>
    <w:rsid w:val="00880D61"/>
    <w:rsid w:val="0088114D"/>
    <w:rsid w:val="008857D4"/>
    <w:rsid w:val="00891438"/>
    <w:rsid w:val="008941F1"/>
    <w:rsid w:val="00894692"/>
    <w:rsid w:val="0089495D"/>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1E50"/>
    <w:rsid w:val="008F2111"/>
    <w:rsid w:val="008F5DEC"/>
    <w:rsid w:val="0090111E"/>
    <w:rsid w:val="00901B35"/>
    <w:rsid w:val="00905F4C"/>
    <w:rsid w:val="009060FF"/>
    <w:rsid w:val="00907B4E"/>
    <w:rsid w:val="00910337"/>
    <w:rsid w:val="0091061E"/>
    <w:rsid w:val="00914DF0"/>
    <w:rsid w:val="00917C71"/>
    <w:rsid w:val="00920722"/>
    <w:rsid w:val="00921405"/>
    <w:rsid w:val="00924BAC"/>
    <w:rsid w:val="00931C3C"/>
    <w:rsid w:val="009326D6"/>
    <w:rsid w:val="00936828"/>
    <w:rsid w:val="0094375F"/>
    <w:rsid w:val="00944DCF"/>
    <w:rsid w:val="00945CA2"/>
    <w:rsid w:val="00951EC0"/>
    <w:rsid w:val="00954BD3"/>
    <w:rsid w:val="00956899"/>
    <w:rsid w:val="00965175"/>
    <w:rsid w:val="00965F62"/>
    <w:rsid w:val="00967F69"/>
    <w:rsid w:val="009701D8"/>
    <w:rsid w:val="00971FFC"/>
    <w:rsid w:val="009724FC"/>
    <w:rsid w:val="00980DDD"/>
    <w:rsid w:val="009831B0"/>
    <w:rsid w:val="009845D1"/>
    <w:rsid w:val="00984D68"/>
    <w:rsid w:val="00987EB6"/>
    <w:rsid w:val="00993F91"/>
    <w:rsid w:val="0099567E"/>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448D"/>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32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2E62"/>
    <w:rsid w:val="00AB5A1D"/>
    <w:rsid w:val="00AB6D01"/>
    <w:rsid w:val="00AC6076"/>
    <w:rsid w:val="00AD1300"/>
    <w:rsid w:val="00AD35F8"/>
    <w:rsid w:val="00AD394E"/>
    <w:rsid w:val="00AD4ED4"/>
    <w:rsid w:val="00AE14DC"/>
    <w:rsid w:val="00AE6D45"/>
    <w:rsid w:val="00AE6F62"/>
    <w:rsid w:val="00AF0E2F"/>
    <w:rsid w:val="00AF1206"/>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1834"/>
    <w:rsid w:val="00B32E36"/>
    <w:rsid w:val="00B35C9F"/>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D6B"/>
    <w:rsid w:val="00B97E9E"/>
    <w:rsid w:val="00BA19D2"/>
    <w:rsid w:val="00BA3A36"/>
    <w:rsid w:val="00BB15AA"/>
    <w:rsid w:val="00BB1C1A"/>
    <w:rsid w:val="00BB3218"/>
    <w:rsid w:val="00BB4DCD"/>
    <w:rsid w:val="00BB6D98"/>
    <w:rsid w:val="00BB7A27"/>
    <w:rsid w:val="00BC2020"/>
    <w:rsid w:val="00BC2360"/>
    <w:rsid w:val="00BC50E4"/>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76249"/>
    <w:rsid w:val="00C81619"/>
    <w:rsid w:val="00C81C87"/>
    <w:rsid w:val="00C826DA"/>
    <w:rsid w:val="00C82883"/>
    <w:rsid w:val="00C836CE"/>
    <w:rsid w:val="00C83D29"/>
    <w:rsid w:val="00C864AA"/>
    <w:rsid w:val="00C87A23"/>
    <w:rsid w:val="00C87D2E"/>
    <w:rsid w:val="00C91BEC"/>
    <w:rsid w:val="00C92ABC"/>
    <w:rsid w:val="00C94700"/>
    <w:rsid w:val="00C9608B"/>
    <w:rsid w:val="00C97908"/>
    <w:rsid w:val="00CA03D4"/>
    <w:rsid w:val="00CA0ABC"/>
    <w:rsid w:val="00CA0FFE"/>
    <w:rsid w:val="00CA10FF"/>
    <w:rsid w:val="00CA1575"/>
    <w:rsid w:val="00CA2C8C"/>
    <w:rsid w:val="00CA3B28"/>
    <w:rsid w:val="00CA512A"/>
    <w:rsid w:val="00CB00A4"/>
    <w:rsid w:val="00CB26AC"/>
    <w:rsid w:val="00CB60F0"/>
    <w:rsid w:val="00CC02E7"/>
    <w:rsid w:val="00CC0A1A"/>
    <w:rsid w:val="00CC1489"/>
    <w:rsid w:val="00CC1CA1"/>
    <w:rsid w:val="00CC4268"/>
    <w:rsid w:val="00CD01C7"/>
    <w:rsid w:val="00CD028E"/>
    <w:rsid w:val="00CD04F9"/>
    <w:rsid w:val="00CD15F3"/>
    <w:rsid w:val="00CD30FF"/>
    <w:rsid w:val="00CD542C"/>
    <w:rsid w:val="00CD61AA"/>
    <w:rsid w:val="00CD6BC8"/>
    <w:rsid w:val="00CE252F"/>
    <w:rsid w:val="00CE3A68"/>
    <w:rsid w:val="00CE5D2C"/>
    <w:rsid w:val="00CF101E"/>
    <w:rsid w:val="00CF15C4"/>
    <w:rsid w:val="00CF1923"/>
    <w:rsid w:val="00CF3B18"/>
    <w:rsid w:val="00CF7B55"/>
    <w:rsid w:val="00D03A92"/>
    <w:rsid w:val="00D052B6"/>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0B2"/>
    <w:rsid w:val="00D575DF"/>
    <w:rsid w:val="00D677B0"/>
    <w:rsid w:val="00D67934"/>
    <w:rsid w:val="00D67CDC"/>
    <w:rsid w:val="00D70675"/>
    <w:rsid w:val="00D8176A"/>
    <w:rsid w:val="00D82821"/>
    <w:rsid w:val="00D85226"/>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003B"/>
    <w:rsid w:val="00F0586B"/>
    <w:rsid w:val="00F07420"/>
    <w:rsid w:val="00F07970"/>
    <w:rsid w:val="00F13F9C"/>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21D"/>
    <w:rsid w:val="00F63C3A"/>
    <w:rsid w:val="00F64982"/>
    <w:rsid w:val="00F65CCD"/>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2CFD"/>
    <w:rsid w:val="00FB4E7C"/>
    <w:rsid w:val="00FB6323"/>
    <w:rsid w:val="00FB681B"/>
    <w:rsid w:val="00FC0799"/>
    <w:rsid w:val="00FC41F0"/>
    <w:rsid w:val="00FC59EF"/>
    <w:rsid w:val="00FC5B0B"/>
    <w:rsid w:val="00FC5C7C"/>
    <w:rsid w:val="00FC5CFA"/>
    <w:rsid w:val="00FD2FA7"/>
    <w:rsid w:val="00FD3C0A"/>
    <w:rsid w:val="00FD3F3E"/>
    <w:rsid w:val="00FD6673"/>
    <w:rsid w:val="00FE2AB8"/>
    <w:rsid w:val="00FE3CAD"/>
    <w:rsid w:val="00FE4DE2"/>
    <w:rsid w:val="00FE56C9"/>
    <w:rsid w:val="00FE5BFE"/>
    <w:rsid w:val="00FF177B"/>
    <w:rsid w:val="00FF1EB6"/>
    <w:rsid w:val="00FF25E0"/>
    <w:rsid w:val="00FF27C8"/>
    <w:rsid w:val="00FF2A67"/>
    <w:rsid w:val="00FF54BC"/>
    <w:rsid w:val="00FF6BDD"/>
    <w:rsid w:val="00FF739D"/>
    <w:rsid w:val="00FF7A25"/>
    <w:rsid w:val="00FF7F5B"/>
    <w:rsid w:val="0DF11737"/>
    <w:rsid w:val="3A19085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spacing w:after="0" w:line="240" w:lineRule="auto"/>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link w:val="26"/>
    <w:qFormat/>
    <w:uiPriority w:val="0"/>
    <w:pPr>
      <w:numPr>
        <w:ilvl w:val="0"/>
        <w:numId w:val="1"/>
      </w:numPr>
      <w:tabs>
        <w:tab w:val="left" w:pos="708"/>
      </w:tabs>
      <w:outlineLvl w:val="0"/>
    </w:pPr>
    <w:rPr>
      <w:b/>
      <w:bCs/>
      <w:sz w:val="36"/>
      <w:szCs w:val="36"/>
    </w:rPr>
  </w:style>
  <w:style w:type="paragraph" w:styleId="5">
    <w:name w:val="heading 2"/>
    <w:basedOn w:val="1"/>
    <w:next w:val="4"/>
    <w:link w:val="27"/>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link w:val="28"/>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link w:val="25"/>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Strong"/>
    <w:basedOn w:val="7"/>
    <w:qFormat/>
    <w:uiPriority w:val="22"/>
    <w:rPr>
      <w:b/>
      <w:bCs/>
    </w:rPr>
  </w:style>
  <w:style w:type="character" w:styleId="10">
    <w:name w:val="annotation reference"/>
    <w:basedOn w:val="7"/>
    <w:unhideWhenUsed/>
    <w:qFormat/>
    <w:uiPriority w:val="99"/>
    <w:rPr>
      <w:sz w:val="16"/>
      <w:szCs w:val="16"/>
    </w:rPr>
  </w:style>
  <w:style w:type="character" w:styleId="11">
    <w:name w:val="Emphasis"/>
    <w:basedOn w:val="7"/>
    <w:qFormat/>
    <w:uiPriority w:val="20"/>
    <w:rPr>
      <w:i/>
      <w:iCs/>
    </w:rPr>
  </w:style>
  <w:style w:type="character" w:styleId="12">
    <w:name w:val="Hyperlink"/>
    <w:basedOn w:val="7"/>
    <w:qFormat/>
    <w:uiPriority w:val="0"/>
    <w:rPr>
      <w:color w:val="0563C1"/>
      <w:u w:val="single"/>
    </w:rPr>
  </w:style>
  <w:style w:type="paragraph" w:styleId="13">
    <w:name w:val="List"/>
    <w:basedOn w:val="4"/>
    <w:qFormat/>
    <w:uiPriority w:val="0"/>
    <w:rPr>
      <w:rFonts w:cs="Lohit Hindi"/>
    </w:rPr>
  </w:style>
  <w:style w:type="paragraph" w:styleId="14">
    <w:name w:val="Body Text"/>
    <w:basedOn w:val="1"/>
    <w:link w:val="84"/>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5">
    <w:name w:val="annotation text"/>
    <w:basedOn w:val="1"/>
    <w:link w:val="83"/>
    <w:unhideWhenUsed/>
    <w:qFormat/>
    <w:uiPriority w:val="99"/>
    <w:rPr>
      <w:sz w:val="20"/>
      <w:szCs w:val="20"/>
    </w:rPr>
  </w:style>
  <w:style w:type="paragraph" w:styleId="16">
    <w:name w:val="List Bullet 5"/>
    <w:basedOn w:val="1"/>
    <w:qFormat/>
    <w:uiPriority w:val="0"/>
  </w:style>
  <w:style w:type="paragraph" w:styleId="17">
    <w:name w:val="Normal (Web)"/>
    <w:basedOn w:val="1"/>
    <w:qFormat/>
    <w:uiPriority w:val="99"/>
    <w:pPr>
      <w:spacing w:before="28" w:after="28"/>
    </w:pPr>
    <w:rPr>
      <w:rFonts w:ascii="Times New Roman" w:hAnsi="Times New Roman" w:cs="Times New Roman"/>
    </w:rPr>
  </w:style>
  <w:style w:type="paragraph" w:styleId="18">
    <w:name w:val="header"/>
    <w:basedOn w:val="1"/>
    <w:link w:val="73"/>
    <w:qFormat/>
    <w:uiPriority w:val="0"/>
    <w:pPr>
      <w:suppressLineNumbers/>
      <w:tabs>
        <w:tab w:val="center" w:pos="4252"/>
        <w:tab w:val="right" w:pos="8504"/>
      </w:tabs>
    </w:pPr>
  </w:style>
  <w:style w:type="paragraph" w:styleId="19">
    <w:name w:val="annotation subject"/>
    <w:basedOn w:val="15"/>
    <w:next w:val="15"/>
    <w:link w:val="95"/>
    <w:semiHidden/>
    <w:unhideWhenUsed/>
    <w:qFormat/>
    <w:uiPriority w:val="99"/>
    <w:rPr>
      <w:b/>
      <w:bCs/>
    </w:rPr>
  </w:style>
  <w:style w:type="paragraph" w:styleId="20">
    <w:name w:val="footer"/>
    <w:basedOn w:val="1"/>
    <w:link w:val="74"/>
    <w:qFormat/>
    <w:uiPriority w:val="99"/>
    <w:pPr>
      <w:suppressLineNumbers/>
      <w:tabs>
        <w:tab w:val="center" w:pos="4252"/>
        <w:tab w:val="right" w:pos="8504"/>
      </w:tabs>
    </w:pPr>
  </w:style>
  <w:style w:type="paragraph" w:styleId="21">
    <w:name w:val="caption"/>
    <w:basedOn w:val="1"/>
    <w:next w:val="1"/>
    <w:qFormat/>
    <w:uiPriority w:val="0"/>
    <w:pPr>
      <w:suppressLineNumbers/>
      <w:spacing w:before="120" w:after="120"/>
    </w:pPr>
    <w:rPr>
      <w:rFonts w:cs="Lohit Hindi"/>
      <w:i/>
      <w:iCs/>
    </w:rPr>
  </w:style>
  <w:style w:type="paragraph" w:styleId="22">
    <w:name w:val="Balloon Text"/>
    <w:basedOn w:val="1"/>
    <w:link w:val="68"/>
    <w:qFormat/>
    <w:uiPriority w:val="0"/>
    <w:rPr>
      <w:rFonts w:ascii="Tahoma" w:hAnsi="Tahoma"/>
      <w:sz w:val="16"/>
      <w:szCs w:val="16"/>
    </w:rPr>
  </w:style>
  <w:style w:type="paragraph" w:styleId="23">
    <w:name w:val="Subtitle"/>
    <w:basedOn w:val="3"/>
    <w:next w:val="4"/>
    <w:link w:val="79"/>
    <w:qFormat/>
    <w:uiPriority w:val="0"/>
    <w:pPr>
      <w:spacing w:before="60"/>
      <w:jc w:val="center"/>
    </w:pPr>
    <w:rPr>
      <w:sz w:val="36"/>
      <w:szCs w:val="36"/>
    </w:rPr>
  </w:style>
  <w:style w:type="table" w:styleId="24">
    <w:name w:val="Table Grid"/>
    <w:basedOn w:val="8"/>
    <w:qFormat/>
    <w:uiPriority w:val="59"/>
    <w:pPr>
      <w:spacing w:after="0" w:line="240" w:lineRule="auto"/>
      <w:textAlignment w:val="baseline"/>
    </w:pPr>
    <w:rPr>
      <w:rFonts w:ascii="Liberation Serif" w:hAnsi="Liberation Serif" w:eastAsia="WenQuanYi Micro Hei" w:cs="Lohit Hindi"/>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ítulo Char"/>
    <w:basedOn w:val="7"/>
    <w:link w:val="3"/>
    <w:qFormat/>
    <w:uiPriority w:val="0"/>
    <w:rPr>
      <w:rFonts w:ascii="Liberation Sans" w:hAnsi="Liberation Sans" w:eastAsia="WenQuanYi Micro Hei" w:cs="Lohit Hindi"/>
      <w:color w:val="00000A"/>
      <w:sz w:val="28"/>
      <w:szCs w:val="28"/>
      <w:shd w:val="clear" w:color="auto" w:fill="FFFFFF"/>
      <w:lang w:eastAsia="pt-BR"/>
    </w:rPr>
  </w:style>
  <w:style w:type="character" w:customStyle="1" w:styleId="26">
    <w:name w:val="Título 1 Char"/>
    <w:basedOn w:val="7"/>
    <w:link w:val="2"/>
    <w:qFormat/>
    <w:uiPriority w:val="0"/>
    <w:rPr>
      <w:rFonts w:ascii="Liberation Sans" w:hAnsi="Liberation Sans" w:eastAsia="WenQuanYi Micro Hei" w:cs="Lohit Hindi"/>
      <w:b/>
      <w:bCs/>
      <w:color w:val="00000A"/>
      <w:sz w:val="36"/>
      <w:szCs w:val="36"/>
      <w:shd w:val="clear" w:color="auto" w:fill="FFFFFF"/>
      <w:lang w:eastAsia="pt-BR"/>
    </w:rPr>
  </w:style>
  <w:style w:type="character" w:customStyle="1" w:styleId="27">
    <w:name w:val="Título 2 Char"/>
    <w:basedOn w:val="7"/>
    <w:link w:val="5"/>
    <w:qFormat/>
    <w:uiPriority w:val="0"/>
    <w:rPr>
      <w:rFonts w:ascii="Times New Roman" w:hAnsi="Times New Roman" w:eastAsia="Times New Roman" w:cs="Times New Roman"/>
      <w:b/>
      <w:color w:val="000000"/>
      <w:sz w:val="24"/>
      <w:szCs w:val="20"/>
      <w:shd w:val="clear" w:color="auto" w:fill="FFFFFF"/>
      <w:lang w:eastAsia="pt-BR"/>
    </w:rPr>
  </w:style>
  <w:style w:type="character" w:customStyle="1" w:styleId="28">
    <w:name w:val="Título 3 Char"/>
    <w:basedOn w:val="7"/>
    <w:link w:val="6"/>
    <w:qFormat/>
    <w:uiPriority w:val="0"/>
    <w:rPr>
      <w:rFonts w:ascii="Liberation Sans" w:hAnsi="Liberation Sans" w:eastAsia="WenQuanYi Micro Hei" w:cs="Lohit Hindi"/>
      <w:b/>
      <w:bCs/>
      <w:color w:val="808080"/>
      <w:sz w:val="28"/>
      <w:szCs w:val="28"/>
      <w:shd w:val="clear" w:color="auto" w:fill="FFFFFF"/>
      <w:lang w:eastAsia="pt-BR"/>
    </w:rPr>
  </w:style>
  <w:style w:type="character" w:customStyle="1" w:styleId="29">
    <w:name w:val="Texto de balão Char"/>
    <w:qFormat/>
    <w:uiPriority w:val="0"/>
    <w:rPr>
      <w:rFonts w:ascii="Tahoma" w:hAnsi="Tahoma" w:cs="Tahoma"/>
      <w:sz w:val="16"/>
      <w:szCs w:val="16"/>
    </w:rPr>
  </w:style>
  <w:style w:type="character" w:customStyle="1" w:styleId="30">
    <w:name w:val="normal__char1"/>
    <w:qFormat/>
    <w:uiPriority w:val="0"/>
    <w:rPr>
      <w:rFonts w:ascii="Arial" w:hAnsi="Arial" w:cs="Arial"/>
      <w:sz w:val="24"/>
      <w:szCs w:val="24"/>
      <w:u w:val="none"/>
    </w:rPr>
  </w:style>
  <w:style w:type="character" w:customStyle="1" w:styleId="31">
    <w:name w:val="apple-style-span"/>
    <w:basedOn w:val="7"/>
    <w:qFormat/>
    <w:uiPriority w:val="0"/>
  </w:style>
  <w:style w:type="character" w:customStyle="1" w:styleId="32">
    <w:name w:val="Link da Internet"/>
    <w:qFormat/>
    <w:uiPriority w:val="0"/>
    <w:rPr>
      <w:color w:val="000080"/>
      <w:u w:val="single"/>
      <w:lang w:val="en-US" w:eastAsia="en-US" w:bidi="en-US"/>
    </w:rPr>
  </w:style>
  <w:style w:type="character" w:customStyle="1" w:styleId="33">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4">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5">
    <w:name w:val="Cabeçalho Char"/>
    <w:qFormat/>
    <w:uiPriority w:val="0"/>
    <w:rPr>
      <w:rFonts w:ascii="Ecofont_Spranq_eco_Sans" w:hAnsi="Ecofont_Spranq_eco_Sans" w:cs="Tahoma"/>
      <w:sz w:val="24"/>
      <w:szCs w:val="24"/>
    </w:rPr>
  </w:style>
  <w:style w:type="character" w:customStyle="1" w:styleId="36">
    <w:name w:val="Rodapé Char"/>
    <w:qFormat/>
    <w:uiPriority w:val="99"/>
    <w:rPr>
      <w:rFonts w:ascii="Ecofont_Spranq_eco_Sans" w:hAnsi="Ecofont_Spranq_eco_Sans" w:cs="Tahoma"/>
      <w:sz w:val="24"/>
      <w:szCs w:val="24"/>
    </w:rPr>
  </w:style>
  <w:style w:type="character" w:customStyle="1" w:styleId="37">
    <w:name w:val="cp_0020corpodespacho__char1"/>
    <w:qFormat/>
    <w:uiPriority w:val="0"/>
    <w:rPr>
      <w:rFonts w:ascii="Times New Roman" w:hAnsi="Times New Roman" w:cs="Times New Roman"/>
      <w:sz w:val="26"/>
      <w:szCs w:val="26"/>
      <w:u w:val="none"/>
    </w:rPr>
  </w:style>
  <w:style w:type="character" w:customStyle="1" w:styleId="38">
    <w:name w:val="em_0020ementa__char1"/>
    <w:qFormat/>
    <w:uiPriority w:val="0"/>
    <w:rPr>
      <w:rFonts w:ascii="Times New Roman" w:hAnsi="Times New Roman" w:cs="Times New Roman"/>
      <w:sz w:val="28"/>
      <w:szCs w:val="28"/>
      <w:u w:val="none"/>
    </w:rPr>
  </w:style>
  <w:style w:type="character" w:customStyle="1" w:styleId="39">
    <w:name w:val="ListLabel 1"/>
    <w:qFormat/>
    <w:uiPriority w:val="0"/>
    <w:rPr>
      <w:b/>
    </w:rPr>
  </w:style>
  <w:style w:type="character" w:customStyle="1" w:styleId="40">
    <w:name w:val="ListLabel 2"/>
    <w:qFormat/>
    <w:uiPriority w:val="0"/>
  </w:style>
  <w:style w:type="character" w:customStyle="1" w:styleId="41">
    <w:name w:val="ListLabel 3"/>
    <w:qFormat/>
    <w:uiPriority w:val="0"/>
    <w:rPr>
      <w:rFonts w:eastAsia="Arial Unicode MS"/>
    </w:rPr>
  </w:style>
  <w:style w:type="character" w:customStyle="1" w:styleId="42">
    <w:name w:val="ListLabel 4"/>
    <w:qFormat/>
    <w:uiPriority w:val="0"/>
    <w:rPr>
      <w:rFonts w:cs="Arial"/>
      <w:i/>
      <w:color w:val="FF0000"/>
    </w:rPr>
  </w:style>
  <w:style w:type="character" w:customStyle="1" w:styleId="43">
    <w:name w:val="ListLabel 5"/>
    <w:qFormat/>
    <w:uiPriority w:val="0"/>
    <w:rPr>
      <w:color w:val="0000FF"/>
    </w:rPr>
  </w:style>
  <w:style w:type="character" w:customStyle="1" w:styleId="44">
    <w:name w:val="ListLabel 6"/>
    <w:qFormat/>
    <w:uiPriority w:val="0"/>
    <w:rPr>
      <w:b/>
    </w:rPr>
  </w:style>
  <w:style w:type="character" w:customStyle="1" w:styleId="45">
    <w:name w:val="ListLabel 7"/>
    <w:qFormat/>
    <w:uiPriority w:val="0"/>
    <w:rPr>
      <w:b/>
      <w:color w:val="00000A"/>
    </w:rPr>
  </w:style>
  <w:style w:type="character" w:customStyle="1" w:styleId="46">
    <w:name w:val="ListLabel 8"/>
    <w:qFormat/>
    <w:uiPriority w:val="0"/>
  </w:style>
  <w:style w:type="character" w:customStyle="1" w:styleId="47">
    <w:name w:val="ListLabel 9"/>
    <w:qFormat/>
    <w:uiPriority w:val="0"/>
    <w:rPr>
      <w:color w:val="00000A"/>
    </w:rPr>
  </w:style>
  <w:style w:type="character" w:customStyle="1" w:styleId="48">
    <w:name w:val="ListLabel 10"/>
    <w:qFormat/>
    <w:uiPriority w:val="0"/>
    <w:rPr>
      <w:b/>
    </w:rPr>
  </w:style>
  <w:style w:type="character" w:customStyle="1" w:styleId="49">
    <w:name w:val="ListLabel 11"/>
    <w:qFormat/>
    <w:uiPriority w:val="0"/>
  </w:style>
  <w:style w:type="character" w:customStyle="1" w:styleId="50">
    <w:name w:val="ListLabel 12"/>
    <w:uiPriority w:val="0"/>
    <w:rPr>
      <w:b/>
    </w:rPr>
  </w:style>
  <w:style w:type="character" w:customStyle="1" w:styleId="51">
    <w:name w:val="ListLabel 13"/>
    <w:qFormat/>
    <w:uiPriority w:val="0"/>
  </w:style>
  <w:style w:type="character" w:customStyle="1" w:styleId="52">
    <w:name w:val="WW_CharLFO2LVL1"/>
    <w:qFormat/>
    <w:uiPriority w:val="0"/>
    <w:rPr>
      <w:b/>
    </w:rPr>
  </w:style>
  <w:style w:type="character" w:customStyle="1" w:styleId="53">
    <w:name w:val="WW_CharLFO2LVL2"/>
    <w:qFormat/>
    <w:uiPriority w:val="0"/>
  </w:style>
  <w:style w:type="character" w:customStyle="1" w:styleId="54">
    <w:name w:val="WW_CharLFO2LVL3"/>
    <w:qFormat/>
    <w:uiPriority w:val="0"/>
  </w:style>
  <w:style w:type="character" w:customStyle="1" w:styleId="55">
    <w:name w:val="WW_CharLFO3LVL1"/>
    <w:qFormat/>
    <w:uiPriority w:val="0"/>
    <w:rPr>
      <w:b/>
    </w:rPr>
  </w:style>
  <w:style w:type="character" w:customStyle="1" w:styleId="56">
    <w:name w:val="WW_CharLFO3LVL2"/>
    <w:qFormat/>
    <w:uiPriority w:val="0"/>
  </w:style>
  <w:style w:type="character" w:customStyle="1" w:styleId="57">
    <w:name w:val="WW_CharLFO3LVL3"/>
    <w:qFormat/>
    <w:uiPriority w:val="0"/>
  </w:style>
  <w:style w:type="character" w:customStyle="1" w:styleId="58">
    <w:name w:val="WW_CharLFO4LVL1"/>
    <w:qFormat/>
    <w:uiPriority w:val="0"/>
    <w:rPr>
      <w:b/>
    </w:rPr>
  </w:style>
  <w:style w:type="character" w:customStyle="1" w:styleId="59">
    <w:name w:val="WW_CharLFO4LVL2"/>
    <w:qFormat/>
    <w:uiPriority w:val="0"/>
  </w:style>
  <w:style w:type="character" w:customStyle="1" w:styleId="60">
    <w:name w:val="WW_CharLFO4LVL3"/>
    <w:qFormat/>
    <w:uiPriority w:val="0"/>
  </w:style>
  <w:style w:type="character" w:customStyle="1" w:styleId="61">
    <w:name w:val="Comment Text Char"/>
    <w:basedOn w:val="7"/>
    <w:qFormat/>
    <w:uiPriority w:val="0"/>
    <w:rPr>
      <w:rFonts w:cs="Mangal"/>
      <w:sz w:val="20"/>
      <w:szCs w:val="18"/>
    </w:rPr>
  </w:style>
  <w:style w:type="character" w:customStyle="1" w:styleId="62">
    <w:name w:val="Quote Char"/>
    <w:basedOn w:val="7"/>
    <w:link w:val="63"/>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3">
    <w:name w:val="Citação1"/>
    <w:basedOn w:val="1"/>
    <w:next w:val="1"/>
    <w:link w:val="62"/>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character" w:customStyle="1" w:styleId="64">
    <w:name w:val="Manoel"/>
    <w:qFormat/>
    <w:uiPriority w:val="0"/>
    <w:rPr>
      <w:rFonts w:ascii="Arial" w:hAnsi="Arial" w:cs="Arial"/>
      <w:color w:val="7030A0"/>
      <w:sz w:val="20"/>
    </w:rPr>
  </w:style>
  <w:style w:type="paragraph" w:customStyle="1" w:styleId="65">
    <w:name w:val="LO-Normal"/>
    <w:qFormat/>
    <w:uiPriority w:val="0"/>
    <w:pPr>
      <w:keepNext/>
      <w:widowControl w:val="0"/>
      <w:shd w:val="clear" w:color="auto" w:fill="FFFFFF"/>
      <w:suppressAutoHyphens/>
      <w:spacing w:after="0" w:line="240" w:lineRule="auto"/>
      <w:textAlignment w:val="baseline"/>
    </w:pPr>
    <w:rPr>
      <w:rFonts w:ascii="Liberation Serif" w:hAnsi="Liberation Serif" w:eastAsia="WenQuanYi Micro Hei" w:cs="Lohit Hindi"/>
      <w:sz w:val="24"/>
      <w:szCs w:val="24"/>
      <w:lang w:val="pt-BR" w:eastAsia="zh-CN" w:bidi="hi-IN"/>
    </w:rPr>
  </w:style>
  <w:style w:type="paragraph" w:customStyle="1" w:styleId="66">
    <w:name w:val="Índice"/>
    <w:basedOn w:val="1"/>
    <w:qFormat/>
    <w:uiPriority w:val="0"/>
    <w:pPr>
      <w:suppressLineNumbers/>
    </w:pPr>
    <w:rPr>
      <w:rFonts w:cs="Lohit Hindi"/>
    </w:rPr>
  </w:style>
  <w:style w:type="paragraph" w:styleId="67">
    <w:name w:val="List Paragraph"/>
    <w:basedOn w:val="1"/>
    <w:qFormat/>
    <w:uiPriority w:val="34"/>
    <w:pPr>
      <w:tabs>
        <w:tab w:val="left" w:pos="-12"/>
      </w:tabs>
      <w:ind w:left="720"/>
    </w:pPr>
  </w:style>
  <w:style w:type="character" w:customStyle="1" w:styleId="68">
    <w:name w:val="Texto de balão Char1"/>
    <w:basedOn w:val="7"/>
    <w:link w:val="22"/>
    <w:qFormat/>
    <w:uiPriority w:val="0"/>
    <w:rPr>
      <w:rFonts w:ascii="Tahoma" w:hAnsi="Tahoma" w:eastAsia="Times New Roman" w:cs="Tahoma"/>
      <w:color w:val="00000A"/>
      <w:sz w:val="16"/>
      <w:szCs w:val="16"/>
      <w:shd w:val="clear" w:color="auto" w:fill="FFFFFF"/>
      <w:lang w:eastAsia="pt-BR"/>
    </w:rPr>
  </w:style>
  <w:style w:type="paragraph" w:customStyle="1" w:styleId="69">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70">
    <w:name w:val="Quote"/>
    <w:basedOn w:val="1"/>
    <w:link w:val="7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character" w:customStyle="1" w:styleId="71">
    <w:name w:val="Citação Char1"/>
    <w:basedOn w:val="7"/>
    <w:link w:val="70"/>
    <w:qFormat/>
    <w:uiPriority w:val="0"/>
    <w:rPr>
      <w:rFonts w:ascii="Ecofont_Spranq_eco_Sans" w:hAnsi="Ecofont_Spranq_eco_Sans" w:eastAsia="Calibri" w:cs="Tahoma"/>
      <w:i/>
      <w:iCs/>
      <w:color w:val="000000"/>
      <w:sz w:val="20"/>
      <w:szCs w:val="24"/>
      <w:shd w:val="clear" w:color="auto" w:fill="FFFFCC"/>
    </w:rPr>
  </w:style>
  <w:style w:type="paragraph" w:customStyle="1" w:styleId="72">
    <w:name w:val="citação 2"/>
    <w:basedOn w:val="70"/>
    <w:qFormat/>
    <w:uiPriority w:val="0"/>
    <w:rPr>
      <w:szCs w:val="20"/>
    </w:rPr>
  </w:style>
  <w:style w:type="character" w:customStyle="1" w:styleId="73">
    <w:name w:val="Cabeçalho Char1"/>
    <w:basedOn w:val="7"/>
    <w:link w:val="18"/>
    <w:uiPriority w:val="0"/>
    <w:rPr>
      <w:rFonts w:ascii="Ecofont_Spranq_eco_Sans" w:hAnsi="Ecofont_Spranq_eco_Sans" w:eastAsia="Times New Roman" w:cs="Tahoma"/>
      <w:color w:val="00000A"/>
      <w:sz w:val="24"/>
      <w:szCs w:val="24"/>
      <w:shd w:val="clear" w:color="auto" w:fill="FFFFFF"/>
      <w:lang w:eastAsia="pt-BR"/>
    </w:rPr>
  </w:style>
  <w:style w:type="character" w:customStyle="1" w:styleId="74">
    <w:name w:val="Rodapé Char1"/>
    <w:basedOn w:val="7"/>
    <w:link w:val="20"/>
    <w:qFormat/>
    <w:uiPriority w:val="99"/>
    <w:rPr>
      <w:rFonts w:ascii="Ecofont_Spranq_eco_Sans" w:hAnsi="Ecofont_Spranq_eco_Sans" w:eastAsia="Times New Roman" w:cs="Tahoma"/>
      <w:color w:val="00000A"/>
      <w:sz w:val="24"/>
      <w:szCs w:val="24"/>
      <w:shd w:val="clear" w:color="auto" w:fill="FFFFFF"/>
      <w:lang w:eastAsia="pt-BR"/>
    </w:rPr>
  </w:style>
  <w:style w:type="paragraph" w:customStyle="1" w:styleId="75">
    <w:name w:val="em_0020ementa"/>
    <w:basedOn w:val="1"/>
    <w:uiPriority w:val="0"/>
    <w:pPr>
      <w:tabs>
        <w:tab w:val="left" w:pos="-3452"/>
      </w:tabs>
      <w:ind w:left="4160"/>
      <w:jc w:val="both"/>
    </w:pPr>
    <w:rPr>
      <w:rFonts w:ascii="Times New Roman" w:hAnsi="Times New Roman" w:cs="Times New Roman"/>
      <w:sz w:val="28"/>
      <w:szCs w:val="28"/>
    </w:rPr>
  </w:style>
  <w:style w:type="paragraph" w:customStyle="1" w:styleId="76">
    <w:name w:val="Conteúdo da tabela"/>
    <w:basedOn w:val="1"/>
    <w:qFormat/>
    <w:uiPriority w:val="0"/>
    <w:pPr>
      <w:suppressLineNumbers/>
    </w:pPr>
  </w:style>
  <w:style w:type="paragraph" w:customStyle="1" w:styleId="77">
    <w:name w:val="Citações"/>
    <w:basedOn w:val="1"/>
    <w:qFormat/>
    <w:uiPriority w:val="0"/>
    <w:pPr>
      <w:spacing w:after="283"/>
      <w:ind w:left="567" w:right="567"/>
    </w:pPr>
  </w:style>
  <w:style w:type="paragraph" w:customStyle="1" w:styleId="78">
    <w:name w:val="Título do documento"/>
    <w:basedOn w:val="3"/>
    <w:next w:val="4"/>
    <w:uiPriority w:val="0"/>
    <w:pPr>
      <w:jc w:val="center"/>
    </w:pPr>
    <w:rPr>
      <w:b/>
      <w:bCs/>
      <w:sz w:val="56"/>
      <w:szCs w:val="56"/>
    </w:rPr>
  </w:style>
  <w:style w:type="character" w:customStyle="1" w:styleId="79">
    <w:name w:val="Subtítulo Char"/>
    <w:basedOn w:val="7"/>
    <w:link w:val="23"/>
    <w:qFormat/>
    <w:uiPriority w:val="0"/>
    <w:rPr>
      <w:rFonts w:ascii="Liberation Sans" w:hAnsi="Liberation Sans" w:eastAsia="WenQuanYi Micro Hei" w:cs="Lohit Hindi"/>
      <w:color w:val="00000A"/>
      <w:sz w:val="36"/>
      <w:szCs w:val="36"/>
      <w:shd w:val="clear" w:color="auto" w:fill="FFFFFF"/>
      <w:lang w:eastAsia="pt-BR"/>
    </w:rPr>
  </w:style>
  <w:style w:type="paragraph" w:customStyle="1" w:styleId="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81">
    <w:name w:val="Linha horizontal"/>
    <w:basedOn w:val="1"/>
    <w:next w:val="4"/>
    <w:qFormat/>
    <w:uiPriority w:val="0"/>
    <w:pPr>
      <w:suppressLineNumbers/>
      <w:pBdr>
        <w:bottom w:val="double" w:color="808080" w:sz="2" w:space="0"/>
      </w:pBdr>
      <w:spacing w:after="283"/>
    </w:pPr>
    <w:rPr>
      <w:sz w:val="12"/>
      <w:szCs w:val="12"/>
    </w:rPr>
  </w:style>
  <w:style w:type="paragraph" w:customStyle="1" w:styleId="82">
    <w:name w:val="Título de tabela"/>
    <w:basedOn w:val="76"/>
    <w:qFormat/>
    <w:uiPriority w:val="0"/>
    <w:pPr>
      <w:jc w:val="center"/>
    </w:pPr>
    <w:rPr>
      <w:b/>
      <w:bCs/>
    </w:rPr>
  </w:style>
  <w:style w:type="character" w:customStyle="1" w:styleId="83">
    <w:name w:val="Texto de comentário Char"/>
    <w:basedOn w:val="7"/>
    <w:link w:val="15"/>
    <w:qFormat/>
    <w:uiPriority w:val="99"/>
    <w:rPr>
      <w:rFonts w:ascii="Ecofont_Spranq_eco_Sans" w:hAnsi="Ecofont_Spranq_eco_Sans" w:eastAsia="Times New Roman" w:cs="Tahoma"/>
      <w:color w:val="00000A"/>
      <w:sz w:val="20"/>
      <w:szCs w:val="20"/>
      <w:shd w:val="clear" w:color="auto" w:fill="FFFFFF"/>
      <w:lang w:eastAsia="pt-BR"/>
    </w:rPr>
  </w:style>
  <w:style w:type="character" w:customStyle="1" w:styleId="84">
    <w:name w:val="Corpo de texto Char"/>
    <w:basedOn w:val="7"/>
    <w:link w:val="14"/>
    <w:qFormat/>
    <w:uiPriority w:val="0"/>
    <w:rPr>
      <w:rFonts w:ascii="Times New Roman" w:hAnsi="Times New Roman" w:eastAsia="Arial Unicode MS" w:cs="Times New Roman"/>
      <w:sz w:val="24"/>
      <w:szCs w:val="20"/>
      <w:lang w:eastAsia="pt-BR"/>
    </w:rPr>
  </w:style>
  <w:style w:type="paragraph" w:customStyle="1" w:styleId="85">
    <w:name w:val="Nivel 2"/>
    <w:link w:val="86"/>
    <w:qFormat/>
    <w:uiPriority w:val="0"/>
    <w:pPr>
      <w:numPr>
        <w:ilvl w:val="1"/>
        <w:numId w:val="2"/>
      </w:numPr>
      <w:spacing w:before="120" w:after="120" w:line="276" w:lineRule="auto"/>
      <w:jc w:val="both"/>
    </w:pPr>
    <w:rPr>
      <w:rFonts w:ascii="Ecofont_Spranq_eco_Sans" w:hAnsi="Ecofont_Spranq_eco_Sans" w:eastAsia="Arial Unicode MS" w:cs="Times New Roman"/>
      <w:sz w:val="20"/>
      <w:szCs w:val="20"/>
      <w:lang w:val="pt-BR" w:eastAsia="pt-BR" w:bidi="ar-SA"/>
    </w:rPr>
  </w:style>
  <w:style w:type="character" w:customStyle="1" w:styleId="86">
    <w:name w:val="Nivel 2 Char"/>
    <w:basedOn w:val="7"/>
    <w:link w:val="85"/>
    <w:uiPriority w:val="0"/>
    <w:rPr>
      <w:rFonts w:ascii="Ecofont_Spranq_eco_Sans" w:hAnsi="Ecofont_Spranq_eco_Sans" w:eastAsia="Arial Unicode MS" w:cs="Times New Roman"/>
      <w:sz w:val="20"/>
      <w:szCs w:val="20"/>
      <w:lang w:eastAsia="pt-BR"/>
    </w:rPr>
  </w:style>
  <w:style w:type="paragraph" w:customStyle="1" w:styleId="87">
    <w:name w:val="Nivel 1"/>
    <w:basedOn w:val="85"/>
    <w:next w:val="85"/>
    <w:qFormat/>
    <w:uiPriority w:val="0"/>
    <w:pPr>
      <w:numPr>
        <w:ilvl w:val="0"/>
      </w:numPr>
    </w:pPr>
    <w:rPr>
      <w:rFonts w:cs="Arial"/>
      <w:b/>
    </w:rPr>
  </w:style>
  <w:style w:type="paragraph" w:customStyle="1" w:styleId="88">
    <w:name w:val="Nivel 3"/>
    <w:basedOn w:val="85"/>
    <w:link w:val="89"/>
    <w:qFormat/>
    <w:uiPriority w:val="0"/>
    <w:pPr>
      <w:numPr>
        <w:ilvl w:val="0"/>
        <w:numId w:val="0"/>
      </w:numPr>
      <w:ind w:left="1224" w:hanging="504"/>
    </w:pPr>
    <w:rPr>
      <w:rFonts w:cs="Arial"/>
      <w:color w:val="000000"/>
    </w:rPr>
  </w:style>
  <w:style w:type="character" w:customStyle="1" w:styleId="89">
    <w:name w:val="Nivel 3 Char"/>
    <w:basedOn w:val="7"/>
    <w:link w:val="88"/>
    <w:uiPriority w:val="0"/>
    <w:rPr>
      <w:rFonts w:ascii="Ecofont_Spranq_eco_Sans" w:hAnsi="Ecofont_Spranq_eco_Sans" w:eastAsia="Arial Unicode MS" w:cs="Arial"/>
      <w:color w:val="000000"/>
      <w:sz w:val="20"/>
      <w:szCs w:val="20"/>
      <w:lang w:eastAsia="pt-BR"/>
    </w:rPr>
  </w:style>
  <w:style w:type="paragraph" w:customStyle="1" w:styleId="90">
    <w:name w:val="Nivel 4"/>
    <w:basedOn w:val="88"/>
    <w:link w:val="91"/>
    <w:qFormat/>
    <w:uiPriority w:val="0"/>
    <w:pPr>
      <w:numPr>
        <w:ilvl w:val="3"/>
      </w:numPr>
      <w:ind w:left="1224" w:hanging="504"/>
    </w:pPr>
    <w:rPr>
      <w:color w:val="auto"/>
    </w:rPr>
  </w:style>
  <w:style w:type="character" w:customStyle="1" w:styleId="91">
    <w:name w:val="Nivel 4 Char"/>
    <w:basedOn w:val="7"/>
    <w:link w:val="90"/>
    <w:uiPriority w:val="0"/>
    <w:rPr>
      <w:rFonts w:ascii="Ecofont_Spranq_eco_Sans" w:hAnsi="Ecofont_Spranq_eco_Sans" w:eastAsia="Arial Unicode MS" w:cs="Arial"/>
      <w:sz w:val="20"/>
      <w:szCs w:val="20"/>
      <w:lang w:eastAsia="pt-BR"/>
    </w:rPr>
  </w:style>
  <w:style w:type="paragraph" w:customStyle="1" w:styleId="92">
    <w:name w:val="Nivel 5"/>
    <w:basedOn w:val="90"/>
    <w:qFormat/>
    <w:uiPriority w:val="0"/>
    <w:pPr>
      <w:numPr>
        <w:ilvl w:val="4"/>
      </w:numPr>
      <w:tabs>
        <w:tab w:val="left" w:pos="360"/>
      </w:tabs>
      <w:ind w:left="2496" w:hanging="1080"/>
    </w:pPr>
  </w:style>
  <w:style w:type="paragraph" w:customStyle="1" w:styleId="93">
    <w:name w:val="Grade Colorida - Ênfase 11"/>
    <w:basedOn w:val="1"/>
    <w:next w:val="1"/>
    <w:link w:val="94"/>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94">
    <w:name w:val="Grade Colorida - Ênfase 1 Char"/>
    <w:link w:val="93"/>
    <w:qFormat/>
    <w:uiPriority w:val="29"/>
    <w:rPr>
      <w:rFonts w:ascii="Ecofont_Spranq_eco_Sans" w:hAnsi="Ecofont_Spranq_eco_Sans" w:eastAsia="Calibri" w:cs="Tahoma"/>
      <w:i/>
      <w:iCs/>
      <w:color w:val="000000"/>
      <w:sz w:val="20"/>
      <w:szCs w:val="24"/>
      <w:shd w:val="clear" w:color="auto" w:fill="FFFFCC"/>
    </w:rPr>
  </w:style>
  <w:style w:type="character" w:customStyle="1" w:styleId="95">
    <w:name w:val="Assunto do comentário Char"/>
    <w:basedOn w:val="83"/>
    <w:link w:val="19"/>
    <w:semiHidden/>
    <w:uiPriority w:val="99"/>
    <w:rPr>
      <w:rFonts w:ascii="Ecofont_Spranq_eco_Sans" w:hAnsi="Ecofont_Spranq_eco_Sans" w:eastAsia="Times New Roman" w:cs="Tahoma"/>
      <w:b/>
      <w:bCs/>
      <w:color w:val="00000A"/>
      <w:sz w:val="20"/>
      <w:szCs w:val="20"/>
      <w:shd w:val="clear" w:color="auto" w:fill="FFFFFF"/>
      <w:lang w:eastAsia="pt-BR"/>
    </w:rPr>
  </w:style>
  <w:style w:type="table" w:styleId="96">
    <w:name w:val="Medium Grid 2 Accent 2"/>
    <w:basedOn w:val="8"/>
    <w:semiHidden/>
    <w:unhideWhenUsed/>
    <w:qFormat/>
    <w:uiPriority w:val="0"/>
    <w:pPr>
      <w:spacing w:after="0" w:line="240" w:lineRule="auto"/>
      <w:textAlignment w:val="baseline"/>
    </w:pPr>
    <w:rPr>
      <w:rFonts w:ascii="Ecofont_Spranq_eco_Sans" w:hAnsi="Ecofont_Spranq_eco_Sans" w:eastAsia="Calibri" w:cs="Ecofont_Spranq_eco_Sans"/>
      <w:i/>
      <w:iCs/>
      <w:color w:val="000000"/>
      <w:szCs w:val="24"/>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tcPr>
        <w:shd w:val="clear" w:color="auto" w:fill="FDF2EA"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BE4D5" w:themeFill="accent2" w:themeFillTint="33"/>
      </w:tcPr>
    </w:tblStylePr>
    <w:tblStylePr w:type="band1Vert">
      <w:tcPr>
        <w:shd w:val="clear" w:color="auto" w:fill="F6BE98" w:themeFill="accent2" w:themeFillTint="7F"/>
      </w:tcPr>
    </w:tblStylePr>
    <w:tblStylePr w:type="band1Horz">
      <w:tcPr>
        <w:tcBorders>
          <w:insideH w:val="single" w:sz="6" w:space="0"/>
          <w:insideV w:val="single" w:sz="6" w:space="0"/>
        </w:tcBorders>
        <w:shd w:val="clear" w:color="auto" w:fill="F6BE98" w:themeFill="accent2" w:themeFillTint="7F"/>
      </w:tcPr>
    </w:tblStylePr>
    <w:tblStylePr w:type="nwCell">
      <w:tcPr>
        <w:shd w:val="clear" w:color="auto" w:fill="FFFFFF" w:themeFill="background1"/>
      </w:tcPr>
    </w:tblStylePr>
  </w:style>
  <w:style w:type="character" w:customStyle="1" w:styleId="97">
    <w:name w:val="Grade Média 2 - Ênfase 2 Char"/>
    <w:semiHidden/>
    <w:qFormat/>
    <w:uiPriority w:val="0"/>
    <w:rPr>
      <w:rFonts w:ascii="Ecofont_Spranq_eco_Sans" w:hAnsi="Ecofont_Spranq_eco_Sans" w:eastAsia="Calibri" w:cs="Ecofont_Spranq_eco_Sans"/>
      <w:i/>
      <w:iCs/>
      <w:color w:val="000000"/>
      <w:szCs w:val="24"/>
      <w:shd w:val="clear" w:color="auto" w:fill="FFFFCC"/>
    </w:rPr>
  </w:style>
  <w:style w:type="paragraph" w:customStyle="1" w:styleId="9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paragraph" w:customStyle="1" w:styleId="99">
    <w:name w:val="Nivel 01"/>
    <w:basedOn w:val="2"/>
    <w:next w:val="1"/>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cs="Times New Roman" w:eastAsiaTheme="majorEastAsia"/>
      <w:color w:val="000000"/>
      <w:sz w:val="20"/>
      <w:szCs w:val="20"/>
    </w:rPr>
  </w:style>
  <w:style w:type="paragraph" w:customStyle="1" w:styleId="100">
    <w:name w:val="x_western"/>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101">
    <w:name w:val="highlight"/>
    <w:basedOn w:val="7"/>
    <w:uiPriority w:val="0"/>
  </w:style>
  <w:style w:type="paragraph" w:customStyle="1" w:styleId="102">
    <w:name w:val="Sombreamento Médio 1 - Ênfase 31"/>
    <w:basedOn w:val="1"/>
    <w:next w:val="1"/>
    <w:uiPriority w:val="0"/>
    <w:pPr>
      <w:keepNext w:val="0"/>
      <w:pBdr>
        <w:top w:val="single" w:color="000080" w:sz="4" w:space="1"/>
        <w:left w:val="single" w:color="000080" w:sz="4" w:space="4"/>
        <w:bottom w:val="single" w:color="000080" w:sz="4" w:space="1"/>
        <w:right w:val="single" w:color="000080" w:sz="4" w:space="4"/>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103">
    <w:name w:val="Normal numerado"/>
    <w:basedOn w:val="1"/>
    <w:qFormat/>
    <w:uiPriority w:val="0"/>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customStyle="1" w:styleId="104">
    <w:name w:val="Revision"/>
    <w:hidden/>
    <w:semiHidden/>
    <w:uiPriority w:val="99"/>
    <w:pPr>
      <w:spacing w:after="0" w:line="240" w:lineRule="auto"/>
    </w:pPr>
    <w:rPr>
      <w:rFonts w:ascii="Ecofont_Spranq_eco_Sans" w:hAnsi="Ecofont_Spranq_eco_Sans" w:eastAsia="Times New Roman" w:cs="Tahoma"/>
      <w:color w:val="00000A"/>
      <w:sz w:val="24"/>
      <w:szCs w:val="24"/>
      <w:lang w:val="pt-BR" w:eastAsia="pt-BR" w:bidi="ar-SA"/>
    </w:rPr>
  </w:style>
  <w:style w:type="character" w:customStyle="1" w:styleId="105">
    <w:name w:val="Comment Reference1"/>
    <w:basedOn w:val="7"/>
    <w:qFormat/>
    <w:uiPriority w:val="0"/>
    <w:rPr>
      <w:sz w:val="16"/>
      <w:szCs w:val="16"/>
    </w:rPr>
  </w:style>
  <w:style w:type="paragraph" w:customStyle="1" w:styleId="106">
    <w:name w:val="Comment Text1"/>
    <w:basedOn w:val="65"/>
    <w:uiPriority w:val="0"/>
    <w:rPr>
      <w:rFonts w:cs="Mangal"/>
      <w:sz w:val="20"/>
      <w:szCs w:val="18"/>
    </w:rPr>
  </w:style>
  <w:style w:type="paragraph" w:customStyle="1" w:styleId="107">
    <w:name w:val="figura"/>
    <w:basedOn w:val="1"/>
    <w:uiPriority w:val="0"/>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108">
    <w:name w:val="xl59"/>
    <w:basedOn w:val="1"/>
    <w:qFormat/>
    <w:uiPriority w:val="0"/>
    <w:pPr>
      <w:keepNext w:val="0"/>
      <w:pBdr>
        <w:top w:val="single" w:color="auto" w:sz="4" w:space="0"/>
        <w:bottom w:val="single" w:color="auto" w:sz="4" w:space="0"/>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88508-67B7-47DD-A4DA-F344CC162BF5}">
  <ds:schemaRefs/>
</ds:datastoreItem>
</file>

<file path=customXml/itemProps2.xml><?xml version="1.0" encoding="utf-8"?>
<ds:datastoreItem xmlns:ds="http://schemas.openxmlformats.org/officeDocument/2006/customXml" ds:itemID="{0B0CDCF3-9132-4273-84E6-F2A645C93EFB}">
  <ds:schemaRefs/>
</ds:datastoreItem>
</file>

<file path=customXml/itemProps3.xml><?xml version="1.0" encoding="utf-8"?>
<ds:datastoreItem xmlns:ds="http://schemas.openxmlformats.org/officeDocument/2006/customXml" ds:itemID="{740EA113-2A24-4844-B05F-EF0B59C45434}">
  <ds:schemaRefs/>
</ds:datastoreItem>
</file>

<file path=customXml/itemProps4.xml><?xml version="1.0" encoding="utf-8"?>
<ds:datastoreItem xmlns:ds="http://schemas.openxmlformats.org/officeDocument/2006/customXml" ds:itemID="{7ADEDFD8-1C0B-4DE1-8047-3A259A0B5662}">
  <ds:schemaRefs/>
</ds:datastoreItem>
</file>

<file path=docProps/app.xml><?xml version="1.0" encoding="utf-8"?>
<Properties xmlns="http://schemas.openxmlformats.org/officeDocument/2006/extended-properties" xmlns:vt="http://schemas.openxmlformats.org/officeDocument/2006/docPropsVTypes">
  <Template>Normal</Template>
  <Pages>26</Pages>
  <Words>11582</Words>
  <Characters>62546</Characters>
  <Lines>521</Lines>
  <Paragraphs>147</Paragraphs>
  <TotalTime>20</TotalTime>
  <ScaleCrop>false</ScaleCrop>
  <LinksUpToDate>false</LinksUpToDate>
  <CharactersWithSpaces>73981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2022-02-14T12:18:00Z</dcterms:created>
  <dc:creator>Isabella Silva Oliveira Cavalcanti</dc:creator>
  <cp:lastModifiedBy>Juliana Borsoi</cp:lastModifiedBy>
  <cp:lastPrinted>2020-10-20T19:14:00Z</cp:lastPrinted>
  <dcterms:modified xsi:type="dcterms:W3CDTF">2022-03-30T17:21:13Z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1046-11.2.0.11042</vt:lpwstr>
  </property>
  <property fmtid="{D5CDD505-2E9C-101B-9397-08002B2CF9AE}" pid="4" name="ICV">
    <vt:lpwstr>202A82C7CE164A3087E614F6A208690F</vt:lpwstr>
  </property>
</Properties>
</file>