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142875</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ascii="Verdana" w:hAnsi="Verdana" w:cs="Arial"/>
          <w:b/>
          <w:bCs/>
          <w:color w:val="FF0000"/>
          <w:sz w:val="20"/>
          <w:szCs w:val="20"/>
        </w:rPr>
      </w:pPr>
      <w:r>
        <w:rPr>
          <w:rFonts w:ascii="Verdana" w:hAnsi="Verdana" w:cs="Arial"/>
          <w:b/>
          <w:bCs/>
          <w:color w:val="FF0000"/>
          <w:sz w:val="20"/>
          <w:szCs w:val="20"/>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46/2022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23069.160041/2021-06)</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Torna-se público que 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14:textFill>
            <w14:solidFill>
              <w14:schemeClr w14:val="tx1"/>
            </w14:solidFill>
          </w14:textFill>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14:textFill>
            <w14:solidFill>
              <w14:schemeClr w14:val="tx1"/>
            </w14:solidFill>
          </w14:textFill>
        </w:rPr>
        <w:t>por meio 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sua Comissão de Licitação da Pró-Reitoria de Administração, instituída pela Portaria n.º 57.050 de 01 de setembro de 2016</w:t>
      </w:r>
      <w:r>
        <w:rPr>
          <w:rFonts w:ascii="Verdana" w:hAnsi="Verdana" w:cs="Arial"/>
          <w:color w:val="000000" w:themeColor="text1"/>
          <w:sz w:val="20"/>
          <w:szCs w:val="20"/>
          <w14:textFill>
            <w14:solidFill>
              <w14:schemeClr w14:val="tx1"/>
            </w14:solidFill>
          </w14:textFill>
        </w:rPr>
        <w:t>, sediada</w:t>
      </w:r>
      <w:r>
        <w:rPr>
          <w:rFonts w:ascii="Verdana" w:hAnsi="Verdana" w:eastAsia="Arial" w:cs="Arial"/>
          <w:color w:val="000000" w:themeColor="text1"/>
          <w:sz w:val="20"/>
          <w:szCs w:val="20"/>
          <w14:textFill>
            <w14:solidFill>
              <w14:schemeClr w14:val="tx1"/>
            </w14:solidFill>
          </w14:textFill>
        </w:rPr>
        <w:t xml:space="preserve"> </w:t>
      </w:r>
      <w:r>
        <w:rPr>
          <w:rFonts w:ascii="Verdana" w:hAnsi="Verdana"/>
          <w:sz w:val="20"/>
          <w:szCs w:val="20"/>
        </w:rPr>
        <w:t>à Rua Miguel de Frias n.º 9, Icaraí, Niterói – RJ,</w:t>
      </w:r>
      <w:r>
        <w:rPr>
          <w:rFonts w:ascii="Verdana" w:hAnsi="Verdana" w:cs="Arial"/>
          <w:color w:val="000000" w:themeColor="text1"/>
          <w:sz w:val="20"/>
          <w:szCs w:val="20"/>
          <w14:textFill>
            <w14:solidFill>
              <w14:schemeClr w14:val="tx1"/>
            </w14:solidFill>
          </w14:textFill>
        </w:rPr>
        <w:t>, realizará licitação,</w:t>
      </w:r>
      <w:r>
        <w:rPr>
          <w:rFonts w:ascii="Verdana" w:hAnsi="Verdana" w:cs="Arial"/>
          <w:i/>
          <w:color w:val="FF0000"/>
          <w:sz w:val="20"/>
          <w:szCs w:val="20"/>
        </w:rPr>
        <w:t xml:space="preserve"> </w:t>
      </w:r>
      <w:r>
        <w:rPr>
          <w:rFonts w:ascii="Verdana" w:hAnsi="Verdana" w:cs="Arial"/>
          <w:color w:val="000000" w:themeColor="text1"/>
          <w:sz w:val="20"/>
          <w:szCs w:val="20"/>
          <w14:textFill>
            <w14:solidFill>
              <w14:schemeClr w14:val="tx1"/>
            </w14:solidFill>
          </w14:textFill>
        </w:rPr>
        <w:t xml:space="preserve">na modalidade PREGÃO, na forma ELETRÔNICA, </w:t>
      </w:r>
      <w:r>
        <w:rPr>
          <w:rFonts w:ascii="Verdana" w:hAnsi="Verdana" w:cs="Arial"/>
          <w:b/>
          <w:bCs/>
          <w:color w:val="000000" w:themeColor="text1"/>
          <w:sz w:val="20"/>
          <w:szCs w:val="20"/>
          <w14:textFill>
            <w14:solidFill>
              <w14:schemeClr w14:val="tx1"/>
            </w14:solidFill>
          </w14:textFill>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14:textFill>
            <w14:solidFill>
              <w14:schemeClr w14:val="tx1"/>
            </w14:solidFill>
          </w14:textFill>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14:textFill>
            <w14:solidFill>
              <w14:schemeClr w14:val="tx1"/>
            </w14:solidFill>
          </w14:textFill>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14:textFill>
            <w14:solidFill>
              <w14:schemeClr w14:val="tx1"/>
            </w14:solidFill>
          </w14:textFill>
        </w:rPr>
      </w:pPr>
    </w:p>
    <w:p>
      <w:pPr>
        <w:pStyle w:val="73"/>
        <w:keepNext w:val="0"/>
        <w:shd w:val="clear" w:color="auto" w:fill="auto"/>
        <w:ind w:firstLine="0"/>
        <w:jc w:val="center"/>
        <w:rPr>
          <w:rFonts w:hint="default" w:ascii="Verdana" w:hAnsi="Verdana" w:cs="Arial"/>
          <w:szCs w:val="20"/>
          <w:lang w:val="pt-BR"/>
        </w:rPr>
      </w:pPr>
      <w:r>
        <w:rPr>
          <w:rFonts w:ascii="Verdana" w:hAnsi="Verdana" w:cs="Arial"/>
          <w:szCs w:val="20"/>
        </w:rPr>
        <w:t xml:space="preserve">Data da sessão: </w:t>
      </w:r>
      <w:r>
        <w:rPr>
          <w:rFonts w:hint="default" w:ascii="Verdana" w:hAnsi="Verdana" w:cs="Arial"/>
          <w:b/>
          <w:bCs/>
          <w:color w:val="FF0000"/>
          <w:szCs w:val="20"/>
          <w:lang w:val="pt-BR"/>
        </w:rPr>
        <w:t>06/JUN/2022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 xml:space="preserve">Horário: </w:t>
      </w:r>
      <w:r>
        <w:rPr>
          <w:rFonts w:hint="default" w:ascii="Verdana" w:hAnsi="Verdana" w:cs="Arial"/>
          <w:b/>
          <w:bCs/>
          <w:color w:val="FF0000"/>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w:t>
      </w:r>
      <w:r>
        <w:rPr>
          <w:rFonts w:ascii="Verdana" w:hAnsi="Verdana" w:cs="Arial"/>
          <w:color w:val="000000" w:themeColor="text1"/>
          <w:szCs w:val="20"/>
          <w14:textFill>
            <w14:solidFill>
              <w14:schemeClr w14:val="tx1"/>
            </w14:solidFill>
          </w14:textFill>
        </w:rPr>
        <w:t>a adaptação às normas de acessibilidade no Auditório Milton Santos do Instituto de Geociências (EGG) da Universidade Federal Fluminense</w:t>
      </w:r>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 xml:space="preserve">Localização da obra: </w:t>
      </w:r>
      <w:r>
        <w:rPr>
          <w:rFonts w:ascii="Verdana" w:hAnsi="Verdana" w:cs="Calibri"/>
          <w:color w:val="000000"/>
          <w:sz w:val="18"/>
          <w:szCs w:val="18"/>
        </w:rPr>
        <w:t>Avenida General Milton Tavares de Souza, s/nº – Campus da Praia Vermelha – Boa Viagem – Niterói/RJ – Brasil – 24210-34</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pelo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III-B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Sendo o critério de julgamento o de </w:t>
      </w:r>
      <w:r>
        <w:rPr>
          <w:rFonts w:ascii="Verdana" w:hAnsi="Verdana" w:cs="Arial"/>
          <w:szCs w:val="20"/>
          <w:u w:val="single"/>
        </w:rPr>
        <w:t>maior desconto</w:t>
      </w:r>
      <w:r>
        <w:rPr>
          <w:rFonts w:ascii="Verdana" w:hAnsi="Verdana" w:cs="Arial"/>
          <w:szCs w:val="20"/>
        </w:rPr>
        <w:t>, este percentual de desconto oferecido pelo licitante, além de incidir sobre o preço global fixado, incidirá igualmente sobre o preço unitário de cada item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 xml:space="preserve">O percentual de desconto proposto, resultado da fase de lances, </w:t>
      </w:r>
      <w:r>
        <w:rPr>
          <w:rFonts w:ascii="Verdana" w:hAnsi="Verdana" w:cs="Arial"/>
          <w:sz w:val="18"/>
          <w:szCs w:val="18"/>
          <w:u w:val="single"/>
        </w:rPr>
        <w:t>deverá incidir igualmente</w:t>
      </w:r>
      <w:r>
        <w:rPr>
          <w:rFonts w:ascii="Verdana" w:hAnsi="Verdana" w:cs="Arial"/>
          <w:sz w:val="18"/>
          <w:szCs w:val="18"/>
        </w:rPr>
        <w:t xml:space="preserve"> sobre todos os preços unitários constantes da planilha de orçamento (Anexo III-B), que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desconto proposto, de todos os itens que a compõem, na conformidade das planilhas contidas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rPr>
      </w:pPr>
      <w:bookmarkStart w:id="2" w:name="_Hlk97023241"/>
      <w:r>
        <w:rPr>
          <w:rFonts w:ascii="Verdana" w:hAnsi="Verdana" w:cs="Arial"/>
          <w:szCs w:val="20"/>
        </w:rPr>
        <w:t xml:space="preserve">As despesas para atender a esta licitação </w:t>
      </w:r>
      <w:bookmarkEnd w:id="2"/>
      <w:r>
        <w:rPr>
          <w:rFonts w:ascii="Verdana" w:hAnsi="Verdana" w:cs="Arial"/>
          <w:szCs w:val="20"/>
        </w:rPr>
        <w:t xml:space="preserve">serão indicadas quando da homologação do procedimento licitatório, conforme despacho PLOR/PLAN SEI nº </w:t>
      </w:r>
      <w:r>
        <w:rPr>
          <w:rFonts w:ascii="Calibri" w:hAnsi="Calibri" w:eastAsia="SimSun" w:cs="Calibri"/>
          <w:b/>
          <w:bCs/>
          <w:color w:val="000000"/>
          <w:sz w:val="21"/>
          <w:szCs w:val="21"/>
        </w:rPr>
        <w:t>0793916</w:t>
      </w:r>
      <w:r>
        <w:rPr>
          <w:rFonts w:ascii="Calibri" w:hAnsi="Calibri" w:eastAsia="SimSun" w:cs="Calibri"/>
          <w:color w:val="000000"/>
          <w:sz w:val="21"/>
          <w:szCs w:val="21"/>
        </w:rPr>
        <w:t> (</w:t>
      </w:r>
      <w:r>
        <w:rPr>
          <w:rFonts w:ascii="Verdana" w:hAnsi="Verdana"/>
          <w:szCs w:val="20"/>
        </w:rPr>
        <w:t>https://sei.uff.br/sei/controlador.php?acao=procedimento_trabalhar&amp;id_procedimento=851886&amp;id_documento=866158).</w:t>
      </w:r>
    </w:p>
    <w:p>
      <w:pPr>
        <w:pStyle w:val="73"/>
        <w:keepNext w:val="0"/>
        <w:widowControl/>
        <w:shd w:val="clear" w:color="auto" w:fill="auto"/>
        <w:spacing w:before="120" w:after="120"/>
        <w:ind w:left="360" w:firstLine="0"/>
        <w:rPr>
          <w:rFonts w:ascii="Verdana" w:hAnsi="Verdana" w:cs="Arial"/>
          <w:b/>
          <w:szCs w:val="20"/>
        </w:rPr>
      </w:pP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14:textFill>
            <w14:solidFill>
              <w14:schemeClr w14:val="tx1"/>
            </w14:solidFill>
          </w14:textFill>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14:textFill>
            <w14:solidFill>
              <w14:schemeClr w14:val="tx1"/>
            </w14:solidFill>
          </w14:textFill>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14:textFill>
            <w14:solidFill>
              <w14:schemeClr w14:val="tx1"/>
            </w14:solidFill>
          </w14:textFill>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lang w:eastAsia="en-US"/>
          <w14:textFill>
            <w14:solidFill>
              <w14:schemeClr w14:val="tx1"/>
            </w14:solidFill>
          </w14:textFill>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lang w:eastAsia="en-US"/>
          <w14:textFill>
            <w14:solidFill>
              <w14:schemeClr w14:val="tx1"/>
            </w14:solidFill>
          </w14:textFill>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eastAsia="Arial Unicode MS" w:cs="Arial"/>
          <w:color w:val="000000" w:themeColor="text1"/>
          <w:sz w:val="18"/>
          <w:szCs w:val="18"/>
          <w14:textFill>
            <w14:solidFill>
              <w14:schemeClr w14:val="tx1"/>
            </w14:solidFill>
          </w14:textFill>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14:textFill>
            <w14:solidFill>
              <w14:schemeClr w14:val="tx1"/>
            </w14:solidFill>
          </w14:textFill>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cs="Arial"/>
          <w:color w:val="000000" w:themeColor="text1"/>
          <w:sz w:val="18"/>
          <w:szCs w:val="18"/>
          <w14:textFill>
            <w14:solidFill>
              <w14:schemeClr w14:val="tx1"/>
            </w14:solidFill>
          </w14:textFill>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color w:val="000000" w:themeColor="text1"/>
          <w:sz w:val="18"/>
          <w:szCs w:val="18"/>
          <w14:textFill>
            <w14:solidFill>
              <w14:schemeClr w14:val="tx1"/>
            </w14:solidFill>
          </w14:textFill>
        </w:rPr>
        <w:t>que a proposta foi elaborada de forma independente, nos termos d</w:t>
      </w:r>
      <w:r>
        <w:rPr>
          <w:rFonts w:ascii="Verdana" w:hAnsi="Verdana" w:cs="Arial"/>
          <w:color w:val="000000" w:themeColor="text1"/>
          <w:sz w:val="18"/>
          <w:szCs w:val="18"/>
          <w14:textFill>
            <w14:solidFill>
              <w14:schemeClr w14:val="tx1"/>
            </w14:solidFill>
          </w14:textFill>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Pr>
          <w:rFonts w:ascii="Verdana" w:hAnsi="Verdana" w:cs="TTE4E87780t00"/>
          <w:b/>
          <w:bCs/>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14:textFill>
            <w14:solidFill>
              <w14:schemeClr w14:val="tx1"/>
            </w14:solidFill>
          </w14:textFill>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14:textFill>
            <w14:solidFill>
              <w14:schemeClr w14:val="tx1"/>
            </w14:solidFill>
          </w14:textFill>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14:textFill>
            <w14:solidFill>
              <w14:schemeClr w14:val="tx1"/>
            </w14:solidFill>
          </w14:textFill>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b/>
          <w:color w:val="000000" w:themeColor="text1"/>
          <w:sz w:val="20"/>
          <w:szCs w:val="20"/>
          <w14:textFill>
            <w14:solidFill>
              <w14:schemeClr w14:val="tx1"/>
            </w14:solidFill>
          </w14:textFill>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14:textFill>
            <w14:solidFill>
              <w14:schemeClr w14:val="tx1"/>
            </w14:solidFill>
          </w14:textFill>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14:textFill>
            <w14:solidFill>
              <w14:schemeClr w14:val="tx1"/>
            </w14:solidFill>
          </w14:textFill>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14:textFill>
            <w14:solidFill>
              <w14:schemeClr w14:val="tx1"/>
            </w14:solidFill>
          </w14:textFill>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14:textFill>
            <w14:solidFill>
              <w14:schemeClr w14:val="tx1"/>
            </w14:solidFill>
          </w14:textFill>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14:textFill>
            <w14:solidFill>
              <w14:schemeClr w14:val="tx1"/>
            </w14:solidFill>
          </w14:textFill>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ind w:left="709" w:hanging="425"/>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sz w:val="20"/>
          <w:szCs w:val="20"/>
          <w:lang w:eastAsia="en-US"/>
        </w:rPr>
        <w:t xml:space="preserve"> A abertura da presente licitação dar-se-á em sessão </w:t>
      </w:r>
      <w:r>
        <w:rPr>
          <w:rFonts w:ascii="Verdana" w:hAnsi="Verdana" w:cs="Arial"/>
          <w:color w:val="000000" w:themeColor="text1"/>
          <w:sz w:val="20"/>
          <w:szCs w:val="20"/>
          <w:lang w:eastAsia="en-US"/>
          <w14:textFill>
            <w14:solidFill>
              <w14:schemeClr w14:val="tx1"/>
            </w14:solidFill>
          </w14:textFill>
        </w:rPr>
        <w:t>pública, por meio de sistema eletrônico, na data, horário e local indicados neste Edital.</w:t>
      </w:r>
    </w:p>
    <w:p>
      <w:pPr>
        <w:pStyle w:val="64"/>
        <w:keepNext w:val="0"/>
        <w:numPr>
          <w:ilvl w:val="1"/>
          <w:numId w:val="6"/>
        </w:numPr>
        <w:shd w:val="clear" w:color="auto" w:fill="auto"/>
        <w:tabs>
          <w:tab w:val="clear" w:pos="-12"/>
          <w:tab w:val="clear" w:pos="708"/>
        </w:tabs>
        <w:suppressAutoHyphens w:val="0"/>
        <w:overflowPunct/>
        <w:spacing w:before="120" w:after="120"/>
        <w:ind w:left="782" w:hanging="498"/>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14:textFill>
            <w14:solidFill>
              <w14:schemeClr w14:val="tx1"/>
            </w14:solidFill>
          </w14:textFill>
        </w:rPr>
        <w:t xml:space="preserve">Também será desclassificada a proposta que </w:t>
      </w:r>
      <w:r>
        <w:rPr>
          <w:rFonts w:ascii="Verdana" w:hAnsi="Verdana" w:cs="Arial"/>
          <w:b/>
          <w:bCs/>
          <w:color w:val="000000" w:themeColor="text1"/>
          <w:szCs w:val="20"/>
          <w:lang w:eastAsia="en-US"/>
          <w14:textFill>
            <w14:solidFill>
              <w14:schemeClr w14:val="tx1"/>
            </w14:solidFill>
          </w14:textFill>
        </w:rPr>
        <w:t>identifique o licitante.</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14:textFill>
            <w14:solidFill>
              <w14:schemeClr w14:val="tx1"/>
            </w14:solidFill>
          </w14:textFill>
        </w:rPr>
        <w:t>A desclassificação será sempre fundamentada e registrada no sistema, com acompanhamento em tempo real por todos os participantes.</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A não desclassificação da proposta não impede o seu julgamento definitivo em sentido contrário, levado a efeito na fase de aceitação.</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14:textFill>
            <w14:solidFill>
              <w14:schemeClr w14:val="tx1"/>
            </w14:solidFill>
          </w14:textFill>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14:textFill>
            <w14:solidFill>
              <w14:schemeClr w14:val="tx1"/>
            </w14:solidFill>
          </w14:textFill>
        </w:rPr>
      </w:pPr>
      <w:r>
        <w:rPr>
          <w:rFonts w:ascii="Verdana" w:hAnsi="Verdana" w:cs="Arial"/>
          <w:color w:val="000000" w:themeColor="text1"/>
          <w:sz w:val="20"/>
          <w:szCs w:val="20"/>
          <w14:textFill>
            <w14:solidFill>
              <w14:schemeClr w14:val="tx1"/>
            </w14:solidFill>
          </w14:textFill>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Durante o transcurso </w:t>
      </w:r>
      <w:r>
        <w:rPr>
          <w:rFonts w:ascii="Verdana" w:hAnsi="Verdana" w:cs="Arial"/>
          <w:sz w:val="20"/>
          <w:szCs w:val="20"/>
        </w:rPr>
        <w:t>da</w:t>
      </w:r>
      <w:r>
        <w:rPr>
          <w:rFonts w:ascii="Verdana" w:hAnsi="Verdana" w:cs="Arial"/>
          <w:color w:val="000000" w:themeColor="text1"/>
          <w:sz w:val="20"/>
          <w:szCs w:val="20"/>
          <w14:textFill>
            <w14:solidFill>
              <w14:schemeClr w14:val="tx1"/>
            </w14:solidFill>
          </w14:textFill>
        </w:rPr>
        <w:t xml:space="preserve"> sessão pública, os licitantes serão informados, em tempo real, do valor do menor lance registrado, vedada a identificação do licitante.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14:textFill>
            <w14:solidFill>
              <w14:schemeClr w14:val="tx1"/>
            </w14:solidFill>
          </w14:textFill>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14:textFill>
            <w14:solidFill>
              <w14:schemeClr w14:val="tx1"/>
            </w14:solidFill>
          </w14:textFill>
        </w:rPr>
        <w:t>, que deverá incidir igualmente sobre todos os preços unitários orçados pela UFF e constantes da planilha de orçamento (Anexo III-B) conforme definido neste Edital e seus anexos.</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Não será admitido a incidência sobre os preços unitários referidos anteriormente, de valor(es) de percentual(is) diferente(s) do valor proposto e considerado vencedor na fase final de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Caso o licitante não apresente lances, concorrerá com o valor de sua proposta.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14:textFill>
            <w14:solidFill>
              <w14:schemeClr w14:val="tx1"/>
            </w14:solidFill>
          </w14:textFill>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14:textFill>
            <w14:solidFill>
              <w14:schemeClr w14:val="tx1"/>
            </w14:solidFill>
          </w14:textFill>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 xml:space="preserve">Nessas condições, as propostas de </w:t>
      </w:r>
      <w:r>
        <w:rPr>
          <w:rFonts w:ascii="Verdana" w:hAnsi="Verdana" w:eastAsia="Zurich BT" w:cs="Arial"/>
          <w:color w:val="000000" w:themeColor="text1"/>
          <w:sz w:val="20"/>
          <w:szCs w:val="20"/>
          <w14:textFill>
            <w14:solidFill>
              <w14:schemeClr w14:val="tx1"/>
            </w14:solidFill>
          </w14:textFill>
        </w:rPr>
        <w:t xml:space="preserve">microempresas e empresas de pequeno porte </w:t>
      </w:r>
      <w:r>
        <w:rPr>
          <w:rFonts w:ascii="Verdana" w:hAnsi="Verdana" w:cs="Arial"/>
          <w:color w:val="000000" w:themeColor="text1"/>
          <w:sz w:val="20"/>
          <w:szCs w:val="20"/>
          <w14:textFill>
            <w14:solidFill>
              <w14:schemeClr w14:val="tx1"/>
            </w14:solidFill>
          </w14:textFill>
        </w:rPr>
        <w:t>que se encontrarem na faixa de até 5% (cinco por cento) acima da melhor proposta ou melhor lance serão consideradas empatadas com a primeira colocada.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14:textFill>
            <w14:solidFill>
              <w14:schemeClr w14:val="tx1"/>
            </w14:solidFill>
          </w14:textFill>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 xml:space="preserve">prestados por empresas brasileiras;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invistam em pesquisa e no desenvolvimento de tecnologia no País;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14:textFill>
            <w14:solidFill>
              <w14:schemeClr w14:val="tx1"/>
            </w14:solidFill>
          </w14:textFill>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14:textFill>
            <w14:solidFill>
              <w14:schemeClr w14:val="tx1"/>
            </w14:solidFill>
          </w14:textFill>
        </w:rPr>
        <w:t xml:space="preserve"> melhor classificado</w:t>
      </w:r>
      <w:r>
        <w:rPr>
          <w:rFonts w:ascii="Verdana" w:hAnsi="Verdana" w:cs="Arial"/>
          <w:color w:val="000000"/>
          <w:sz w:val="20"/>
          <w:szCs w:val="20"/>
        </w:rPr>
        <w:t xml:space="preserve"> que,</w:t>
      </w:r>
      <w:r>
        <w:rPr>
          <w:rFonts w:ascii="Verdana" w:hAnsi="Verdana" w:cs="Arial"/>
          <w:color w:val="000000" w:themeColor="text1"/>
          <w:sz w:val="20"/>
          <w:szCs w:val="20"/>
          <w14:textFill>
            <w14:solidFill>
              <w14:schemeClr w14:val="tx1"/>
            </w14:solidFill>
          </w14:textFill>
        </w:rPr>
        <w:t xml:space="preserve"> no prazo </w:t>
      </w:r>
      <w:r>
        <w:rPr>
          <w:rFonts w:ascii="Verdana" w:hAnsi="Verdana" w:cs="Arial"/>
          <w:color w:val="000000" w:themeColor="text1"/>
          <w:sz w:val="20"/>
          <w:szCs w:val="20"/>
          <w:u w:val="single"/>
          <w14:textFill>
            <w14:solidFill>
              <w14:schemeClr w14:val="tx1"/>
            </w14:solidFill>
          </w14:textFill>
        </w:rPr>
        <w:t>mínimo de 02 (duas) horas</w:t>
      </w:r>
      <w:r>
        <w:rPr>
          <w:rFonts w:ascii="Verdana" w:hAnsi="Verdana" w:cs="Arial"/>
          <w:color w:val="000000" w:themeColor="text1"/>
          <w:sz w:val="20"/>
          <w:szCs w:val="20"/>
          <w14:textFill>
            <w14:solidFill>
              <w14:schemeClr w14:val="tx1"/>
            </w14:solidFill>
          </w14:textFill>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bookmarkStart w:id="5" w:name="_Hlk103872780"/>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bookmarkEnd w:id="5"/>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 proposta a ser encaminhada deverá ser composta e conterem:</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percentual de desconto proposto e o seu correspondente valor monetário, discriminados também por extenso.</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Anexo à Carta Proposta deverá apresentar os seguintes documentos, todos conforme modelos anexos a este edital:</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de cada grupo,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para o grupo,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III-B), que tratando-se de desconto, os novos preços unitários propostos pela licitante, serão obrigatoriamente inferiores aos apresentados pela UFF;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dos preços unitários calculados pela UFF; se tal ocorrência for constatada será motivo de desclassificação da proposta; seus valores estão bloqueados para edição no Anexo III-B. </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A soma dos preços totais ajustados dos itens dos serviços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e com carimbo do CNPJ, no formato PDF: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de Resumo do Orçamento</w:t>
      </w:r>
      <w:r>
        <w:rPr>
          <w:rFonts w:ascii="Verdana" w:hAnsi="Verdana" w:eastAsia="Times New Roman" w:cs="Arial"/>
          <w:sz w:val="18"/>
          <w:szCs w:val="18"/>
        </w:rPr>
        <w:t>, conforme modelo do Anexo III-A;</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 A e B;</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14:textFill>
            <w14:solidFill>
              <w14:schemeClr w14:val="tx1"/>
            </w14:solidFill>
          </w14:textFill>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14:textFill>
            <w14:solidFill>
              <w14:schemeClr w14:val="tx1"/>
            </w14:solidFill>
          </w14:textFill>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14:textFill>
            <w14:solidFill>
              <w14:schemeClr w14:val="tx1"/>
            </w14:solidFill>
          </w14:textFill>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6"/>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III-A – Planilha Orçamentária;</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aplicado na planilha orçamentária (Anexo III-B) percentual(is) de desconto(s) diferente(s) do valor do lance final proposto;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14:textFill>
            <w14:solidFill>
              <w14:schemeClr w14:val="tx1"/>
            </w14:solidFill>
          </w14:textFill>
        </w:rPr>
        <w:t xml:space="preserve"> preço final superior ao preço máximo fixado </w:t>
      </w:r>
      <w:r>
        <w:rPr>
          <w:rFonts w:ascii="Verdana" w:hAnsi="Verdana" w:cs="Arial"/>
          <w:color w:val="000000" w:themeColor="text1"/>
          <w:sz w:val="18"/>
          <w:szCs w:val="18"/>
          <w14:textFill>
            <w14:solidFill>
              <w14:schemeClr w14:val="tx1"/>
            </w14:solidFill>
          </w14:textFill>
        </w:rPr>
        <w:t xml:space="preserve">(Acórdão nº 1455/2018 -TCU - Plenário), tanto </w:t>
      </w:r>
      <w:r>
        <w:rPr>
          <w:rFonts w:ascii="Verdana" w:hAnsi="Verdana" w:cs="Arial"/>
          <w:color w:val="000000" w:themeColor="text1"/>
          <w:sz w:val="18"/>
          <w:szCs w:val="18"/>
          <w:lang w:eastAsia="en-US"/>
          <w14:textFill>
            <w14:solidFill>
              <w14:schemeClr w14:val="tx1"/>
            </w14:solidFill>
          </w14:textFill>
        </w:rPr>
        <w:t>em custos unitários como no valor global, ou que apresentar preço manifestamente inexequível</w:t>
      </w:r>
      <w:r>
        <w:rPr>
          <w:rFonts w:ascii="Verdana" w:hAnsi="Verdana" w:cs="Arial"/>
          <w:color w:val="000000" w:themeColor="text1"/>
          <w:sz w:val="18"/>
          <w:szCs w:val="18"/>
          <w14:textFill>
            <w14:solidFill>
              <w14:schemeClr w14:val="tx1"/>
            </w14:solidFill>
          </w14:textFill>
        </w:rPr>
        <w:t>;</w:t>
      </w:r>
      <w:r>
        <w:rPr>
          <w:rFonts w:ascii="Verdana" w:hAnsi="Verdana" w:cs="Arial"/>
          <w:sz w:val="18"/>
          <w:szCs w:val="18"/>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14:textFill>
            <w14:solidFill>
              <w14:schemeClr w14:val="tx1"/>
            </w14:solidFill>
          </w14:textFill>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6"/>
        </w:numPr>
        <w:spacing w:before="120" w:after="120"/>
        <w:textAlignment w:val="auto"/>
        <w:rPr>
          <w:rFonts w:ascii="Verdana" w:hAnsi="Verdana" w:eastAsia="Times New Roman" w:cs="Arial"/>
          <w:color w:val="000000" w:themeColor="text1"/>
          <w:szCs w:val="20"/>
          <w:lang w:eastAsia="en-US" w:bidi="ar-SA"/>
          <w14:textFill>
            <w14:solidFill>
              <w14:schemeClr w14:val="tx1"/>
            </w14:solidFill>
          </w14:textFill>
        </w:rPr>
      </w:pPr>
      <w:r>
        <w:rPr>
          <w:rFonts w:ascii="Verdana" w:hAnsi="Verdana" w:cs="Arial"/>
          <w:color w:val="000000" w:themeColor="text1"/>
          <w:szCs w:val="20"/>
          <w:lang w:eastAsia="en-US"/>
          <w14:textFill>
            <w14:solidFill>
              <w14:schemeClr w14:val="tx1"/>
            </w14:solidFill>
          </w14:textFill>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14:textFill>
            <w14:solidFill>
              <w14:schemeClr w14:val="tx1"/>
            </w14:solidFill>
          </w14:textFill>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indicac</w:t>
      </w:r>
      <w:r>
        <w:rPr>
          <w:rFonts w:ascii="Arial" w:hAnsi="Arial" w:cs="Arial"/>
          <w:color w:val="000000"/>
          <w:sz w:val="18"/>
          <w:szCs w:val="18"/>
          <w:lang w:eastAsia="en-US"/>
        </w:rPr>
        <w:t>̧</w:t>
      </w:r>
      <w:r>
        <w:rPr>
          <w:rFonts w:ascii="Verdana" w:hAnsi="Verdana" w:cs="Arial"/>
          <w:color w:val="000000"/>
          <w:sz w:val="18"/>
          <w:szCs w:val="18"/>
          <w:lang w:eastAsia="en-US"/>
        </w:rPr>
        <w:t>ão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14:textFill>
            <w14:solidFill>
              <w14:schemeClr w14:val="tx1"/>
            </w14:solidFill>
          </w14:textFill>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 xml:space="preserve"> DA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14:textFill>
            <w14:solidFill>
              <w14:schemeClr w14:val="tx1"/>
            </w14:solidFill>
          </w14:textFill>
        </w:rPr>
        <w:t xml:space="preserve"> em relação à habilitação jurídica, à regularidade fiscal e à qualificação econômica e financeira, conforme o disposto na Instrução Normativa SEGES/MP nº 03, de 2018</w:t>
      </w:r>
      <w:r>
        <w:rPr>
          <w:rFonts w:ascii="Verdana" w:hAnsi="Verdana" w:cs="Arial"/>
          <w:szCs w:val="20"/>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14:textFill>
            <w14:solidFill>
              <w14:schemeClr w14:val="tx1"/>
            </w14:solidFill>
          </w14:textFill>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14:textFill>
            <w14:solidFill>
              <w14:schemeClr w14:val="tx1"/>
            </w14:solidFill>
          </w14:textFill>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14:textFill>
            <w14:solidFill>
              <w14:schemeClr w14:val="tx1"/>
            </w14:solidFill>
          </w14:textFill>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14:textFill>
            <w14:solidFill>
              <w14:schemeClr w14:val="tx1"/>
            </w14:solidFill>
          </w14:textFill>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Ressalvado o disposto no item 5.3, 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14:textFill>
            <w14:solidFill>
              <w14:schemeClr w14:val="tx1"/>
            </w14:solidFill>
          </w14:textFill>
        </w:rPr>
        <w:t>negativa, nos termos do Título VII-A da consolidação das leis do trabalho, aprovada pelo decreto-lei nº 5.452, de 1º de maio de 1943;</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prova de inscrição no cadastro de contribuintes municipal, relativo ao domicílio ou sede do licitante, pertinente ao seu ramo de atividade e compatível com o objeto contratual;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spacing w:before="120" w:after="120"/>
        <w:ind w:left="792"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14:textFill>
            <w14:solidFill>
              <w14:schemeClr w14:val="tx1"/>
            </w14:solidFill>
          </w14:textFill>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6"/>
        </w:numPr>
        <w:spacing w:before="120" w:after="120"/>
        <w:rPr>
          <w:rFonts w:ascii="Verdana" w:hAnsi="Verdana" w:cs="Arial"/>
          <w:color w:val="000000" w:themeColor="text1"/>
          <w:sz w:val="18"/>
          <w:szCs w:val="18"/>
          <w14:textFill>
            <w14:solidFill>
              <w14:schemeClr w14:val="tx1"/>
            </w14:solidFill>
          </w14:textFill>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14:textFill>
            <w14:solidFill>
              <w14:schemeClr w14:val="tx1"/>
            </w14:solidFill>
          </w14:textFill>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14:textFill>
            <w14:solidFill>
              <w14:schemeClr w14:val="tx1"/>
            </w14:solidFill>
          </w14:textFill>
        </w:rPr>
      </w:pPr>
    </w:p>
    <w:p>
      <w:pPr>
        <w:pStyle w:val="73"/>
        <w:numPr>
          <w:ilvl w:val="0"/>
          <w:numId w:val="6"/>
        </w:numPr>
        <w:spacing w:before="120" w:after="120"/>
        <w:rPr>
          <w:rFonts w:ascii="Verdana" w:hAnsi="Verdana" w:cs="Arial"/>
          <w:color w:val="000000" w:themeColor="text1"/>
          <w:szCs w:val="20"/>
          <w14:textFill>
            <w14:solidFill>
              <w14:schemeClr w14:val="tx1"/>
            </w14:solidFill>
          </w14:textFill>
        </w:rPr>
      </w:pPr>
      <w:r>
        <w:rPr>
          <w:rFonts w:ascii="Verdana" w:hAnsi="Verdana" w:cs="Arial"/>
          <w:b/>
          <w:bCs/>
          <w:iCs/>
          <w:color w:val="000000"/>
          <w:szCs w:val="20"/>
        </w:rPr>
        <w:t xml:space="preserve"> HABILITAÇÃO TÉCNICA: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e 19.4 do Termo de Referência (Anexo 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 xml:space="preserve"> DA DOCUMENTAÇÃO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A desclassificação da licitante sem que lhe seja conferida a oportunidade para sanear os seus documentos de habilitação e/ou proposta, resulta em objetivo dissociado do interesse público (Acordão 1211/2021 – Plenário do TCU).</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 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Não serão aceitos documentos de habilitação com indicação de CNPJ/CPF diferentes, salvo aqueles legalmente permitidos.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A declaração do vencedor acontecerá no momento imediatamente posterior à fase de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Havendo necessidade de analisar minuciosamente os documentos exigidos, o Pregoeiro suspenderá a sessão, informando no “chat” a nova data e horário para sua continuidade.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 xml:space="preserve"> DO ENCAMINHAMENTO DA PROPOSTA VENCEDORA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 planilha de orçamento de preços do grupo, devidamente ajustada ao lance vencedor, em conformidade com o modelo anexo III-B a este instrumento convocatório, juntamente com a planilha resumo do orçamento (Anexo III-A) e o cronograma físico financeiro (Anexo III-C) correspondente;</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as planilhas demonstrativas de BDI em conformidade com o Anexo IV; e </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as planilhas de encargos sociais, em conformidade também com o Anexo V deste edital; </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lang w:eastAsia="en-US"/>
        </w:rPr>
        <w:t xml:space="preserve"> DOS RECURSOS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6"/>
        </w:numPr>
        <w:spacing w:before="120" w:after="120"/>
        <w:textAlignment w:val="auto"/>
        <w:rPr>
          <w:rFonts w:ascii="Verdana" w:hAnsi="Verdana" w:cs="Arial"/>
          <w:b/>
          <w:szCs w:val="20"/>
        </w:rPr>
      </w:pPr>
      <w:r>
        <w:rPr>
          <w:rFonts w:ascii="Verdana" w:hAnsi="Verdana" w:cs="Arial"/>
          <w:b/>
          <w:szCs w:val="20"/>
        </w:rPr>
        <w:t xml:space="preserve"> DA REABERTURA DA SESSÃO PÚBLICA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 sessão pública poderá ser reaberta: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6"/>
        </w:numPr>
        <w:spacing w:before="120" w:after="120"/>
        <w:textAlignment w:val="auto"/>
        <w:rPr>
          <w:rFonts w:ascii="Verdana" w:hAnsi="Verdana" w:cs="Arial"/>
          <w:szCs w:val="20"/>
        </w:rPr>
      </w:pPr>
      <w:r>
        <w:rPr>
          <w:rFonts w:ascii="Verdana" w:hAnsi="Verdana" w:cs="Arial"/>
          <w:sz w:val="18"/>
          <w:szCs w:val="18"/>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rPr>
        <w:t xml:space="preserve"> DA ADJUDICAÇÃO E HOMOLOGAÇÃO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6"/>
        </w:numPr>
        <w:spacing w:before="120" w:after="120"/>
        <w:textAlignment w:val="auto"/>
        <w:rPr>
          <w:rFonts w:ascii="Verdana" w:hAnsi="Verdana" w:cs="Arial"/>
          <w:color w:val="000000"/>
          <w:szCs w:val="20"/>
        </w:rPr>
      </w:pPr>
      <w:r>
        <w:rPr>
          <w:rFonts w:ascii="Verdana" w:hAnsi="Verdana" w:cs="Arial"/>
          <w:b/>
          <w:szCs w:val="20"/>
        </w:rPr>
        <w:t xml:space="preserve"> DA GARANTIA DE EXECUÇÃO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Será </w:t>
      </w:r>
      <w:r>
        <w:rPr>
          <w:rFonts w:ascii="Verdana" w:hAnsi="Verdana" w:cs="Arial"/>
          <w:szCs w:val="20"/>
        </w:rPr>
        <w:t>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rPr>
        <w:t xml:space="preserve"> DO TERMO DE CONTRATO OU INSTRUMENTO EQUIVALENTE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pStyle w:val="73"/>
        <w:keepNext w:val="0"/>
        <w:widowControl/>
        <w:numPr>
          <w:ilvl w:val="1"/>
          <w:numId w:val="6"/>
        </w:numPr>
        <w:spacing w:before="120" w:after="120"/>
        <w:textAlignment w:val="auto"/>
        <w:rPr>
          <w:rFonts w:ascii="Verdana" w:hAnsi="Verdana" w:cs="Arial"/>
          <w:iCs/>
          <w:szCs w:val="20"/>
        </w:rPr>
      </w:pPr>
      <w:r>
        <w:rPr>
          <w:rFonts w:ascii="Verdana" w:hAnsi="Verdana" w:cs="Arial"/>
          <w:iCs/>
          <w:szCs w:val="20"/>
        </w:rPr>
        <w:t xml:space="preserve">O adjudicatário terá prazo de 05 (cinco) dias úteis, contados a partir da data de sua convocação, para assinar o Termo </w:t>
      </w:r>
      <w:r>
        <w:rPr>
          <w:rFonts w:ascii="Verdana" w:hAnsi="Verdana" w:cs="Arial"/>
          <w:szCs w:val="20"/>
        </w:rPr>
        <w:t>ou aceitar instrumento equivalente, conforme o caso (Nota de Empenho/Carta Contrato/Autorização)</w:t>
      </w:r>
      <w:r>
        <w:rPr>
          <w:rFonts w:ascii="Verdana" w:hAnsi="Verdana" w:cs="Arial"/>
          <w:iCs/>
          <w:szCs w:val="20"/>
        </w:rPr>
        <w:t>, sob pena de decair do direito à contratação, sem prejuízo das sanções previstas neste Edital.</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iCs/>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iCs/>
          <w:sz w:val="18"/>
          <w:szCs w:val="18"/>
        </w:rPr>
        <w:t>O prazo previsto no subitem anterior poderá ser prorrogado, por igual período, por solicitação justificada do adjudicatário e aceita pela Administração.</w:t>
      </w:r>
    </w:p>
    <w:p>
      <w:pPr>
        <w:pStyle w:val="73"/>
        <w:keepNext w:val="0"/>
        <w:widowControl/>
        <w:numPr>
          <w:ilvl w:val="1"/>
          <w:numId w:val="6"/>
        </w:numPr>
        <w:spacing w:before="120" w:after="120"/>
        <w:textAlignment w:val="auto"/>
        <w:rPr>
          <w:rFonts w:ascii="Verdana" w:hAnsi="Verdana" w:cs="Arial"/>
          <w:iCs/>
          <w:sz w:val="18"/>
          <w:szCs w:val="18"/>
        </w:rPr>
      </w:pPr>
      <w:r>
        <w:rPr>
          <w:rFonts w:ascii="Verdana" w:hAnsi="Verdana" w:cs="Arial"/>
          <w:iCs/>
          <w:szCs w:val="20"/>
        </w:rPr>
        <w:t>O Aceite da Nota de Empenho ou do instrumento equivalente, emitida à empresa adjudicada, implica no reconhecimento de que:</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iCs/>
          <w:sz w:val="18"/>
          <w:szCs w:val="18"/>
        </w:rPr>
        <w:t xml:space="preserve"> referida Nota está substituindo o contrato, aplicando-se à relação de negócios ali estabelecida as disposições da Lei nº 8.666, de 1993;</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iCs/>
          <w:sz w:val="18"/>
          <w:szCs w:val="18"/>
        </w:rPr>
        <w:t>a contratada se vincula à sua proposta e às previsões contidas no edital e seus anexos;</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iCs/>
          <w:sz w:val="18"/>
          <w:szCs w:val="18"/>
        </w:rPr>
        <w:t xml:space="preserve"> a contratada reconhece </w:t>
      </w:r>
      <w:r>
        <w:rPr>
          <w:rFonts w:ascii="Verdana" w:hAnsi="Verdana" w:cs="Arial"/>
          <w:sz w:val="18"/>
          <w:szCs w:val="18"/>
        </w:rPr>
        <w:t>que as hipóteses de rescisão são aquelas previstas nos artigos 77 e 78 da Lei nº 8.666/93 e reconhece os direitos da Administração previstos nos artigos 79 e 80 da mesma Lei.</w:t>
      </w:r>
    </w:p>
    <w:p>
      <w:pPr>
        <w:pStyle w:val="73"/>
        <w:keepNext w:val="0"/>
        <w:widowControl/>
        <w:numPr>
          <w:ilvl w:val="1"/>
          <w:numId w:val="6"/>
        </w:numPr>
        <w:spacing w:before="120" w:after="120"/>
        <w:textAlignment w:val="auto"/>
        <w:rPr>
          <w:rFonts w:ascii="Verdana" w:hAnsi="Verdana" w:cs="Arial"/>
          <w:iCs/>
          <w:sz w:val="18"/>
          <w:szCs w:val="18"/>
        </w:rPr>
      </w:pPr>
      <w:r>
        <w:rPr>
          <w:rFonts w:ascii="Verdana" w:hAnsi="Verdana" w:eastAsia="Arial" w:cs="Arial"/>
          <w:color w:val="000000"/>
          <w:szCs w:val="20"/>
        </w:rPr>
        <w:t>O prazo de vigência da contratação será superior ao de execução dos serviços, que no caso é de 06 (seis) meses.</w:t>
      </w:r>
    </w:p>
    <w:p>
      <w:pPr>
        <w:pStyle w:val="73"/>
        <w:keepNext w:val="0"/>
        <w:widowControl/>
        <w:numPr>
          <w:ilvl w:val="1"/>
          <w:numId w:val="6"/>
        </w:numPr>
        <w:spacing w:before="120" w:after="120"/>
        <w:textAlignment w:val="auto"/>
        <w:rPr>
          <w:rFonts w:ascii="Verdana" w:hAnsi="Verdana" w:cs="Arial"/>
          <w:iCs/>
          <w:szCs w:val="20"/>
        </w:rPr>
      </w:pPr>
      <w:r>
        <w:rPr>
          <w:rFonts w:ascii="Verdana" w:hAnsi="Verdana" w:cs="Arial"/>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73"/>
        <w:keepNext w:val="0"/>
        <w:widowControl/>
        <w:numPr>
          <w:ilvl w:val="2"/>
          <w:numId w:val="6"/>
        </w:numPr>
        <w:spacing w:before="120" w:after="120"/>
        <w:textAlignment w:val="auto"/>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73"/>
        <w:keepNext w:val="0"/>
        <w:widowControl/>
        <w:numPr>
          <w:ilvl w:val="1"/>
          <w:numId w:val="6"/>
        </w:numPr>
        <w:spacing w:before="120" w:after="120"/>
        <w:textAlignment w:val="auto"/>
        <w:rPr>
          <w:rFonts w:ascii="Verdana" w:hAnsi="Verdana" w:cs="Arial"/>
          <w:iCs/>
          <w:szCs w:val="20"/>
        </w:rPr>
      </w:pPr>
      <w:r>
        <w:rPr>
          <w:rFonts w:ascii="Verdana" w:hAnsi="Verdana" w:cs="Arial"/>
          <w:color w:val="000000"/>
          <w:szCs w:val="20"/>
        </w:rPr>
        <w:t>Na assinatura do contrato será exigida a comprovação das condições de habilitação consignadas no edital, que deverão ser mantidas pelo licitante durante a vigência do contrato.</w:t>
      </w:r>
      <w:r>
        <w:rPr>
          <w:rFonts w:ascii="Verdana" w:hAnsi="Verdana" w:cs="Arial"/>
          <w:szCs w:val="20"/>
        </w:rPr>
        <w:t xml:space="preserve"> </w:t>
      </w:r>
    </w:p>
    <w:p>
      <w:pPr>
        <w:pStyle w:val="73"/>
        <w:keepNext w:val="0"/>
        <w:widowControl/>
        <w:numPr>
          <w:ilvl w:val="1"/>
          <w:numId w:val="6"/>
        </w:numPr>
        <w:spacing w:before="120" w:after="120"/>
        <w:textAlignment w:val="auto"/>
        <w:rPr>
          <w:rFonts w:ascii="Verdana" w:hAnsi="Verdana" w:cs="Arial"/>
          <w:b/>
          <w:color w:val="000000"/>
          <w:szCs w:val="20"/>
        </w:rPr>
      </w:pPr>
      <w:r>
        <w:rPr>
          <w:rFonts w:ascii="Verdana" w:hAnsi="Verdana" w:cs="Arial"/>
          <w:color w:val="00000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Cs w:val="20"/>
        </w:rPr>
        <w:t>.</w:t>
      </w:r>
    </w:p>
    <w:p>
      <w:pPr>
        <w:pStyle w:val="73"/>
        <w:keepNext w:val="0"/>
        <w:widowControl/>
        <w:spacing w:before="120" w:after="120"/>
        <w:ind w:left="360" w:firstLine="0"/>
        <w:textAlignment w:val="auto"/>
        <w:rPr>
          <w:rFonts w:ascii="Verdana" w:hAnsi="Verdana" w:cs="Arial"/>
          <w:szCs w:val="20"/>
        </w:rPr>
      </w:pPr>
      <w:r>
        <w:rPr>
          <w:rFonts w:ascii="Verdana" w:hAnsi="Verdana" w:cs="Arial"/>
          <w:b/>
          <w:color w:val="000000"/>
          <w:szCs w:val="20"/>
        </w:rPr>
        <w:t xml:space="preserve"> </w:t>
      </w: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73"/>
        <w:keepNext w:val="0"/>
        <w:widowControl/>
        <w:numPr>
          <w:ilvl w:val="0"/>
          <w:numId w:val="6"/>
        </w:numPr>
        <w:spacing w:before="120" w:after="120"/>
        <w:textAlignment w:val="auto"/>
        <w:rPr>
          <w:rFonts w:ascii="Verdana" w:hAnsi="Verdana" w:cs="Arial"/>
          <w:b/>
          <w:bCs/>
          <w:szCs w:val="20"/>
        </w:rPr>
      </w:pPr>
      <w:r>
        <w:rPr>
          <w:rFonts w:ascii="Verdana" w:hAnsi="Verdana" w:cs="Arial"/>
          <w:szCs w:val="20"/>
        </w:rPr>
        <w:t xml:space="preserve"> </w:t>
      </w:r>
      <w:r>
        <w:rPr>
          <w:rFonts w:ascii="Verdana" w:hAnsi="Verdana" w:cs="Arial"/>
          <w:b/>
          <w:bCs/>
          <w:szCs w:val="20"/>
        </w:rPr>
        <w:t>DA ACEITAÇÃO DO OBJETO E DA FISCALIZAÇÃO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rPr>
        <w:t xml:space="preserve"> DO PAGAMENTO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6"/>
        </w:numPr>
        <w:spacing w:before="120" w:after="120"/>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rPr>
        <w:t xml:space="preserve"> DAS SANÇÕES ADMINISTRATIVAS DURANTE A LICITAÇÃO.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não assinar a ata de registro de preços, quando cabível;</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6"/>
        </w:numPr>
        <w:spacing w:before="120" w:after="120"/>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pStyle w:val="73"/>
        <w:keepNext w:val="0"/>
        <w:widowControl/>
        <w:numPr>
          <w:ilvl w:val="1"/>
          <w:numId w:val="6"/>
        </w:numPr>
        <w:spacing w:before="120" w:after="120"/>
        <w:textAlignment w:val="auto"/>
        <w:rPr>
          <w:rFonts w:ascii="Verdana" w:hAnsi="Verdana" w:cs="Arial"/>
          <w:color w:val="000000"/>
          <w:szCs w:val="20"/>
        </w:rPr>
      </w:pPr>
      <w:r>
        <w:rPr>
          <w:rFonts w:ascii="Verdana" w:hAnsi="Verdana"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73"/>
        <w:keepNext w:val="0"/>
        <w:widowControl/>
        <w:numPr>
          <w:ilvl w:val="1"/>
          <w:numId w:val="6"/>
        </w:numPr>
        <w:spacing w:before="120" w:after="120"/>
        <w:textAlignment w:val="auto"/>
        <w:rPr>
          <w:rFonts w:ascii="Verdana" w:hAnsi="Verdana" w:cs="Arial"/>
          <w:color w:val="000000"/>
          <w:szCs w:val="20"/>
        </w:rPr>
      </w:pPr>
      <w:r>
        <w:rPr>
          <w:rFonts w:ascii="Verdana" w:hAnsi="Verdana"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73"/>
        <w:keepNext w:val="0"/>
        <w:widowControl/>
        <w:numPr>
          <w:ilvl w:val="1"/>
          <w:numId w:val="6"/>
        </w:numPr>
        <w:spacing w:before="120" w:after="120"/>
        <w:textAlignment w:val="auto"/>
        <w:rPr>
          <w:rFonts w:ascii="Verdana" w:hAnsi="Verdana" w:cs="Arial"/>
          <w:color w:val="000000"/>
          <w:szCs w:val="20"/>
        </w:rPr>
      </w:pPr>
      <w:r>
        <w:rPr>
          <w:rFonts w:ascii="Verdana" w:hAnsi="Verdana"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73"/>
        <w:keepNext w:val="0"/>
        <w:widowControl/>
        <w:numPr>
          <w:ilvl w:val="1"/>
          <w:numId w:val="6"/>
        </w:numPr>
        <w:spacing w:before="120" w:after="120"/>
        <w:textAlignment w:val="auto"/>
        <w:rPr>
          <w:rFonts w:ascii="Verdana" w:hAnsi="Verdana" w:cs="Arial"/>
          <w:color w:val="000000"/>
          <w:szCs w:val="20"/>
        </w:rPr>
      </w:pPr>
      <w:r>
        <w:rPr>
          <w:rFonts w:ascii="Verdana" w:hAnsi="Verdana" w:cs="Arial"/>
          <w:color w:val="00000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6"/>
        </w:numPr>
        <w:spacing w:before="120" w:after="120"/>
        <w:textAlignment w:val="auto"/>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Caberá ao Pregoeiro, auxiliado pelos responsáveis pela elaboração deste Edital e seus anexos, decidir sobre a impugnação no prazo de até dois dias úteis contados da data de recebimento da impugnação.</w:t>
      </w:r>
      <w:r>
        <w:rPr>
          <w:rFonts w:ascii="Verdana" w:hAnsi="Verdana" w:cs="Arial"/>
          <w:szCs w:val="20"/>
        </w:rPr>
        <w:t xml:space="preserve"> </w:t>
      </w:r>
      <w:r>
        <w:rPr>
          <w:rFonts w:ascii="Verdana" w:hAnsi="Verdana" w:cs="Arial"/>
          <w:color w:val="000000"/>
          <w:szCs w:val="20"/>
        </w:rPr>
        <w:t>.</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6"/>
        </w:numPr>
        <w:spacing w:before="120" w:after="120"/>
        <w:textAlignment w:val="auto"/>
        <w:rPr>
          <w:rFonts w:ascii="Verdana" w:hAnsi="Verdana" w:cs="Arial"/>
          <w:b/>
          <w:szCs w:val="20"/>
        </w:rPr>
      </w:pPr>
      <w:r>
        <w:rPr>
          <w:rFonts w:ascii="Verdana" w:hAnsi="Verdana" w:cs="Arial"/>
          <w:b/>
          <w:color w:val="000000"/>
          <w:szCs w:val="20"/>
        </w:rPr>
        <w:t xml:space="preserve"> DAS DISPOSIÇÕES GERAIS</w:t>
      </w:r>
    </w:p>
    <w:p>
      <w:pPr>
        <w:pStyle w:val="73"/>
        <w:keepNext w:val="0"/>
        <w:widowControl/>
        <w:numPr>
          <w:ilvl w:val="1"/>
          <w:numId w:val="6"/>
        </w:numPr>
        <w:spacing w:before="120" w:after="120"/>
        <w:textAlignment w:val="auto"/>
        <w:rPr>
          <w:rFonts w:ascii="Verdana" w:hAnsi="Verdana" w:cs="Arial"/>
          <w:color w:val="000000"/>
          <w:szCs w:val="20"/>
          <w:lang w:eastAsia="en-US"/>
        </w:rPr>
      </w:pPr>
      <w:r>
        <w:rPr>
          <w:rFonts w:ascii="Verdana" w:hAnsi="Verdana" w:cs="Arial"/>
          <w:color w:val="000000"/>
          <w:szCs w:val="20"/>
          <w:lang w:eastAsia="en-US"/>
        </w:rPr>
        <w:t>Da sessão pública do Pregão divulgar-se-á Ata no sistema eletrônico.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pStyle w:val="73"/>
        <w:keepNext w:val="0"/>
        <w:widowControl/>
        <w:numPr>
          <w:ilvl w:val="1"/>
          <w:numId w:val="6"/>
        </w:numPr>
        <w:spacing w:before="120" w:after="120"/>
        <w:textAlignment w:val="auto"/>
        <w:rPr>
          <w:rFonts w:ascii="Verdana" w:hAnsi="Verdana" w:cs="Arial"/>
          <w:color w:val="000000"/>
          <w:szCs w:val="20"/>
        </w:rPr>
      </w:pPr>
      <w:r>
        <w:rPr>
          <w:rFonts w:ascii="Verdana" w:hAnsi="Verdana"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xml:space="preserve">, e </w:t>
      </w:r>
      <w:r>
        <w:rPr>
          <w:rFonts w:ascii="Verdana" w:hAnsi="Verdana" w:cs="Arial"/>
          <w:szCs w:val="20"/>
        </w:rPr>
        <w:t xml:space="preserve">também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 – Termo de Referência;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II – Descrição dos serviços;</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III-A – Planilha Resumo do Orçamento;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III-B - Planilha de Orçamento;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III-C – Cronograma Físico e Financeiro;</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IV - Modelo de planilhas de Composição de BDI;</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V – Modelo de planilhas de Composição de Encargos Sociais;</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IX - Modelo de Declaração de Responsabilidade;</w:t>
      </w:r>
      <w:bookmarkStart w:id="7" w:name="_GoBack"/>
      <w:bookmarkEnd w:id="7"/>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X - Minuta de Termo de Contrato; e</w:t>
      </w:r>
    </w:p>
    <w:p>
      <w:pPr>
        <w:pStyle w:val="73"/>
        <w:keepNext w:val="0"/>
        <w:widowControl/>
        <w:numPr>
          <w:ilvl w:val="2"/>
          <w:numId w:val="6"/>
        </w:numPr>
        <w:spacing w:before="120" w:after="120"/>
        <w:textAlignment w:val="auto"/>
        <w:rPr>
          <w:rFonts w:ascii="Verdana" w:hAnsi="Verdana" w:cs="Arial"/>
          <w:sz w:val="18"/>
          <w:szCs w:val="18"/>
        </w:rPr>
      </w:pPr>
      <w:r>
        <w:rPr>
          <w:rFonts w:ascii="Verdana" w:hAnsi="Verdana" w:cs="Arial"/>
          <w:color w:val="000000"/>
          <w:sz w:val="18"/>
          <w:szCs w:val="18"/>
        </w:rPr>
        <w:t>Anexo XI – Projetos.</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 xml:space="preserve">Niterói, </w:t>
      </w:r>
      <w:r>
        <w:rPr>
          <w:rFonts w:hint="default" w:ascii="Verdana" w:hAnsi="Verdana" w:cs="Arial"/>
          <w:color w:val="000000"/>
          <w:sz w:val="18"/>
          <w:szCs w:val="18"/>
          <w:lang w:val="pt-BR"/>
        </w:rPr>
        <w:t>24</w:t>
      </w:r>
      <w:r>
        <w:rPr>
          <w:rFonts w:ascii="Verdana" w:hAnsi="Verdana" w:cs="Arial"/>
          <w:color w:val="000000"/>
          <w:sz w:val="18"/>
          <w:szCs w:val="18"/>
        </w:rPr>
        <w:t xml:space="preserve"> de maio de 2022.</w:t>
      </w: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Coordenação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Calibri"/>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WenQuanYi Micro Hei">
    <w:altName w:val="Times New Roman"/>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Mangal">
    <w:altName w:val="Liberation Mono"/>
    <w:panose1 w:val="000004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Liberation Serif">
    <w:panose1 w:val="02020603050405020304"/>
    <w:charset w:val="00"/>
    <w:family w:val="roman"/>
    <w:pitch w:val="default"/>
    <w:sig w:usb0="E0000AFF" w:usb1="500078FF" w:usb2="00000021" w:usb3="00000000" w:csb0="600001BF" w:csb1="DFF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Zurich BT">
    <w:altName w:val="Liberation Mono"/>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Processo n.º 23069.160041/2021-06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46250F7"/>
    <w:multiLevelType w:val="multilevel"/>
    <w:tmpl w:val="346250F7"/>
    <w:lvl w:ilvl="0" w:tentative="0">
      <w:start w:val="1"/>
      <w:numFmt w:val="decimal"/>
      <w:lvlText w:val="%1."/>
      <w:lvlJc w:val="left"/>
      <w:pPr>
        <w:ind w:left="360" w:hanging="360"/>
      </w:pPr>
      <w:rPr>
        <w:rFonts w:hint="default"/>
        <w:b/>
        <w:sz w:val="20"/>
        <w:szCs w:val="20"/>
      </w:rPr>
    </w:lvl>
    <w:lvl w:ilvl="1" w:tentative="0">
      <w:start w:val="1"/>
      <w:numFmt w:val="decimal"/>
      <w:lvlText w:val="%1.%2."/>
      <w:lvlJc w:val="left"/>
      <w:pPr>
        <w:ind w:left="792" w:hanging="432"/>
      </w:pPr>
      <w:rPr>
        <w:rFonts w:hint="default"/>
        <w:b w:val="0"/>
        <w:i w:val="0"/>
        <w:color w:val="auto"/>
        <w:sz w:val="20"/>
        <w:szCs w:val="20"/>
      </w:rPr>
    </w:lvl>
    <w:lvl w:ilvl="2" w:tentative="0">
      <w:start w:val="1"/>
      <w:numFmt w:val="decimal"/>
      <w:lvlText w:val="%1.%2.%3."/>
      <w:lvlJc w:val="left"/>
      <w:pPr>
        <w:ind w:left="1224" w:hanging="504"/>
      </w:pPr>
      <w:rPr>
        <w:rFonts w:hint="default"/>
        <w:b w:val="0"/>
        <w:color w:val="auto"/>
      </w:rPr>
    </w:lvl>
    <w:lvl w:ilvl="3" w:tentative="0">
      <w:start w:val="1"/>
      <w:numFmt w:val="decimal"/>
      <w:lvlText w:val="%1.%2.%3.%4."/>
      <w:lvlJc w:val="left"/>
      <w:pPr>
        <w:ind w:left="1728" w:hanging="648"/>
      </w:pPr>
      <w:rPr>
        <w:rFonts w:hint="default"/>
        <w:color w:val="auto"/>
        <w:sz w:val="18"/>
        <w:szCs w:val="18"/>
      </w:rPr>
    </w:lvl>
    <w:lvl w:ilvl="4" w:tentative="0">
      <w:start w:val="1"/>
      <w:numFmt w:val="decimal"/>
      <w:lvlText w:val="%1.%2.%3.%4.%5."/>
      <w:lvlJc w:val="left"/>
      <w:pPr>
        <w:ind w:left="2232" w:hanging="792"/>
      </w:pPr>
      <w:rPr>
        <w:rFonts w:hint="default"/>
        <w:color w:val="auto"/>
        <w:sz w:val="18"/>
        <w:szCs w:val="18"/>
      </w:rPr>
    </w:lvl>
    <w:lvl w:ilvl="5" w:tentative="0">
      <w:start w:val="1"/>
      <w:numFmt w:val="decimal"/>
      <w:lvlText w:val="%1.%2.%3.%4.%5.%6."/>
      <w:lvlJc w:val="left"/>
      <w:pPr>
        <w:ind w:left="2736" w:hanging="936"/>
      </w:pPr>
      <w:rPr>
        <w:rFonts w:hint="default"/>
        <w:color w:val="auto"/>
        <w:sz w:val="16"/>
        <w:szCs w:val="16"/>
      </w:rPr>
    </w:lvl>
    <w:lvl w:ilvl="6" w:tentative="0">
      <w:start w:val="1"/>
      <w:numFmt w:val="decimal"/>
      <w:lvlText w:val="%1.%2.%3.%4.%5.%6.%7."/>
      <w:lvlJc w:val="left"/>
      <w:pPr>
        <w:ind w:left="3240" w:hanging="1080"/>
      </w:pPr>
      <w:rPr>
        <w:rFonts w:hint="default"/>
        <w:color w:val="auto"/>
      </w:rPr>
    </w:lvl>
    <w:lvl w:ilvl="7" w:tentative="0">
      <w:start w:val="1"/>
      <w:numFmt w:val="decimal"/>
      <w:lvlText w:val="%1.%2.%3.%4.%5.%6.%7.%8."/>
      <w:lvlJc w:val="left"/>
      <w:pPr>
        <w:ind w:left="3744" w:hanging="1224"/>
      </w:pPr>
      <w:rPr>
        <w:rFonts w:hint="default"/>
        <w:color w:val="auto"/>
      </w:rPr>
    </w:lvl>
    <w:lvl w:ilvl="8" w:tentative="0">
      <w:start w:val="1"/>
      <w:numFmt w:val="decimal"/>
      <w:lvlText w:val="%1.%2.%3.%4.%5.%6.%7.%8.%9."/>
      <w:lvlJc w:val="left"/>
      <w:pPr>
        <w:ind w:left="4320" w:hanging="1440"/>
      </w:pPr>
      <w:rPr>
        <w:rFonts w:hint="default"/>
        <w:color w:val="auto"/>
      </w:rPr>
    </w:lvl>
  </w:abstractNum>
  <w:abstractNum w:abstractNumId="2">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3">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5">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6">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46"/>
    <w:rsid w:val="00000CC9"/>
    <w:rsid w:val="000022E3"/>
    <w:rsid w:val="00003DC8"/>
    <w:rsid w:val="00003F6F"/>
    <w:rsid w:val="00020A23"/>
    <w:rsid w:val="0002173F"/>
    <w:rsid w:val="00027FEA"/>
    <w:rsid w:val="00030AEC"/>
    <w:rsid w:val="00030C83"/>
    <w:rsid w:val="00030CA8"/>
    <w:rsid w:val="00033507"/>
    <w:rsid w:val="00033D33"/>
    <w:rsid w:val="000352D3"/>
    <w:rsid w:val="0004400A"/>
    <w:rsid w:val="00045B84"/>
    <w:rsid w:val="0005054D"/>
    <w:rsid w:val="00053C2A"/>
    <w:rsid w:val="000551E5"/>
    <w:rsid w:val="000563A9"/>
    <w:rsid w:val="00060502"/>
    <w:rsid w:val="00061367"/>
    <w:rsid w:val="00062EDA"/>
    <w:rsid w:val="00080A30"/>
    <w:rsid w:val="00081D0E"/>
    <w:rsid w:val="00084875"/>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37E3"/>
    <w:rsid w:val="00156910"/>
    <w:rsid w:val="00161EFF"/>
    <w:rsid w:val="001701E5"/>
    <w:rsid w:val="001718F3"/>
    <w:rsid w:val="00186725"/>
    <w:rsid w:val="00195DD6"/>
    <w:rsid w:val="001A17D2"/>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91491"/>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268B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28B5"/>
    <w:rsid w:val="004238E9"/>
    <w:rsid w:val="00423CFC"/>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5793"/>
    <w:rsid w:val="004B05BE"/>
    <w:rsid w:val="004B6C55"/>
    <w:rsid w:val="004B6CA4"/>
    <w:rsid w:val="004C447A"/>
    <w:rsid w:val="004C65AD"/>
    <w:rsid w:val="004C7DD8"/>
    <w:rsid w:val="004D40E6"/>
    <w:rsid w:val="004D52B0"/>
    <w:rsid w:val="004E063D"/>
    <w:rsid w:val="004E3A5C"/>
    <w:rsid w:val="004E595C"/>
    <w:rsid w:val="004F2265"/>
    <w:rsid w:val="005000A6"/>
    <w:rsid w:val="00503783"/>
    <w:rsid w:val="00510916"/>
    <w:rsid w:val="00511126"/>
    <w:rsid w:val="00512D1A"/>
    <w:rsid w:val="00520B75"/>
    <w:rsid w:val="00522713"/>
    <w:rsid w:val="00524B89"/>
    <w:rsid w:val="0052574A"/>
    <w:rsid w:val="0052759B"/>
    <w:rsid w:val="00530EC4"/>
    <w:rsid w:val="005472B5"/>
    <w:rsid w:val="005653E2"/>
    <w:rsid w:val="0057004B"/>
    <w:rsid w:val="00581604"/>
    <w:rsid w:val="00596404"/>
    <w:rsid w:val="005B14C9"/>
    <w:rsid w:val="005B3CD9"/>
    <w:rsid w:val="005B55B2"/>
    <w:rsid w:val="005C3AD0"/>
    <w:rsid w:val="005C555B"/>
    <w:rsid w:val="005D3BC2"/>
    <w:rsid w:val="005D4791"/>
    <w:rsid w:val="005E2AE4"/>
    <w:rsid w:val="005E32AA"/>
    <w:rsid w:val="005F2397"/>
    <w:rsid w:val="005F5338"/>
    <w:rsid w:val="005F56B2"/>
    <w:rsid w:val="005F6F2E"/>
    <w:rsid w:val="005F78D2"/>
    <w:rsid w:val="0060190D"/>
    <w:rsid w:val="00604296"/>
    <w:rsid w:val="00611FA3"/>
    <w:rsid w:val="00616CBB"/>
    <w:rsid w:val="0062031E"/>
    <w:rsid w:val="006204FB"/>
    <w:rsid w:val="006213C2"/>
    <w:rsid w:val="00630EFD"/>
    <w:rsid w:val="00635C6A"/>
    <w:rsid w:val="00650692"/>
    <w:rsid w:val="00656EB6"/>
    <w:rsid w:val="00657A30"/>
    <w:rsid w:val="00657CE1"/>
    <w:rsid w:val="00657EF1"/>
    <w:rsid w:val="0066165D"/>
    <w:rsid w:val="00665CA5"/>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D7EE1"/>
    <w:rsid w:val="007E2177"/>
    <w:rsid w:val="007E239F"/>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770D"/>
    <w:rsid w:val="00861C72"/>
    <w:rsid w:val="00870639"/>
    <w:rsid w:val="00873300"/>
    <w:rsid w:val="00874812"/>
    <w:rsid w:val="008763B6"/>
    <w:rsid w:val="00881364"/>
    <w:rsid w:val="00883109"/>
    <w:rsid w:val="00885E9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04272"/>
    <w:rsid w:val="00A11D67"/>
    <w:rsid w:val="00A13BF6"/>
    <w:rsid w:val="00A20321"/>
    <w:rsid w:val="00A23DCC"/>
    <w:rsid w:val="00A26271"/>
    <w:rsid w:val="00A336DD"/>
    <w:rsid w:val="00A372E3"/>
    <w:rsid w:val="00A40BA2"/>
    <w:rsid w:val="00A442A9"/>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5F79"/>
    <w:rsid w:val="00BE7F4C"/>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275D"/>
    <w:rsid w:val="00D05B89"/>
    <w:rsid w:val="00D06427"/>
    <w:rsid w:val="00D14E39"/>
    <w:rsid w:val="00D157AD"/>
    <w:rsid w:val="00D26C4D"/>
    <w:rsid w:val="00D26D84"/>
    <w:rsid w:val="00D30DA1"/>
    <w:rsid w:val="00D42CA9"/>
    <w:rsid w:val="00D50CB2"/>
    <w:rsid w:val="00D53E78"/>
    <w:rsid w:val="00D54E9C"/>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D6B03"/>
    <w:rsid w:val="00DE0DFB"/>
    <w:rsid w:val="00DE608C"/>
    <w:rsid w:val="00DE772C"/>
    <w:rsid w:val="00DF2542"/>
    <w:rsid w:val="00DF6C2C"/>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EF4724"/>
    <w:rsid w:val="00EF4C77"/>
    <w:rsid w:val="00F06811"/>
    <w:rsid w:val="00F2643D"/>
    <w:rsid w:val="00F265E3"/>
    <w:rsid w:val="00F371C9"/>
    <w:rsid w:val="00F403AE"/>
    <w:rsid w:val="00F42EE6"/>
    <w:rsid w:val="00F45D1D"/>
    <w:rsid w:val="00F47CC6"/>
    <w:rsid w:val="00F510B3"/>
    <w:rsid w:val="00F51622"/>
    <w:rsid w:val="00F5519E"/>
    <w:rsid w:val="00F61072"/>
    <w:rsid w:val="00F61A35"/>
    <w:rsid w:val="00F61AFA"/>
    <w:rsid w:val="00F66ADB"/>
    <w:rsid w:val="00F66D01"/>
    <w:rsid w:val="00F716B7"/>
    <w:rsid w:val="00F71FFD"/>
    <w:rsid w:val="00F7413E"/>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5A43916"/>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B227934"/>
    <w:rsid w:val="3C15D3EA"/>
    <w:rsid w:val="3D5415FC"/>
    <w:rsid w:val="3EB07F14"/>
    <w:rsid w:val="4017BF77"/>
    <w:rsid w:val="41524FAA"/>
    <w:rsid w:val="425A78EE"/>
    <w:rsid w:val="427791C7"/>
    <w:rsid w:val="435B39EC"/>
    <w:rsid w:val="455BF2C7"/>
    <w:rsid w:val="45D11C52"/>
    <w:rsid w:val="46235209"/>
    <w:rsid w:val="46B363B1"/>
    <w:rsid w:val="46BCBFE9"/>
    <w:rsid w:val="4C0EC979"/>
    <w:rsid w:val="4D9A2851"/>
    <w:rsid w:val="4DC55922"/>
    <w:rsid w:val="4DE849A2"/>
    <w:rsid w:val="5068B3AF"/>
    <w:rsid w:val="509F403A"/>
    <w:rsid w:val="521C5A63"/>
    <w:rsid w:val="534F51C8"/>
    <w:rsid w:val="55D9505D"/>
    <w:rsid w:val="56D0C33C"/>
    <w:rsid w:val="589774CA"/>
    <w:rsid w:val="597F26EA"/>
    <w:rsid w:val="5C84E0E3"/>
    <w:rsid w:val="5E498B79"/>
    <w:rsid w:val="5E509FCF"/>
    <w:rsid w:val="5EE7022C"/>
    <w:rsid w:val="5F625412"/>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qFormat/>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 w:val="clear" w:pos="720"/>
      </w:tabs>
      <w:spacing w:before="140"/>
      <w:outlineLvl w:val="2"/>
    </w:pPr>
    <w:rPr>
      <w:b/>
      <w:bCs/>
      <w:color w:val="808080"/>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uiPriority w:val="0"/>
    <w:rPr>
      <w:b/>
    </w:rPr>
  </w:style>
  <w:style w:type="character" w:customStyle="1" w:styleId="45">
    <w:name w:val="ListLabel 11"/>
    <w:qFormat/>
    <w:uiPriority w:val="0"/>
  </w:style>
  <w:style w:type="character" w:customStyle="1" w:styleId="46">
    <w:name w:val="ListLabel 12"/>
    <w:uiPriority w:val="0"/>
    <w:rPr>
      <w:b/>
    </w:rPr>
  </w:style>
  <w:style w:type="character" w:customStyle="1" w:styleId="47">
    <w:name w:val="ListLabel 13"/>
    <w:qFormat/>
    <w:uiPriority w:val="0"/>
  </w:style>
  <w:style w:type="character" w:customStyle="1" w:styleId="48">
    <w:name w:val="WW_CharLFO2LVL1"/>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uiPriority w:val="0"/>
    <w:rPr>
      <w:b/>
    </w:rPr>
  </w:style>
  <w:style w:type="character" w:customStyle="1" w:styleId="52">
    <w:name w:val="WW_CharLFO3LVL2"/>
    <w:qFormat/>
    <w:uiPriority w:val="0"/>
  </w:style>
  <w:style w:type="character" w:customStyle="1" w:styleId="53">
    <w:name w:val="WW_CharLFO3LVL3"/>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74">
    <w:name w:val="Linha horizontal"/>
    <w:basedOn w:val="1"/>
    <w:next w:val="4"/>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ão1"/>
    <w:hidden/>
    <w:semiHidden/>
    <w:qFormat/>
    <w:uiPriority w:val="99"/>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Menção Pendente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9D80-AE0E-4FC5-8646-B7029223346D}">
  <ds:schemaRefs/>
</ds:datastoreItem>
</file>

<file path=customXml/itemProps2.xml><?xml version="1.0" encoding="utf-8"?>
<ds:datastoreItem xmlns:ds="http://schemas.openxmlformats.org/officeDocument/2006/customXml" ds:itemID="{D0FA922B-301D-4229-A9FF-8B2F047859B0}">
  <ds:schemaRefs/>
</ds:datastoreItem>
</file>

<file path=customXml/itemProps3.xml><?xml version="1.0" encoding="utf-8"?>
<ds:datastoreItem xmlns:ds="http://schemas.openxmlformats.org/officeDocument/2006/customXml" ds:itemID="{552F9D9B-A10A-4DD0-9B11-62F741C79D1E}">
  <ds:schemaRefs/>
</ds:datastoreItem>
</file>

<file path=customXml/itemProps4.xml><?xml version="1.0" encoding="utf-8"?>
<ds:datastoreItem xmlns:ds="http://schemas.openxmlformats.org/officeDocument/2006/customXml" ds:itemID="{BBFD8ED6-DC5C-4AC2-A75D-A7D1347451F0}">
  <ds:schemaRefs/>
</ds:datastoreItem>
</file>

<file path=docProps/app.xml><?xml version="1.0" encoding="utf-8"?>
<Properties xmlns="http://schemas.openxmlformats.org/officeDocument/2006/extended-properties" xmlns:vt="http://schemas.openxmlformats.org/officeDocument/2006/docPropsVTypes">
  <Template>Normal</Template>
  <Pages>23</Pages>
  <Words>10337</Words>
  <Characters>55820</Characters>
  <Lines>465</Lines>
  <Paragraphs>132</Paragraphs>
  <TotalTime>22</TotalTime>
  <ScaleCrop>false</ScaleCrop>
  <LinksUpToDate>false</LinksUpToDate>
  <CharactersWithSpaces>66025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2022-05-18T12:27:00Z</dcterms:created>
  <dc:creator>Carlota Vargas Buranello</dc:creator>
  <cp:lastModifiedBy>Larissa Carvalho</cp:lastModifiedBy>
  <cp:lastPrinted>2020-05-06T13:48:00Z</cp:lastPrinted>
  <dcterms:modified xsi:type="dcterms:W3CDTF">2022-05-24T15:17:24Z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1046-11.2.0.11130</vt:lpwstr>
  </property>
  <property fmtid="{D5CDD505-2E9C-101B-9397-08002B2CF9AE}" pid="4" name="ICV">
    <vt:lpwstr>E7F64D7660254B34844A5D743D6DAA24</vt:lpwstr>
  </property>
</Properties>
</file>