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Verdana" w:hAnsi="Verdana"/>
          <w:sz w:val="18"/>
          <w:szCs w:val="18"/>
        </w:rPr>
      </w:pPr>
      <w:r>
        <w:rPr>
          <w:rFonts w:ascii="Verdana" w:hAnsi="Verdana"/>
          <w:b/>
          <w:sz w:val="18"/>
          <w:szCs w:val="1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pPr>
        <w:spacing w:after="120"/>
        <w:jc w:val="center"/>
        <w:rPr>
          <w:rFonts w:ascii="Verdana" w:hAnsi="Verdana"/>
          <w:sz w:val="18"/>
          <w:szCs w:val="18"/>
        </w:rPr>
      </w:pPr>
    </w:p>
    <w:p>
      <w:pPr>
        <w:tabs>
          <w:tab w:val="clear" w:pos="708"/>
        </w:tabs>
        <w:spacing w:after="120"/>
        <w:jc w:val="center"/>
        <w:rPr>
          <w:rFonts w:ascii="Verdana" w:hAnsi="Verdana"/>
          <w:sz w:val="18"/>
          <w:szCs w:val="18"/>
        </w:rPr>
      </w:pPr>
    </w:p>
    <w:p>
      <w:pPr>
        <w:spacing w:after="120"/>
        <w:jc w:val="center"/>
        <w:rPr>
          <w:rFonts w:ascii="Verdana" w:hAnsi="Verdana"/>
          <w:b/>
          <w:sz w:val="18"/>
          <w:szCs w:val="18"/>
        </w:rPr>
      </w:pPr>
    </w:p>
    <w:p>
      <w:pPr>
        <w:spacing w:after="120"/>
        <w:jc w:val="center"/>
        <w:rPr>
          <w:rFonts w:ascii="Verdana" w:hAnsi="Verdana"/>
          <w:b/>
          <w:sz w:val="18"/>
          <w:szCs w:val="18"/>
        </w:rPr>
      </w:pPr>
      <w:r>
        <w:rPr>
          <w:rFonts w:ascii="Verdana" w:hAnsi="Verdana"/>
          <w:b/>
          <w:sz w:val="18"/>
          <w:szCs w:val="18"/>
        </w:rPr>
        <w:t>SERVIÇO PÚBLICO FEDERAL</w:t>
      </w:r>
    </w:p>
    <w:p>
      <w:pPr>
        <w:spacing w:after="120"/>
        <w:jc w:val="center"/>
        <w:rPr>
          <w:rFonts w:ascii="Verdana" w:hAnsi="Verdana"/>
          <w:b/>
          <w:sz w:val="18"/>
          <w:szCs w:val="18"/>
        </w:rPr>
      </w:pPr>
      <w:r>
        <w:rPr>
          <w:rFonts w:ascii="Verdana" w:hAnsi="Verdana"/>
          <w:b/>
          <w:sz w:val="18"/>
          <w:szCs w:val="18"/>
        </w:rPr>
        <w:t>MINISTÉRIO DA EDUCAÇÃO</w:t>
      </w:r>
    </w:p>
    <w:p>
      <w:pPr>
        <w:spacing w:after="120"/>
        <w:jc w:val="center"/>
        <w:rPr>
          <w:rFonts w:ascii="Verdana" w:hAnsi="Verdana"/>
          <w:b/>
          <w:sz w:val="18"/>
          <w:szCs w:val="18"/>
        </w:rPr>
      </w:pPr>
      <w:r>
        <w:rPr>
          <w:rFonts w:ascii="Verdana" w:hAnsi="Verdana"/>
          <w:b/>
          <w:sz w:val="18"/>
          <w:szCs w:val="18"/>
        </w:rPr>
        <w:t>UNIVERSIDADE FEDERAL FLUMINENSE</w:t>
      </w:r>
    </w:p>
    <w:p>
      <w:pPr>
        <w:spacing w:after="120"/>
        <w:jc w:val="center"/>
        <w:rPr>
          <w:rFonts w:ascii="Verdana" w:hAnsi="Verdana"/>
          <w:sz w:val="18"/>
          <w:szCs w:val="18"/>
        </w:rPr>
      </w:pPr>
      <w:r>
        <w:rPr>
          <w:rFonts w:ascii="Verdana" w:hAnsi="Verdana"/>
          <w:b/>
          <w:sz w:val="18"/>
          <w:szCs w:val="18"/>
        </w:rPr>
        <w:t>PRÓ-REITORIA DE ADMINISTRAÇÃO</w:t>
      </w:r>
    </w:p>
    <w:p>
      <w:pPr>
        <w:pStyle w:val="12"/>
        <w:jc w:val="center"/>
        <w:rPr>
          <w:rFonts w:ascii="Verdana" w:hAnsi="Verdana"/>
          <w:b/>
          <w:sz w:val="18"/>
          <w:szCs w:val="18"/>
        </w:rPr>
      </w:pPr>
      <w:r>
        <w:rPr>
          <w:rFonts w:ascii="Verdana" w:hAnsi="Verdana"/>
          <w:b/>
          <w:sz w:val="18"/>
          <w:szCs w:val="18"/>
        </w:rPr>
        <w:t>COORDENAÇÃO DE LICITAÇÃO</w:t>
      </w:r>
    </w:p>
    <w:p>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pPr>
        <w:keepNext w:val="0"/>
        <w:spacing w:after="120"/>
        <w:ind w:right="-17"/>
        <w:jc w:val="center"/>
        <w:rPr>
          <w:rFonts w:ascii="Verdana" w:hAnsi="Verdana" w:cs="Arial"/>
          <w:b/>
          <w:bCs/>
          <w:color w:val="000000"/>
          <w:sz w:val="20"/>
          <w:szCs w:val="20"/>
        </w:rPr>
      </w:pPr>
    </w:p>
    <w:p>
      <w:pPr>
        <w:keepNext w:val="0"/>
        <w:spacing w:after="120"/>
        <w:ind w:right="-17"/>
        <w:jc w:val="center"/>
        <w:rPr>
          <w:rFonts w:hint="default" w:ascii="Verdana" w:hAnsi="Verdana" w:cs="Arial"/>
          <w:b/>
          <w:bCs/>
          <w:color w:val="auto"/>
          <w:sz w:val="20"/>
          <w:szCs w:val="20"/>
          <w:lang w:val="pt-BR"/>
        </w:rPr>
      </w:pPr>
      <w:r>
        <w:rPr>
          <w:rFonts w:hint="default" w:ascii="Verdana" w:hAnsi="Verdana" w:cs="Arial"/>
          <w:b/>
          <w:bCs/>
          <w:color w:val="auto"/>
          <w:sz w:val="20"/>
          <w:szCs w:val="20"/>
          <w:lang w:val="pt-BR"/>
        </w:rPr>
        <w:t>EDITAL DE LICITAÇÃO</w:t>
      </w:r>
    </w:p>
    <w:p>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31/2022</w:t>
      </w:r>
    </w:p>
    <w:p>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23069.159760/2020-95)</w:t>
      </w:r>
    </w:p>
    <w:p>
      <w:pPr>
        <w:keepNext w:val="0"/>
        <w:spacing w:after="120" w:line="276" w:lineRule="auto"/>
        <w:ind w:right="-30"/>
        <w:jc w:val="both"/>
        <w:rPr>
          <w:rFonts w:ascii="Verdana" w:hAnsi="Verdana" w:cs="Arial"/>
          <w:sz w:val="20"/>
          <w:szCs w:val="20"/>
        </w:rPr>
      </w:pPr>
    </w:p>
    <w:p>
      <w:pPr>
        <w:snapToGrid w:val="0"/>
        <w:spacing w:after="120" w:line="276" w:lineRule="auto"/>
        <w:ind w:right="-30" w:firstLine="540"/>
        <w:jc w:val="both"/>
        <w:rPr>
          <w:rFonts w:ascii="Verdana" w:hAnsi="Verdana" w:eastAsia="Arial" w:cs="Arial"/>
          <w:i/>
          <w:color w:val="000000" w:themeColor="text1"/>
          <w:sz w:val="20"/>
          <w:szCs w:val="20"/>
        </w:rPr>
      </w:pPr>
      <w:r>
        <w:rPr>
          <w:rFonts w:ascii="Verdana" w:hAnsi="Verdana" w:cs="Arial"/>
          <w:color w:val="000000" w:themeColor="text1"/>
          <w:sz w:val="20"/>
          <w:szCs w:val="20"/>
        </w:rPr>
        <w:t>Torna-se público que a</w:t>
      </w:r>
      <w:r>
        <w:rPr>
          <w:rFonts w:ascii="Verdana" w:hAnsi="Verdana" w:eastAsia="Arial" w:cs="Arial"/>
          <w:color w:val="000000" w:themeColor="text1"/>
          <w:sz w:val="20"/>
          <w:szCs w:val="20"/>
        </w:rPr>
        <w:t xml:space="preserve"> </w:t>
      </w:r>
      <w:r>
        <w:rPr>
          <w:rFonts w:ascii="Verdana" w:hAnsi="Verdana" w:eastAsia="Arial"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hAnsi="Verdana" w:eastAsia="Arial" w:cs="Arial"/>
          <w:color w:val="000000" w:themeColor="text1"/>
          <w:sz w:val="20"/>
          <w:szCs w:val="20"/>
        </w:rPr>
        <w:t xml:space="preserve"> </w:t>
      </w:r>
      <w:r>
        <w:rPr>
          <w:rFonts w:ascii="Verdana" w:hAnsi="Verdana"/>
          <w:sz w:val="20"/>
          <w:szCs w:val="20"/>
        </w:rPr>
        <w:t>sua Comissão de Licitação da Pró-Reitoria de Administração, instituída pela Portaria n.º 57.050 de 01 de setembro de 2016</w:t>
      </w:r>
      <w:r>
        <w:rPr>
          <w:rFonts w:ascii="Verdana" w:hAnsi="Verdana" w:cs="Arial"/>
          <w:color w:val="000000" w:themeColor="text1"/>
          <w:sz w:val="20"/>
          <w:szCs w:val="20"/>
        </w:rPr>
        <w:t>, sediada</w:t>
      </w:r>
      <w:r>
        <w:rPr>
          <w:rFonts w:ascii="Verdana" w:hAnsi="Verdana" w:eastAsia="Arial"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maior desconto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w:t>
      </w:r>
      <w:bookmarkStart w:id="6" w:name="_GoBack"/>
      <w:bookmarkEnd w:id="6"/>
      <w:r>
        <w:rPr>
          <w:rFonts w:ascii="Verdana" w:hAnsi="Verdana" w:cs="Arial"/>
          <w:color w:val="000000" w:themeColor="text1"/>
          <w:sz w:val="20"/>
          <w:szCs w:val="20"/>
        </w:rPr>
        <w:t xml:space="preserve"> Edital</w:t>
      </w:r>
      <w:r>
        <w:rPr>
          <w:rFonts w:ascii="Verdana" w:hAnsi="Verdana" w:cs="Arial"/>
          <w:color w:val="000000"/>
          <w:sz w:val="20"/>
          <w:szCs w:val="20"/>
        </w:rPr>
        <w:t>.</w:t>
      </w:r>
    </w:p>
    <w:p>
      <w:pPr>
        <w:spacing w:line="276" w:lineRule="auto"/>
        <w:jc w:val="both"/>
        <w:rPr>
          <w:rFonts w:ascii="Verdana" w:hAnsi="Verdana" w:cs="Arial"/>
          <w:color w:val="000000" w:themeColor="text1"/>
          <w:sz w:val="20"/>
          <w:szCs w:val="20"/>
        </w:rPr>
      </w:pPr>
    </w:p>
    <w:p>
      <w:pPr>
        <w:pStyle w:val="73"/>
        <w:keepNext w:val="0"/>
        <w:shd w:val="clear" w:color="auto" w:fill="auto"/>
        <w:ind w:firstLine="0"/>
        <w:jc w:val="center"/>
        <w:rPr>
          <w:rFonts w:hint="default" w:ascii="Verdana" w:hAnsi="Verdana" w:cs="Arial"/>
          <w:b/>
          <w:bCs/>
          <w:szCs w:val="20"/>
          <w:lang w:val="pt-BR"/>
        </w:rPr>
      </w:pPr>
      <w:r>
        <w:rPr>
          <w:rFonts w:ascii="Verdana" w:hAnsi="Verdana" w:cs="Arial"/>
          <w:szCs w:val="20"/>
        </w:rPr>
        <w:t>Data da sessão:</w:t>
      </w:r>
      <w:r>
        <w:rPr>
          <w:rFonts w:hint="default" w:ascii="Verdana" w:hAnsi="Verdana" w:cs="Arial"/>
          <w:szCs w:val="20"/>
          <w:lang w:val="pt-BR"/>
        </w:rPr>
        <w:t xml:space="preserve"> </w:t>
      </w:r>
      <w:r>
        <w:rPr>
          <w:rFonts w:hint="default" w:ascii="Verdana" w:hAnsi="Verdana" w:cs="Arial"/>
          <w:b/>
          <w:bCs/>
          <w:szCs w:val="20"/>
          <w:lang w:val="pt-BR"/>
        </w:rPr>
        <w:t>06/ABR/2022</w:t>
      </w:r>
    </w:p>
    <w:p>
      <w:pPr>
        <w:pStyle w:val="73"/>
        <w:keepNext w:val="0"/>
        <w:widowControl/>
        <w:shd w:val="clear" w:color="auto" w:fill="auto"/>
        <w:spacing w:before="120" w:after="120"/>
        <w:ind w:firstLine="0"/>
        <w:jc w:val="center"/>
        <w:rPr>
          <w:rFonts w:hint="default" w:ascii="Verdana" w:hAnsi="Verdana" w:cs="Arial"/>
          <w:color w:val="FF0000"/>
          <w:szCs w:val="20"/>
          <w:lang w:val="pt-BR"/>
        </w:rPr>
      </w:pPr>
      <w:r>
        <w:rPr>
          <w:rFonts w:ascii="Verdana" w:hAnsi="Verdana" w:cs="Arial"/>
          <w:szCs w:val="20"/>
        </w:rPr>
        <w:t xml:space="preserve">Horário: </w:t>
      </w:r>
      <w:r>
        <w:rPr>
          <w:rFonts w:hint="default" w:ascii="Verdana" w:hAnsi="Verdana" w:cs="Arial"/>
          <w:color w:val="auto"/>
          <w:szCs w:val="20"/>
          <w:lang w:val="pt-BR"/>
        </w:rPr>
        <w:t>10h</w:t>
      </w:r>
    </w:p>
    <w:p>
      <w:pPr>
        <w:pStyle w:val="73"/>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p>
    <w:p>
      <w:pPr>
        <w:keepNext w:val="0"/>
        <w:shd w:val="clear" w:color="auto" w:fill="auto"/>
        <w:rPr>
          <w:rFonts w:ascii="Verdana" w:hAnsi="Verdana" w:cs="Arial"/>
          <w:sz w:val="20"/>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bCs/>
          <w:szCs w:val="20"/>
          <w:shd w:val="clear" w:color="auto" w:fill="FFFFFF"/>
        </w:rPr>
        <w:t xml:space="preserve">contratação de </w:t>
      </w:r>
      <w:bookmarkStart w:id="0" w:name="_Hlk85032038"/>
      <w:r>
        <w:rPr>
          <w:rFonts w:ascii="Verdana" w:hAnsi="Verdana"/>
          <w:bCs/>
          <w:szCs w:val="20"/>
          <w:shd w:val="clear" w:color="auto" w:fill="FFFFFF"/>
        </w:rPr>
        <w:t>execução de serviço de engenharia, para</w:t>
      </w:r>
      <w:bookmarkEnd w:id="0"/>
      <w:r>
        <w:rPr>
          <w:rFonts w:ascii="Verdana" w:hAnsi="Verdana"/>
          <w:bCs/>
          <w:szCs w:val="20"/>
          <w:shd w:val="clear" w:color="auto" w:fill="FFFFFF"/>
        </w:rPr>
        <w:t xml:space="preserve"> </w:t>
      </w:r>
      <w:r>
        <w:rPr>
          <w:rFonts w:ascii="Verdana" w:hAnsi="Verdana"/>
          <w:szCs w:val="20"/>
        </w:rPr>
        <w:t>reforma de salas para instalação de laboratório e microscópio eletrônico na Faculdade de Veterinária da Universidade Federal Fluminense</w:t>
      </w:r>
      <w:r>
        <w:rPr>
          <w:rFonts w:ascii="Verdana" w:hAnsi="Verdana" w:cs="Arial"/>
          <w:szCs w:val="20"/>
        </w:rPr>
        <w:t>,</w:t>
      </w:r>
      <w:r>
        <w:rPr>
          <w:rFonts w:ascii="Verdana" w:hAnsi="Verdana"/>
          <w:szCs w:val="20"/>
        </w:rPr>
        <w:t xml:space="preserve"> com fornecimento de materiais e mão-de-obra,</w:t>
      </w:r>
      <w:r>
        <w:rPr>
          <w:rFonts w:ascii="Verdana" w:hAnsi="Verdana" w:cs="Arial"/>
          <w:szCs w:val="20"/>
        </w:rPr>
        <w:t xml:space="preserve"> conforme condições, quantidades e exigências estabelecidas neste edital e seus anexos.</w:t>
      </w:r>
    </w:p>
    <w:p>
      <w:pPr>
        <w:pStyle w:val="73"/>
        <w:keepNext w:val="0"/>
        <w:widowControl/>
        <w:numPr>
          <w:ilvl w:val="2"/>
          <w:numId w:val="3"/>
        </w:numPr>
        <w:shd w:val="clear" w:color="auto" w:fill="auto"/>
        <w:spacing w:before="120" w:after="120" w:line="240" w:lineRule="auto"/>
        <w:ind w:left="1225" w:hanging="505"/>
        <w:rPr>
          <w:rFonts w:ascii="Verdana" w:hAnsi="Verdana" w:cs="Arial"/>
          <w:szCs w:val="20"/>
        </w:rPr>
      </w:pPr>
      <w:r>
        <w:rPr>
          <w:rFonts w:ascii="Verdana" w:hAnsi="Verdana" w:eastAsia="Calibri" w:cstheme="minorHAnsi"/>
          <w:bCs/>
          <w:sz w:val="18"/>
          <w:szCs w:val="18"/>
        </w:rPr>
        <w:t xml:space="preserve">Localização da obra: </w:t>
      </w:r>
      <w:r>
        <w:rPr>
          <w:szCs w:val="20"/>
        </w:rPr>
        <w:t>Faculdade de Veterinária, Avenida Almirante Ary Parreiras, nº 503, bairro Vital Brazil, cidade de Niterói, estado do Rio de Janeiro.</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 xml:space="preserve">A licitação será realizada em 01 (um) </w:t>
      </w:r>
      <w:r>
        <w:rPr>
          <w:rFonts w:hint="default" w:ascii="Verdana" w:hAnsi="Verdana" w:cs="Arial"/>
          <w:iCs/>
          <w:szCs w:val="20"/>
          <w:lang w:val="pt-BR"/>
        </w:rPr>
        <w:t>item</w:t>
      </w:r>
      <w:r>
        <w:rPr>
          <w:rFonts w:ascii="Verdana" w:hAnsi="Verdana" w:cs="Arial"/>
          <w:iCs/>
          <w:szCs w:val="20"/>
        </w:rPr>
        <w:t xml:space="preserve">, formado por vários </w:t>
      </w:r>
      <w:r>
        <w:rPr>
          <w:rFonts w:hint="default" w:ascii="Verdana" w:hAnsi="Verdana" w:cs="Arial"/>
          <w:iCs/>
          <w:szCs w:val="20"/>
          <w:lang w:val="pt-BR"/>
        </w:rPr>
        <w:t>sub</w:t>
      </w:r>
      <w:r>
        <w:rPr>
          <w:rFonts w:ascii="Verdana" w:hAnsi="Verdana" w:cs="Arial"/>
          <w:iCs/>
          <w:szCs w:val="20"/>
        </w:rPr>
        <w:t>itens, conforme planilha de Orçamento constante no Anexo III-B.</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critério de julgamento adotado será o de </w:t>
      </w:r>
      <w:r>
        <w:rPr>
          <w:rFonts w:ascii="Verdana" w:hAnsi="Verdana" w:cs="Arial"/>
          <w:iCs/>
          <w:szCs w:val="20"/>
          <w:u w:val="single"/>
        </w:rPr>
        <w:t>maior desconto</w:t>
      </w:r>
      <w:r>
        <w:rPr>
          <w:rFonts w:ascii="Verdana" w:hAnsi="Verdana" w:cs="Arial"/>
          <w:szCs w:val="20"/>
        </w:rPr>
        <w:t>, para a execução de todos os serviços relacionados nos itens da planilha de Orçamento (Anexo III-B), observadas as exigências contidas neste Edital e seus Anexos quanto às especificações do objeto.</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O percentual de desconto proposto, resultado da fase de lances, deverá incidir igualmente sobre todos os preços unitários constantes da planilha de orçamento (Anexo III-B), que irá resultar no valor total da proposta da licitante vencedora.</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w:t>
      </w:r>
      <w:r>
        <w:rPr>
          <w:rFonts w:hint="default" w:ascii="Verdana" w:hAnsi="Verdana" w:cs="Arial"/>
          <w:szCs w:val="20"/>
          <w:lang w:val="pt-BR"/>
        </w:rPr>
        <w:t xml:space="preserve">subitens </w:t>
      </w:r>
      <w:r>
        <w:rPr>
          <w:rFonts w:ascii="Verdana" w:hAnsi="Verdana" w:cs="Arial"/>
          <w:szCs w:val="20"/>
        </w:rPr>
        <w:t xml:space="preserve"> do </w:t>
      </w:r>
      <w:r>
        <w:rPr>
          <w:rFonts w:hint="default" w:ascii="Verdana" w:hAnsi="Verdana" w:cs="Arial"/>
          <w:szCs w:val="20"/>
          <w:lang w:val="pt-BR"/>
        </w:rPr>
        <w:t>item</w:t>
      </w:r>
      <w:r>
        <w:rPr>
          <w:rFonts w:ascii="Verdana" w:hAnsi="Verdana" w:cs="Arial"/>
          <w:szCs w:val="20"/>
        </w:rPr>
        <w:t>.</w:t>
      </w:r>
      <w:r>
        <w:rPr>
          <w:rFonts w:ascii="Verdana" w:hAnsi="Verdana" w:cs="Arial"/>
          <w:iCs/>
          <w:szCs w:val="20"/>
        </w:rPr>
        <w:t xml:space="preserve"> Quando for considerado vencedor da licitação, será convocado a apresentar planilha de orçamento contendo os preços unitários para todos os </w:t>
      </w:r>
      <w:r>
        <w:rPr>
          <w:rFonts w:hint="default" w:ascii="Verdana" w:hAnsi="Verdana" w:cs="Arial"/>
          <w:iCs/>
          <w:szCs w:val="20"/>
          <w:lang w:val="pt-BR"/>
        </w:rPr>
        <w:t>sub</w:t>
      </w:r>
      <w:r>
        <w:rPr>
          <w:rFonts w:ascii="Verdana" w:hAnsi="Verdana" w:cs="Arial"/>
          <w:iCs/>
          <w:szCs w:val="20"/>
        </w:rPr>
        <w:t xml:space="preserve">itens que compõem o </w:t>
      </w:r>
      <w:r>
        <w:rPr>
          <w:rFonts w:hint="default" w:ascii="Verdana" w:hAnsi="Verdana" w:cs="Arial"/>
          <w:iCs/>
          <w:szCs w:val="20"/>
          <w:lang w:val="pt-BR"/>
        </w:rPr>
        <w:t>item</w:t>
      </w:r>
      <w:r>
        <w:rPr>
          <w:rFonts w:ascii="Verdana" w:hAnsi="Verdana" w:cs="Arial"/>
          <w:iCs/>
          <w:szCs w:val="20"/>
        </w:rPr>
        <w:t>, na conformidade da planilha contida no Anexo III-B.</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critério de julgamento adotado será o de maior desconto percentual do </w:t>
      </w:r>
      <w:r>
        <w:rPr>
          <w:rFonts w:hint="default" w:ascii="Verdana" w:hAnsi="Verdana" w:cs="Arial"/>
          <w:szCs w:val="20"/>
          <w:lang w:val="pt-BR"/>
        </w:rPr>
        <w:t>item</w:t>
      </w:r>
      <w:r>
        <w:rPr>
          <w:rFonts w:ascii="Verdana" w:hAnsi="Verdana" w:cs="Arial"/>
          <w:szCs w:val="20"/>
        </w:rPr>
        <w:t>, observadas as exigências contidas neste Edital e seus Anexos quanto às especificações do objeto, sagrando-se vencedora a licitante que ofertar o maior desconto.</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cs="Arial"/>
          <w:sz w:val="18"/>
          <w:szCs w:val="18"/>
          <w:u w:val="single"/>
        </w:rPr>
        <w:t>O percentual de desconto proposto</w:t>
      </w:r>
      <w:r>
        <w:rPr>
          <w:rFonts w:ascii="Verdana" w:hAnsi="Verdana" w:cs="Arial"/>
          <w:sz w:val="18"/>
          <w:szCs w:val="18"/>
        </w:rPr>
        <w:t xml:space="preserve">, resultado da fase de lances, </w:t>
      </w:r>
      <w:r>
        <w:rPr>
          <w:rFonts w:ascii="Verdana" w:hAnsi="Verdana" w:cs="Arial"/>
          <w:sz w:val="18"/>
          <w:szCs w:val="18"/>
          <w:u w:val="single"/>
        </w:rPr>
        <w:t>deverá incidir igualmente sobre todos os preços unitários constantes da planilha de orçamento</w:t>
      </w:r>
      <w:r>
        <w:rPr>
          <w:rFonts w:ascii="Verdana" w:hAnsi="Verdana" w:cs="Arial"/>
          <w:sz w:val="18"/>
          <w:szCs w:val="18"/>
        </w:rPr>
        <w:t xml:space="preserve"> (Anexo III-B), que irá resultar no valor total da proposta da licitante.</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pPr>
        <w:pStyle w:val="73"/>
        <w:keepNext w:val="0"/>
        <w:widowControl/>
        <w:shd w:val="clear" w:color="auto" w:fill="auto"/>
        <w:spacing w:before="120" w:after="120"/>
        <w:ind w:left="792" w:firstLine="0"/>
        <w:rPr>
          <w:rFonts w:ascii="Verdana" w:hAnsi="Verdana" w:cs="Arial"/>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pPr>
        <w:pStyle w:val="73"/>
        <w:keepNext w:val="0"/>
        <w:widowControl/>
        <w:numPr>
          <w:ilvl w:val="1"/>
          <w:numId w:val="3"/>
        </w:numPr>
        <w:shd w:val="clear" w:color="auto" w:fill="auto"/>
        <w:spacing w:before="120" w:after="120"/>
        <w:rPr>
          <w:rFonts w:ascii="Verdana" w:hAnsi="Verdana" w:cs="Arial"/>
          <w:szCs w:val="20"/>
          <w:highlight w:val="none"/>
        </w:rPr>
      </w:pPr>
      <w:bookmarkStart w:id="2" w:name="_Hlk97023241"/>
      <w:r>
        <w:rPr>
          <w:rFonts w:ascii="Verdana" w:hAnsi="Verdana" w:cs="Arial"/>
          <w:szCs w:val="20"/>
          <w:highlight w:val="none"/>
        </w:rPr>
        <w:t>As despesas para atender a esta licitação estão programadas em dotação orçamentária própria, prevista no orçamento da União para o exercício de 2022</w:t>
      </w:r>
      <w:r>
        <w:rPr>
          <w:rFonts w:ascii="Verdana" w:hAnsi="Verdana" w:eastAsia="Times New Roman" w:cs="Arial"/>
          <w:szCs w:val="20"/>
          <w:highlight w:val="none"/>
        </w:rPr>
        <w:t>,</w:t>
      </w:r>
      <w:r>
        <w:rPr>
          <w:rFonts w:ascii="Verdana" w:hAnsi="Verdana" w:cs="Arial"/>
          <w:szCs w:val="20"/>
          <w:highlight w:val="none"/>
        </w:rPr>
        <w:t xml:space="preserve"> conforme conforme documento PLOR/PLAN</w:t>
      </w:r>
      <w:r>
        <w:rPr>
          <w:rFonts w:hint="default" w:ascii="Verdana" w:hAnsi="Verdana" w:cs="Arial"/>
          <w:szCs w:val="20"/>
          <w:highlight w:val="none"/>
          <w:lang w:val="pt-BR"/>
        </w:rPr>
        <w:t xml:space="preserve"> (SEI nº 0712946 - </w:t>
      </w:r>
      <w:r>
        <w:rPr>
          <w:rFonts w:hint="default" w:ascii="Verdana" w:hAnsi="Verdana"/>
          <w:szCs w:val="20"/>
          <w:highlight w:val="none"/>
          <w:lang w:val="pt-BR"/>
        </w:rPr>
        <w:t>https://sei.uff.br/sei/controlador.php?acao=procedimento_trabalhar&amp;id_procedimento=298400&amp;id_documento=776973)</w:t>
      </w:r>
      <w:r>
        <w:rPr>
          <w:rFonts w:ascii="Verdana" w:hAnsi="Verdana" w:cs="Arial"/>
          <w:szCs w:val="20"/>
          <w:highlight w:val="none"/>
        </w:rPr>
        <w:t>.</w:t>
      </w:r>
      <w:bookmarkEnd w:id="2"/>
    </w:p>
    <w:p>
      <w:pPr>
        <w:pStyle w:val="73"/>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r>
        <w:rPr>
          <w:rFonts w:ascii="Verdana" w:hAnsi="Verdana" w:cs="Arial"/>
          <w:color w:val="000000" w:themeColor="text1"/>
          <w:szCs w:val="20"/>
        </w:rPr>
        <w:t>, por meio de certificado digital conferido pela Infraestrutura de Chaves Públicas Brasileira – ICP - Brasil.</w:t>
      </w:r>
    </w:p>
    <w:p>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eastAsia="Arial Unicode MS" w:cs="Arial"/>
          <w:color w:val="000000" w:themeColor="text1"/>
          <w:sz w:val="18"/>
          <w:szCs w:val="18"/>
        </w:rPr>
        <w:t>que se enquadrem nas vedações previstas no artigo 9º da Lei nº 8.666, de 1993;</w:t>
      </w:r>
      <w:bookmarkStart w:id="3" w:name="_Hlk519667653"/>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3"/>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4" w:name="_Hlk519667815"/>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4"/>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hAnsi="Verdana" w:eastAsia="Zurich BT" w:cs="Arial"/>
          <w:color w:val="000000"/>
          <w:sz w:val="20"/>
          <w:szCs w:val="20"/>
        </w:rPr>
        <w:t xml:space="preserve"> </w:t>
      </w:r>
    </w:p>
    <w:p>
      <w:pPr>
        <w:pStyle w:val="64"/>
        <w:keepNext w:val="0"/>
        <w:numPr>
          <w:ilvl w:val="0"/>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não possui, em sua cadeia produtiva, empregados executando trabalho degradante ou forçado, observando o disposto nos incisos III e IV do art. 1º e no inciso III do art. 5º da Constituição Federal;</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 no item “6 – VISTORIA PARA A LICITAÇÃO” do Termo de Referência anexo a este edital;</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RDC</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RDC.</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RDC,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2"/>
        <w:widowControl/>
        <w:numPr>
          <w:ilvl w:val="1"/>
          <w:numId w:val="3"/>
        </w:numPr>
        <w:suppressAutoHyphens w:val="0"/>
        <w:spacing w:before="120"/>
        <w:jc w:val="both"/>
        <w:rPr>
          <w:rFonts w:ascii="Verdana" w:hAnsi="Verdana"/>
          <w:sz w:val="20"/>
        </w:rPr>
      </w:pPr>
      <w:r>
        <w:rPr>
          <w:rFonts w:ascii="Verdana" w:hAnsi="Verdana" w:cs="TTE4E87780t00"/>
          <w:sz w:val="20"/>
        </w:rPr>
        <w:t xml:space="preserve">Informações sobre o local da obra para a realização da vistoria ou outras, poderão ser obtidas no preâmbulo deste edital ou junto </w:t>
      </w:r>
      <w:r>
        <w:rPr>
          <w:rFonts w:ascii="Verdana" w:hAnsi="Verdana"/>
          <w:sz w:val="20"/>
        </w:rPr>
        <w:t>a Coordenadoria de Arquitetura e Engenharia/CEA da Superintendência de Arquitetura, Engenharia e Patrimônio/SAEP</w:t>
      </w:r>
      <w:r>
        <w:rPr>
          <w:rFonts w:ascii="Verdana" w:hAnsi="Verdana" w:cs="TTE4E87780t00"/>
          <w:sz w:val="20"/>
        </w:rPr>
        <w:t>, através do</w:t>
      </w:r>
      <w:r>
        <w:rPr>
          <w:rFonts w:ascii="Verdana" w:hAnsi="Verdana"/>
          <w:sz w:val="20"/>
        </w:rPr>
        <w:t xml:space="preserve"> e-mail: </w:t>
      </w:r>
      <w:r>
        <w:fldChar w:fldCharType="begin"/>
      </w:r>
      <w:r>
        <w:instrText xml:space="preserve"> HYPERLINK "mailto:saep.ret@id.uff.br" </w:instrText>
      </w:r>
      <w:r>
        <w:fldChar w:fldCharType="separate"/>
      </w:r>
      <w:r>
        <w:rPr>
          <w:rStyle w:val="10"/>
          <w:rFonts w:ascii="Verdana" w:hAnsi="Verdana"/>
          <w:sz w:val="20"/>
        </w:rPr>
        <w:t>saep.ret@id.uff.br</w:t>
      </w:r>
      <w:r>
        <w:rPr>
          <w:rStyle w:val="10"/>
          <w:rFonts w:ascii="Verdana" w:hAnsi="Verdana"/>
          <w:sz w:val="20"/>
        </w:rPr>
        <w:fldChar w:fldCharType="end"/>
      </w:r>
      <w:r>
        <w:rPr>
          <w:rFonts w:ascii="Verdana" w:hAnsi="Verdana"/>
          <w:sz w:val="20"/>
        </w:rPr>
        <w:t xml:space="preserve"> ou ainda no local e horário indicado abaixo:</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às 17h00m, com a mesma Coordenadoria citada.</w:t>
      </w:r>
      <w:r>
        <w:rPr>
          <w:rFonts w:ascii="Verdana" w:hAnsi="Verdana" w:cs="TTE4E87780t00"/>
          <w:sz w:val="18"/>
          <w:szCs w:val="18"/>
        </w:rPr>
        <w:t xml:space="preserve"> </w:t>
      </w:r>
    </w:p>
    <w:p>
      <w:pPr>
        <w:pStyle w:val="12"/>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2"/>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pPr>
        <w:pStyle w:val="64"/>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desconto percentual a incidir sobre o valor estimado pela Administração, utilizando até 04 (quatro) casas decimais para evitar correções futuras na PROPOSTA DE PREÇOS;</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hAnsi="Verdana" w:eastAsia="WenQuanYi Micro Hei" w:cs="Arial"/>
          <w:color w:val="auto"/>
          <w:sz w:val="18"/>
          <w:szCs w:val="18"/>
        </w:rPr>
        <w:t>Descrição do objeto, contendo as informações similares à especificação do Termo de Referência</w:t>
      </w:r>
      <w:r>
        <w:rPr>
          <w:rFonts w:ascii="Verdana" w:hAnsi="Verdana" w:cs="Arial"/>
          <w:color w:val="auto"/>
          <w:sz w:val="18"/>
          <w:szCs w:val="18"/>
        </w:rPr>
        <w:t>.</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III-A deste Edital;</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PROPOSTAS E FORMULAÇÃO DE LANCES</w:t>
      </w:r>
    </w:p>
    <w:p>
      <w:pPr>
        <w:pStyle w:val="64"/>
        <w:keepNext w:val="0"/>
        <w:numPr>
          <w:ilvl w:val="0"/>
          <w:numId w:val="6"/>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pPr>
        <w:pStyle w:val="64"/>
        <w:keepNext w:val="0"/>
        <w:numPr>
          <w:ilvl w:val="1"/>
          <w:numId w:val="6"/>
        </w:numPr>
        <w:shd w:val="clear" w:color="auto" w:fill="auto"/>
        <w:tabs>
          <w:tab w:val="clear" w:pos="-12"/>
          <w:tab w:val="clear" w:pos="708"/>
        </w:tabs>
        <w:suppressAutoHyphens w:val="0"/>
        <w:overflowPunct/>
        <w:spacing w:before="120" w:after="120"/>
        <w:ind w:left="851" w:hanging="357"/>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pPr>
        <w:pStyle w:val="64"/>
        <w:keepNext w:val="0"/>
        <w:numPr>
          <w:ilvl w:val="1"/>
          <w:numId w:val="6"/>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73"/>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pPr>
        <w:pStyle w:val="73"/>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pPr>
        <w:pStyle w:val="73"/>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pPr>
        <w:pStyle w:val="73"/>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pPr>
        <w:keepNext w:val="0"/>
        <w:numPr>
          <w:ilvl w:val="2"/>
          <w:numId w:val="6"/>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hAnsi="Verdana" w:eastAsia="Arial" w:cs="Arial"/>
          <w:iCs/>
          <w:color w:val="auto"/>
          <w:sz w:val="18"/>
          <w:szCs w:val="18"/>
        </w:rPr>
      </w:pPr>
      <w:r>
        <w:rPr>
          <w:rFonts w:ascii="Verdana" w:hAnsi="Verdana" w:cs="Arial"/>
          <w:iCs/>
          <w:color w:val="auto"/>
          <w:sz w:val="18"/>
          <w:szCs w:val="18"/>
        </w:rPr>
        <w:t>O lance deverá ser ofertado pelo valor do desconto percentual que irá incidir sobre o total do orçamento, quando da escolha definitiva da proposta vencedora.</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0,10 % (um décimo percentual).</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maior desconto percentual</w:t>
      </w:r>
      <w:r>
        <w:rPr>
          <w:rFonts w:ascii="Verdana" w:hAnsi="Verdana" w:cs="Arial"/>
          <w:color w:val="000000" w:themeColor="text1"/>
          <w:sz w:val="20"/>
          <w:szCs w:val="20"/>
        </w:rPr>
        <w:t>, que deverá incidir igualmente sobre todos os preços unitários orçados pela UFF e constantes da planilha de orçamento (Anexo III-A) conforme definido neste Edital e seus anexos.</w:t>
      </w:r>
    </w:p>
    <w:p>
      <w:pPr>
        <w:pStyle w:val="64"/>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cs="Arial"/>
          <w:color w:val="000000" w:themeColor="text1"/>
          <w:sz w:val="18"/>
          <w:szCs w:val="18"/>
        </w:rPr>
        <w:t xml:space="preserve">Não será admitido a incidência sobre os preços unitários referidos anteriormente, de valor(es) de percentual(is) diferente(s) do valor proposto e considerado vencedor na fase final de lances.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hAnsi="Verdana" w:eastAsia="Zurich BT" w:cs="Arial"/>
          <w:sz w:val="20"/>
          <w:szCs w:val="20"/>
        </w:rPr>
        <w:t>, será efetivada a verificação automática, junto à Receita Federal, do porte da entidade empresarial.</w:t>
      </w:r>
    </w:p>
    <w:p>
      <w:pPr>
        <w:pStyle w:val="64"/>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eastAsia="Zurich BT" w:cs="Arial"/>
          <w:sz w:val="18"/>
          <w:szCs w:val="18"/>
        </w:rPr>
        <w:t xml:space="preserve">O sistema identificará em coluna própria as </w:t>
      </w:r>
      <w:r>
        <w:rPr>
          <w:rFonts w:ascii="Verdana" w:hAnsi="Verdana" w:eastAsia="Zurich BT" w:cs="Arial"/>
          <w:color w:val="000000" w:themeColor="text1"/>
          <w:sz w:val="18"/>
          <w:szCs w:val="18"/>
        </w:rPr>
        <w:t>microempresas e empresas de pequeno</w:t>
      </w:r>
      <w:r>
        <w:rPr>
          <w:rFonts w:ascii="Verdana" w:hAnsi="Verdana" w:eastAsia="Zurich BT"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hAnsi="Verdana" w:eastAsia="Zurich BT"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hAnsi="Verdana" w:eastAsia="Zurich BT"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hAnsi="Verdana" w:eastAsia="Zurich BT"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hAnsi="Verdana" w:eastAsia="Arial"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hAnsi="Verdana" w:eastAsia="Arial" w:cs="Arial"/>
          <w:sz w:val="20"/>
          <w:szCs w:val="20"/>
        </w:rPr>
        <w:t>.</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hAnsi="Verdana" w:eastAsia="Arial" w:cs="Arial"/>
          <w:sz w:val="20"/>
          <w:szCs w:val="20"/>
        </w:rPr>
        <w:t>negociação será realizada por meio do sistema, podendo ser acompanhada pelos demais licitantes.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melhor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hAnsi="Verdana" w:eastAsia="Arial" w:cs="Arial"/>
          <w:sz w:val="20"/>
          <w:szCs w:val="20"/>
        </w:rPr>
        <w:t>É facultado ao pregoeiro prorrogar o prazo estabelecido, a partir de solicitação fundamentada feita no chat pelo licitante, antes de findo o prazo.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eastAsia="Arial" w:cs="Arial"/>
          <w:sz w:val="20"/>
          <w:szCs w:val="20"/>
        </w:rPr>
        <w:t>Após a negociação do preço, o Pregoeiro iniciará a fase de aceitação e julgamento da proposta.</w:t>
      </w:r>
    </w:p>
    <w:p>
      <w:pPr>
        <w:pStyle w:val="64"/>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pPr>
        <w:pStyle w:val="64"/>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pPr>
        <w:pStyle w:val="73"/>
        <w:keepNext w:val="0"/>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pPr>
        <w:pStyle w:val="73"/>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A proposta a ser encaminhada deverá ser composta e conterem:</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identificando os </w:t>
      </w:r>
      <w:r>
        <w:rPr>
          <w:rFonts w:hint="default" w:ascii="Verdana" w:hAnsi="Verdana" w:cs="Arial"/>
          <w:sz w:val="18"/>
          <w:szCs w:val="18"/>
          <w:lang w:val="pt-BR"/>
        </w:rPr>
        <w:t>itens</w:t>
      </w:r>
      <w:r>
        <w:rPr>
          <w:rFonts w:ascii="Verdana" w:hAnsi="Verdana" w:cs="Arial"/>
          <w:sz w:val="18"/>
          <w:szCs w:val="18"/>
        </w:rPr>
        <w:t xml:space="preserve"> em que a empresa foi considerada vencedora, conforme modelo do Anexo V;</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Valor do percentual de desconto proposto e o seu correspondente valor monetário, discriminados também por extenso.</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validade da proposta não inferior a 90 (noventa) dias, a contar da data de abertura do certame.</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Especificações do objeto de forma clara, observadas as especificações constantes dos anexos elaborados pela Administração;</w:t>
      </w:r>
    </w:p>
    <w:p>
      <w:pPr>
        <w:pStyle w:val="73"/>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Anexo à Carta Proposta deverá apresentar os seguintes documentos, todos conforme modelos anexos a este edital:</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de cada </w:t>
      </w:r>
      <w:r>
        <w:rPr>
          <w:rFonts w:hint="default" w:ascii="Verdana" w:hAnsi="Verdana" w:cs="Arial"/>
          <w:sz w:val="18"/>
          <w:szCs w:val="18"/>
          <w:lang w:val="pt-BR"/>
        </w:rPr>
        <w:t>item</w:t>
      </w:r>
      <w:r>
        <w:rPr>
          <w:rFonts w:ascii="Verdana" w:hAnsi="Verdana" w:cs="Arial"/>
          <w:sz w:val="18"/>
          <w:szCs w:val="18"/>
        </w:rPr>
        <w:t xml:space="preserve">, conforme Anexo VI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VIII;</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Resumo do Orçamento</w:t>
      </w:r>
      <w:r>
        <w:rPr>
          <w:rFonts w:ascii="Verdana" w:hAnsi="Verdana" w:cs="Arial"/>
          <w:sz w:val="18"/>
          <w:szCs w:val="18"/>
        </w:rPr>
        <w:t xml:space="preserve"> conforme modelo do Anexo III-Á;</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para o </w:t>
      </w:r>
      <w:r>
        <w:rPr>
          <w:rFonts w:hint="default" w:ascii="Verdana" w:hAnsi="Verdana" w:cs="Arial"/>
          <w:sz w:val="18"/>
          <w:szCs w:val="18"/>
          <w:lang w:val="pt-BR"/>
        </w:rPr>
        <w:t>item</w:t>
      </w:r>
      <w:r>
        <w:rPr>
          <w:rFonts w:ascii="Verdana" w:hAnsi="Verdana" w:cs="Arial"/>
          <w:sz w:val="18"/>
          <w:szCs w:val="18"/>
        </w:rPr>
        <w:t>,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Como o critério de julgamento será o de maior desconto, esse incidirá sobre todos os preços </w:t>
      </w:r>
      <w:r>
        <w:rPr>
          <w:rFonts w:ascii="Verdana" w:hAnsi="Verdana" w:cs="Arial"/>
          <w:color w:val="000000"/>
          <w:sz w:val="18"/>
          <w:szCs w:val="18"/>
        </w:rPr>
        <w:t>unitários dos itens do orçamento apresentado pela UFF (Anexo III-B), que tratando-se de desconto, os novos preços unitários propostos pela licitante, serão obrigatoriamente inferiores aos apresentados pela UFF;</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xml:space="preserve">– Não serão admitidas alterações de especificações, unidades, quantitativos, custos unitários, valor de BDI e dos preços unitários calculados pela UFF; se tal ocorrência for constatada será motivo de desclassificação da proposta; seus valores estão bloqueados para edição no Anexo III-A. </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A soma dos preços totais ajustados dos itens dos serviços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seu nome e número do seu CREA/CAU e pelo representante legal da empresa e com carimbo do CNPJ, no formato PDF:</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Não se admitirá, na proposta de preços, custos identificados mediante o uso da expressão “verba” ou de unidades genéricas.</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73"/>
        <w:keepNext w:val="0"/>
        <w:widowControl/>
        <w:numPr>
          <w:ilvl w:val="3"/>
          <w:numId w:val="6"/>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Style w:val="61"/>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p>
    <w:p>
      <w:pPr>
        <w:pStyle w:val="73"/>
        <w:keepNext w:val="0"/>
        <w:widowControl/>
        <w:numPr>
          <w:ilvl w:val="3"/>
          <w:numId w:val="6"/>
        </w:numPr>
        <w:spacing w:before="120" w:after="120"/>
        <w:ind w:left="1701" w:hanging="567"/>
        <w:textAlignment w:val="auto"/>
        <w:rPr>
          <w:rStyle w:val="61"/>
          <w:rFonts w:ascii="Verdana" w:hAnsi="Verdana" w:eastAsia="Times New Roman"/>
          <w:color w:val="auto"/>
          <w:sz w:val="18"/>
          <w:szCs w:val="18"/>
        </w:rPr>
      </w:pPr>
      <w:r>
        <w:rPr>
          <w:rFonts w:ascii="Verdana" w:hAnsi="Verdana" w:cs="Times-Roman"/>
          <w:sz w:val="18"/>
          <w:szCs w:val="18"/>
        </w:rPr>
        <w:t xml:space="preserve">– </w:t>
      </w:r>
      <w:r>
        <w:rPr>
          <w:rFonts w:ascii="Verdana" w:hAnsi="Verdana" w:cs="Times-Roman"/>
          <w:sz w:val="16"/>
          <w:szCs w:val="16"/>
        </w:rPr>
        <w:t xml:space="preserve">Observação: De acordo com as orientações emanadas do TCU, </w:t>
      </w:r>
      <w:r>
        <w:rPr>
          <w:rFonts w:ascii="Verdana" w:hAnsi="Verdana" w:cs="Arial"/>
          <w:i/>
          <w:iCs/>
          <w:sz w:val="16"/>
          <w:szCs w:val="16"/>
          <w:u w:val="single"/>
        </w:rPr>
        <w:t>quando se utiliza o SINAPI ou SICRO para a orçamentação da obra,</w:t>
      </w:r>
      <w:r>
        <w:rPr>
          <w:rFonts w:ascii="Verdana" w:hAnsi="Verdana" w:cs="Arial"/>
          <w:sz w:val="16"/>
          <w:szCs w:val="16"/>
        </w:rPr>
        <w:t xml:space="preserve"> não há necessidade de demonstrar as parcelas de cálculo dos encargos sociais, pois estas já fazem parte do cálculo dos seus custos unitários; é importante salientar, </w:t>
      </w:r>
      <w:r>
        <w:rPr>
          <w:rFonts w:ascii="Verdana" w:hAnsi="Verdana" w:eastAsia="TimesNewRoman" w:cs="TimesNewRoman"/>
          <w:sz w:val="16"/>
          <w:szCs w:val="16"/>
        </w:rPr>
        <w:t>que os relatórios obtidos em sistemas referenciais de custos e em publicações técnicas especializadas devem ser arquivados nos autos da licitação. Portanto, considerando que o presente orçamento utilizou como base os custos unitários divulgados pelo SINAPI e em sistemas referenciais de custos e em publicações técnicas especializadas, deixa-se de solicitar a apresentação da planilha demonstrativa de encargos sociais das licitantes. (</w:t>
      </w:r>
      <w:r>
        <w:rPr>
          <w:rFonts w:ascii="Verdana" w:hAnsi="Verdana" w:cs="Arial"/>
          <w:sz w:val="16"/>
          <w:szCs w:val="16"/>
        </w:rPr>
        <w:t>pág. 95/96</w:t>
      </w:r>
      <w:r>
        <w:rPr>
          <w:rFonts w:ascii="Verdana" w:hAnsi="Verdana" w:eastAsia="TimesNewRoman" w:cs="TimesNewRoman"/>
          <w:sz w:val="16"/>
          <w:szCs w:val="16"/>
        </w:rPr>
        <w:t xml:space="preserve"> - “Orientações para E</w:t>
      </w:r>
      <w:r>
        <w:rPr>
          <w:rFonts w:ascii="Verdana" w:hAnsi="Verdana" w:cs="Arial"/>
          <w:sz w:val="16"/>
          <w:szCs w:val="16"/>
        </w:rPr>
        <w:t>laboração de Planilhas Orçamentárias de Obras Públicas” – TCU – 2014)</w:t>
      </w:r>
    </w:p>
    <w:p>
      <w:pPr>
        <w:pStyle w:val="73"/>
        <w:keepNext w:val="0"/>
        <w:widowControl/>
        <w:numPr>
          <w:ilvl w:val="1"/>
          <w:numId w:val="6"/>
        </w:numPr>
        <w:spacing w:before="120" w:after="120"/>
        <w:textAlignment w:val="auto"/>
        <w:rPr>
          <w:rStyle w:val="61"/>
          <w:rFonts w:ascii="Verdana" w:hAnsi="Verdana" w:eastAsia="Ecofont_Spranq_eco_Sans,Lohit H"/>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pPr>
        <w:pStyle w:val="73"/>
        <w:keepNext w:val="0"/>
        <w:widowControl/>
        <w:numPr>
          <w:ilvl w:val="1"/>
          <w:numId w:val="6"/>
        </w:numPr>
        <w:spacing w:before="120" w:after="120"/>
        <w:textAlignment w:val="auto"/>
        <w:rPr>
          <w:rFonts w:ascii="Verdana" w:hAnsi="Verdana" w:cs="Arial"/>
          <w:color w:val="FF0000"/>
          <w:szCs w:val="20"/>
        </w:rPr>
      </w:pPr>
      <w:r>
        <w:rPr>
          <w:rFonts w:ascii="Verdana" w:hAnsi="Verdana" w:cs="Arial"/>
          <w:szCs w:val="20"/>
        </w:rPr>
        <w:t>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hAnsi="Verdana" w:eastAsia="Arial" w:cs="Arial"/>
          <w:szCs w:val="20"/>
          <w:highlight w:val="yellow"/>
        </w:rPr>
        <w:t xml:space="preserve"> </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III-A – Planilha Orçamentária;</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aplicado na planilha orçamentária (Anexo III-A) percentual(is) de desconto(s) diferente(s) do valor do lance final proposto;</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Quando o licitante não conseguir comprovar que possui ou possuirá recursos suficientes para executar a contento o objeto, será considerada inexequível a proposta de preços ou menor lance que:</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O exame da inexequibilidade observará a fórmula prevista no art. 48, §§ 1º e 2º, da Lei nº 8.666, de 1993.</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pPr>
        <w:pStyle w:val="73"/>
        <w:keepNext w:val="0"/>
        <w:widowControl/>
        <w:numPr>
          <w:ilvl w:val="2"/>
          <w:numId w:val="6"/>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lang w:eastAsia="en-US"/>
        </w:rPr>
        <w:t xml:space="preserve">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pPr>
        <w:pStyle w:val="73"/>
        <w:keepNext w:val="0"/>
        <w:widowControl/>
        <w:numPr>
          <w:ilvl w:val="1"/>
          <w:numId w:val="6"/>
        </w:numPr>
        <w:spacing w:before="120" w:after="120"/>
        <w:textAlignment w:val="auto"/>
        <w:rPr>
          <w:rFonts w:ascii="Verdana" w:hAnsi="Verdana" w:eastAsia="Times New Roman"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pPr>
        <w:pStyle w:val="73"/>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73"/>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indicação de recolhimento de impostos e contribuições na forma do Simples Nacional, quando não cabível esse regime.</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SICAF;</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0"/>
          <w:rFonts w:ascii="Verdana" w:hAnsi="Verdana" w:cs="Arial"/>
          <w:sz w:val="18"/>
          <w:szCs w:val="18"/>
          <w:lang w:eastAsia="ar-SA"/>
        </w:rPr>
        <w:t>www.portaldatransparencia.gov.br/ceis</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0"/>
          <w:rFonts w:ascii="Verdana" w:hAnsi="Verdana" w:cs="Arial"/>
          <w:sz w:val="18"/>
          <w:szCs w:val="18"/>
          <w:lang w:eastAsia="ar-SA"/>
        </w:rPr>
        <w:t>www.cnj.jus.br/improbidade_adm/consultar_requerido.php</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“9.1.2”, “9.1.3” e “9.1.4” acima pela Consulta Consolidada de Pessoa Jurídica do TCU (</w:t>
      </w:r>
      <w:r>
        <w:fldChar w:fldCharType="begin"/>
      </w:r>
      <w:r>
        <w:instrText xml:space="preserve"> HYPERLINK "https://certidoesapf.apps.tcu.gov.br/" </w:instrText>
      </w:r>
      <w:r>
        <w:fldChar w:fldCharType="separate"/>
      </w:r>
      <w:r>
        <w:rPr>
          <w:rStyle w:val="10"/>
          <w:rFonts w:ascii="Verdana" w:hAnsi="Verdana" w:cs="Arial"/>
          <w:szCs w:val="20"/>
          <w:lang w:eastAsia="ar-SA"/>
        </w:rPr>
        <w:t>https://certidoesapf.apps.tcu.gov.br/</w:t>
      </w:r>
      <w:r>
        <w:rPr>
          <w:rStyle w:val="10"/>
          <w:rFonts w:ascii="Verdana" w:hAnsi="Verdana" w:cs="Arial"/>
          <w:szCs w:val="20"/>
          <w:lang w:eastAsia="ar-SA"/>
        </w:rPr>
        <w:fldChar w:fldCharType="end"/>
      </w:r>
      <w:r>
        <w:rPr>
          <w:rFonts w:ascii="Verdana" w:hAnsi="Verdana" w:cs="Arial"/>
          <w:szCs w:val="20"/>
          <w:lang w:eastAsia="ar-SA"/>
        </w:rPr>
        <w:t>).</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e financeira, conforme o disposto na Instrução Normativa SEGES/MP nº 03, de 2018</w:t>
      </w:r>
      <w:r>
        <w:rPr>
          <w:rFonts w:ascii="Verdana" w:hAnsi="Verdana" w:cs="Arial"/>
          <w:szCs w:val="20"/>
        </w:rPr>
        <w:t>;</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bookmarkStart w:id="5" w:name="_Hlk88838545"/>
      <w:r>
        <w:rPr>
          <w:rFonts w:ascii="Verdana" w:hAnsi="Verdana" w:cs="Arial"/>
          <w:b/>
          <w:szCs w:val="20"/>
        </w:rPr>
        <w:t>HABILITAÇÃO JURÍDICA, REGULARIDADE FISCAL E QUALIFICAÇÃO ECÔNOMICA</w:t>
      </w:r>
      <w:bookmarkEnd w:id="5"/>
      <w:r>
        <w:rPr>
          <w:rFonts w:ascii="Verdana" w:hAnsi="Verdana" w:cs="Arial"/>
          <w:b/>
          <w:szCs w:val="20"/>
        </w:rPr>
        <w:t xml:space="preserve"> E FINANCEIRA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Ressalvado o disposto no item 5.3, os licitantes deverão encaminhar, nos termos deste Edital, a documentação relacionada nos itens a seguir.</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hAnsi="Verdana" w:eastAsia="Times New Roman" w:cs="Arial"/>
          <w:b/>
          <w:color w:val="000000"/>
          <w:szCs w:val="20"/>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73"/>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pPr>
        <w:pStyle w:val="73"/>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23"/>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552" w:type="dxa"/>
        </w:trPr>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552" w:type="dxa"/>
        </w:trPr>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73"/>
        <w:numPr>
          <w:ilvl w:val="3"/>
          <w:numId w:val="6"/>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pPr>
        <w:pStyle w:val="73"/>
        <w:spacing w:before="120" w:after="120"/>
        <w:ind w:left="785" w:firstLine="0"/>
        <w:rPr>
          <w:rFonts w:ascii="Verdana" w:hAnsi="Verdana" w:cs="Arial"/>
          <w:color w:val="000000" w:themeColor="text1"/>
          <w:szCs w:val="20"/>
        </w:rPr>
      </w:pPr>
    </w:p>
    <w:p>
      <w:pPr>
        <w:pStyle w:val="73"/>
        <w:numPr>
          <w:ilvl w:val="0"/>
          <w:numId w:val="6"/>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hAnsi="Verdana" w:cs="Calibri" w:eastAsiaTheme="minorHAnsi"/>
          <w:szCs w:val="20"/>
          <w:lang w:eastAsia="en-US"/>
        </w:rPr>
        <w:t>Os critérios de qualificação técnica a serem atendidos pela Licitante, estão previstos no subitem 19.3 do Termo de Referência (Anexo I).</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sz w:val="18"/>
          <w:szCs w:val="18"/>
        </w:rPr>
        <w:t xml:space="preserve">– O acervo técnico de uma pessoa jurídica variará em função da alteração do acervo do seu quadro de profissionais e consultores (§ único do art. 4º da Resolução 317/86 do CONFEA); </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 deste edital;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 ou a declaração de não vistoria (Anexo VII);</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VIII do edital;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apresentar a planilha de orçamento de preços do </w:t>
      </w:r>
      <w:r>
        <w:rPr>
          <w:rFonts w:hint="default" w:ascii="Verdana" w:hAnsi="Verdana" w:cs="Arial"/>
          <w:sz w:val="18"/>
          <w:szCs w:val="18"/>
          <w:lang w:val="pt-BR"/>
        </w:rPr>
        <w:t>item e subitens</w:t>
      </w:r>
      <w:r>
        <w:rPr>
          <w:rFonts w:ascii="Verdana" w:hAnsi="Verdana" w:cs="Arial"/>
          <w:sz w:val="18"/>
          <w:szCs w:val="18"/>
        </w:rPr>
        <w:t>, devidamente ajustada ao lance vencedor, em conformidade com os modelos do anexo III a este instrumento convocatório (Planilha Resumo, de Orçamento e Cronograma);</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valor do percentual do lance vencedor, para se obter o valor monetário proposto;</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o valor do percentual do lance final proposto deverá incidir igualmente sobre todos os preços unitários com BDI apurados pela Administração, não sendo admitida a incidência de valor diferente deste percentual.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Ocorrendo divergência entre os preços unitários e o preço global, prevalecerão os primeiros; no caso de divergência entre os valores numéricos e os valores expressos por extenso, prevalecerão estes últimos.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pPr>
        <w:pStyle w:val="64"/>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pPr>
        <w:pStyle w:val="64"/>
        <w:keepNext w:val="0"/>
        <w:numPr>
          <w:ilvl w:val="0"/>
          <w:numId w:val="8"/>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pPr>
        <w:pStyle w:val="73"/>
        <w:keepNext w:val="0"/>
        <w:widowControl/>
        <w:numPr>
          <w:ilvl w:val="1"/>
          <w:numId w:val="8"/>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73"/>
        <w:keepNext w:val="0"/>
        <w:widowControl/>
        <w:numPr>
          <w:ilvl w:val="1"/>
          <w:numId w:val="8"/>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73"/>
        <w:keepNext w:val="0"/>
        <w:widowControl/>
        <w:numPr>
          <w:ilvl w:val="1"/>
          <w:numId w:val="8"/>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73"/>
        <w:keepNext w:val="0"/>
        <w:widowControl/>
        <w:numPr>
          <w:ilvl w:val="1"/>
          <w:numId w:val="8"/>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pPr>
        <w:pStyle w:val="73"/>
        <w:keepNext w:val="0"/>
        <w:widowControl/>
        <w:numPr>
          <w:ilvl w:val="1"/>
          <w:numId w:val="8"/>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pPr>
        <w:pStyle w:val="73"/>
        <w:keepNext w:val="0"/>
        <w:widowControl/>
        <w:spacing w:before="120" w:after="120"/>
        <w:ind w:left="425" w:firstLine="0"/>
        <w:rPr>
          <w:rFonts w:ascii="Verdana" w:hAnsi="Verdana" w:cs="Arial"/>
          <w:szCs w:val="20"/>
        </w:rPr>
      </w:pPr>
    </w:p>
    <w:p>
      <w:pPr>
        <w:pStyle w:val="73"/>
        <w:keepNext w:val="0"/>
        <w:widowControl/>
        <w:numPr>
          <w:ilvl w:val="0"/>
          <w:numId w:val="8"/>
        </w:numPr>
        <w:spacing w:before="120" w:after="120"/>
        <w:rPr>
          <w:rFonts w:ascii="Verdana" w:hAnsi="Verdana" w:cs="Arial"/>
          <w:b/>
          <w:szCs w:val="20"/>
        </w:rPr>
      </w:pPr>
      <w:r>
        <w:rPr>
          <w:rFonts w:ascii="Verdana" w:hAnsi="Verdana" w:cs="Arial"/>
          <w:b/>
          <w:szCs w:val="20"/>
        </w:rPr>
        <w:t>DA REABERTURA DA SESSÃO PÚBLICA</w:t>
      </w:r>
    </w:p>
    <w:p>
      <w:pPr>
        <w:pStyle w:val="73"/>
        <w:keepNext w:val="0"/>
        <w:widowControl/>
        <w:numPr>
          <w:ilvl w:val="1"/>
          <w:numId w:val="8"/>
        </w:numPr>
        <w:spacing w:before="120" w:after="120"/>
        <w:ind w:left="851" w:hanging="425"/>
        <w:rPr>
          <w:rFonts w:ascii="Verdana" w:hAnsi="Verdana" w:cs="Arial"/>
          <w:szCs w:val="20"/>
        </w:rPr>
      </w:pPr>
      <w:r>
        <w:rPr>
          <w:rFonts w:ascii="Verdana" w:hAnsi="Verdana" w:cs="Arial"/>
          <w:szCs w:val="20"/>
        </w:rPr>
        <w:t>A sessão pública poderá ser reaberta:</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3"/>
        <w:keepNext w:val="0"/>
        <w:widowControl/>
        <w:numPr>
          <w:ilvl w:val="2"/>
          <w:numId w:val="8"/>
        </w:numPr>
        <w:spacing w:before="120" w:after="120"/>
        <w:rPr>
          <w:rFonts w:ascii="Verdana" w:hAnsi="Verdana" w:cs="Arial"/>
          <w:szCs w:val="20"/>
        </w:rPr>
      </w:pPr>
      <w:r>
        <w:rPr>
          <w:rFonts w:ascii="Verdana" w:hAnsi="Verdana" w:cs="Arial"/>
          <w:sz w:val="18"/>
          <w:szCs w:val="18"/>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pPr>
        <w:pStyle w:val="73"/>
        <w:keepNext w:val="0"/>
        <w:widowControl/>
        <w:numPr>
          <w:ilvl w:val="1"/>
          <w:numId w:val="8"/>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pPr>
        <w:pStyle w:val="73"/>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pPr>
        <w:pStyle w:val="73"/>
        <w:keepNext w:val="0"/>
        <w:ind w:left="567" w:firstLine="0"/>
        <w:rPr>
          <w:rFonts w:ascii="Verdana" w:hAnsi="Verdana" w:cs="Arial"/>
          <w:szCs w:val="20"/>
        </w:rPr>
      </w:pPr>
    </w:p>
    <w:p>
      <w:pPr>
        <w:pStyle w:val="73"/>
        <w:keepNext w:val="0"/>
        <w:widowControl/>
        <w:numPr>
          <w:ilvl w:val="0"/>
          <w:numId w:val="8"/>
        </w:numPr>
        <w:spacing w:before="120" w:after="120"/>
        <w:rPr>
          <w:rFonts w:ascii="Verdana" w:hAnsi="Verdana" w:cs="Arial"/>
          <w:szCs w:val="20"/>
        </w:rPr>
      </w:pPr>
      <w:r>
        <w:rPr>
          <w:rFonts w:ascii="Verdana" w:hAnsi="Verdana" w:cs="Arial"/>
          <w:b/>
          <w:color w:val="000000"/>
          <w:szCs w:val="20"/>
        </w:rPr>
        <w:t>DA ADJUDICAÇÃO E HOMOLOGAÇÃO</w:t>
      </w:r>
    </w:p>
    <w:p>
      <w:pPr>
        <w:pStyle w:val="73"/>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73"/>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pPr>
        <w:pStyle w:val="73"/>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pPr>
        <w:pStyle w:val="73"/>
        <w:keepNext w:val="0"/>
        <w:widowControl/>
        <w:numPr>
          <w:ilvl w:val="0"/>
          <w:numId w:val="8"/>
        </w:numPr>
        <w:spacing w:before="120" w:after="120"/>
        <w:rPr>
          <w:rFonts w:ascii="Verdana" w:hAnsi="Verdana" w:cs="Arial"/>
          <w:szCs w:val="20"/>
        </w:rPr>
      </w:pPr>
      <w:r>
        <w:rPr>
          <w:rFonts w:ascii="Verdana" w:hAnsi="Verdana" w:cs="Arial"/>
          <w:b/>
          <w:szCs w:val="20"/>
        </w:rPr>
        <w:t>DA GARANTIA DE EXECUÇÃO</w:t>
      </w:r>
    </w:p>
    <w:p>
      <w:pPr>
        <w:pStyle w:val="64"/>
        <w:keepNext w:val="0"/>
        <w:numPr>
          <w:ilvl w:val="0"/>
          <w:numId w:val="9"/>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pPr>
        <w:pStyle w:val="73"/>
        <w:keepNext w:val="0"/>
        <w:ind w:firstLine="0"/>
        <w:rPr>
          <w:rFonts w:ascii="Verdana" w:hAnsi="Verdana" w:cs="Arial"/>
          <w:bCs/>
          <w:iCs/>
          <w:color w:val="000000"/>
          <w:szCs w:val="20"/>
        </w:rPr>
      </w:pPr>
    </w:p>
    <w:p>
      <w:pPr>
        <w:pStyle w:val="73"/>
        <w:keepNext w:val="0"/>
        <w:widowControl/>
        <w:numPr>
          <w:ilvl w:val="0"/>
          <w:numId w:val="10"/>
        </w:numPr>
        <w:spacing w:before="120" w:after="120"/>
        <w:rPr>
          <w:rFonts w:ascii="Verdana" w:hAnsi="Verdana" w:cs="Arial"/>
          <w:szCs w:val="20"/>
        </w:rPr>
      </w:pPr>
      <w:r>
        <w:rPr>
          <w:rFonts w:ascii="Verdana" w:hAnsi="Verdana" w:cs="Arial"/>
          <w:b/>
          <w:color w:val="000000"/>
          <w:szCs w:val="20"/>
        </w:rPr>
        <w:t>DO TERMO DE CONTRATO OU INSTRUMENTO EQUIVALENTE</w:t>
      </w:r>
    </w:p>
    <w:p>
      <w:pPr>
        <w:pStyle w:val="73"/>
        <w:keepNext w:val="0"/>
        <w:widowControl/>
        <w:numPr>
          <w:ilvl w:val="1"/>
          <w:numId w:val="10"/>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hAnsi="Verdana" w:eastAsia="Arial" w:cs="Arial"/>
          <w:szCs w:val="20"/>
        </w:rPr>
        <w:t xml:space="preserve"> </w:t>
      </w:r>
      <w:r>
        <w:rPr>
          <w:rFonts w:ascii="Verdana" w:hAnsi="Verdana" w:cs="Arial"/>
          <w:szCs w:val="20"/>
        </w:rPr>
        <w:t>será firmado o Termo de Contrato com a empresa licitante vencedora.</w:t>
      </w:r>
    </w:p>
    <w:p>
      <w:pPr>
        <w:keepNext w:val="0"/>
        <w:numPr>
          <w:ilvl w:val="1"/>
          <w:numId w:val="10"/>
        </w:numPr>
        <w:shd w:val="clear" w:color="auto" w:fill="auto"/>
        <w:tabs>
          <w:tab w:val="left" w:pos="1440"/>
          <w:tab w:val="clear" w:pos="708"/>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pPr>
        <w:keepNext w:val="0"/>
        <w:numPr>
          <w:ilvl w:val="2"/>
          <w:numId w:val="10"/>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pPr>
        <w:keepNext w:val="0"/>
        <w:numPr>
          <w:ilvl w:val="2"/>
          <w:numId w:val="10"/>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pPr>
        <w:keepNext w:val="0"/>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pPr>
        <w:keepNext w:val="0"/>
        <w:numPr>
          <w:ilvl w:val="1"/>
          <w:numId w:val="10"/>
        </w:numPr>
        <w:shd w:val="clear" w:color="auto" w:fill="auto"/>
        <w:tabs>
          <w:tab w:val="left" w:pos="1440"/>
          <w:tab w:val="clear" w:pos="708"/>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pPr>
        <w:keepNext w:val="0"/>
        <w:numPr>
          <w:ilvl w:val="2"/>
          <w:numId w:val="10"/>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pPr>
        <w:keepNext w:val="0"/>
        <w:numPr>
          <w:ilvl w:val="2"/>
          <w:numId w:val="10"/>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pPr>
        <w:keepNext w:val="0"/>
        <w:numPr>
          <w:ilvl w:val="2"/>
          <w:numId w:val="10"/>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pPr>
        <w:pStyle w:val="94"/>
        <w:numPr>
          <w:ilvl w:val="1"/>
          <w:numId w:val="10"/>
        </w:numPr>
        <w:spacing w:before="120" w:after="120"/>
        <w:ind w:left="851" w:hanging="425"/>
        <w:jc w:val="both"/>
        <w:rPr>
          <w:rFonts w:ascii="Verdana" w:hAnsi="Verdana" w:cs="Arial"/>
          <w:iCs/>
          <w:sz w:val="18"/>
          <w:szCs w:val="18"/>
        </w:rPr>
      </w:pPr>
      <w:r>
        <w:rPr>
          <w:rFonts w:ascii="Verdana" w:hAnsi="Verdana" w:eastAsia="Arial" w:cs="Arial"/>
          <w:color w:val="000000"/>
          <w:sz w:val="20"/>
          <w:szCs w:val="20"/>
        </w:rPr>
        <w:t>O prazo de vigência da contratação será superior ao de execução dos serviços, que no caso é de 06 (seis) meses.</w:t>
      </w:r>
    </w:p>
    <w:p>
      <w:pPr>
        <w:pStyle w:val="94"/>
        <w:numPr>
          <w:ilvl w:val="1"/>
          <w:numId w:val="10"/>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94"/>
        <w:numPr>
          <w:ilvl w:val="2"/>
          <w:numId w:val="10"/>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pPr>
        <w:pStyle w:val="94"/>
        <w:numPr>
          <w:ilvl w:val="2"/>
          <w:numId w:val="10"/>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pPr>
        <w:pStyle w:val="94"/>
        <w:ind w:left="1134"/>
        <w:jc w:val="both"/>
        <w:rPr>
          <w:rFonts w:ascii="Verdana" w:hAnsi="Verdana" w:cs="Arial"/>
          <w:iCs/>
          <w:sz w:val="20"/>
          <w:szCs w:val="20"/>
        </w:rPr>
      </w:pPr>
    </w:p>
    <w:p>
      <w:pPr>
        <w:pStyle w:val="94"/>
        <w:numPr>
          <w:ilvl w:val="1"/>
          <w:numId w:val="10"/>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pPr>
        <w:pStyle w:val="94"/>
        <w:ind w:left="1134"/>
        <w:jc w:val="both"/>
        <w:rPr>
          <w:rFonts w:ascii="Verdana" w:hAnsi="Verdana" w:cs="Arial"/>
          <w:iCs/>
          <w:sz w:val="20"/>
          <w:szCs w:val="20"/>
        </w:rPr>
      </w:pPr>
    </w:p>
    <w:p>
      <w:pPr>
        <w:pStyle w:val="64"/>
        <w:keepNext w:val="0"/>
        <w:numPr>
          <w:ilvl w:val="1"/>
          <w:numId w:val="10"/>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hAnsi="Verdana" w:eastAsia="Arial" w:cs="Arial"/>
          <w:color w:val="000000"/>
          <w:sz w:val="20"/>
          <w:szCs w:val="20"/>
        </w:rPr>
        <w:t>.</w:t>
      </w:r>
    </w:p>
    <w:p>
      <w:pPr>
        <w:pStyle w:val="73"/>
        <w:keepNext w:val="0"/>
        <w:ind w:left="567" w:firstLine="0"/>
        <w:rPr>
          <w:rFonts w:ascii="Verdana" w:hAnsi="Verdana" w:cs="Arial"/>
          <w:szCs w:val="20"/>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1"/>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73"/>
        <w:keepNext w:val="0"/>
        <w:numPr>
          <w:ilvl w:val="0"/>
          <w:numId w:val="11"/>
        </w:numPr>
        <w:rPr>
          <w:rFonts w:ascii="Verdana" w:hAnsi="Verdana" w:cs="Arial"/>
          <w:szCs w:val="20"/>
        </w:rPr>
      </w:pPr>
      <w:r>
        <w:rPr>
          <w:rFonts w:ascii="Verdana" w:hAnsi="Verdana" w:cs="Arial"/>
          <w:b/>
          <w:color w:val="000000"/>
          <w:szCs w:val="20"/>
        </w:rPr>
        <w:t>DO REAJUSTAMENTO EM SENTIDO GERAL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pPr>
        <w:pStyle w:val="102"/>
        <w:numPr>
          <w:ilvl w:val="0"/>
          <w:numId w:val="11"/>
        </w:numPr>
        <w:rPr>
          <w:rFonts w:ascii="Verdana" w:hAnsi="Verdana" w:cs="Arial"/>
          <w:sz w:val="20"/>
          <w:szCs w:val="20"/>
        </w:rPr>
      </w:pPr>
      <w:r>
        <w:rPr>
          <w:rFonts w:ascii="Verdana" w:hAnsi="Verdana" w:cs="Arial"/>
          <w:sz w:val="20"/>
          <w:szCs w:val="20"/>
        </w:rPr>
        <w:t>DA ACEITAÇÃO DO OBJETO E DA FISCALIZAÇÃO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pPr>
        <w:pStyle w:val="73"/>
        <w:keepNext w:val="0"/>
        <w:ind w:left="567" w:firstLine="0"/>
        <w:rPr>
          <w:rFonts w:ascii="Verdana" w:hAnsi="Verdana" w:cs="Arial"/>
          <w:szCs w:val="20"/>
        </w:rPr>
      </w:pPr>
    </w:p>
    <w:p>
      <w:pPr>
        <w:pStyle w:val="73"/>
        <w:keepNext w:val="0"/>
        <w:numPr>
          <w:ilvl w:val="0"/>
          <w:numId w:val="11"/>
        </w:numPr>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pPr>
        <w:pStyle w:val="73"/>
        <w:keepNext w:val="0"/>
        <w:ind w:left="567" w:firstLine="0"/>
        <w:rPr>
          <w:rFonts w:ascii="Verdana" w:hAnsi="Verdana" w:cs="Arial"/>
          <w:szCs w:val="20"/>
        </w:rPr>
      </w:pPr>
    </w:p>
    <w:p>
      <w:pPr>
        <w:pStyle w:val="73"/>
        <w:keepNext w:val="0"/>
        <w:numPr>
          <w:ilvl w:val="0"/>
          <w:numId w:val="11"/>
        </w:numPr>
        <w:rPr>
          <w:rFonts w:ascii="Verdana" w:hAnsi="Verdana" w:cs="Arial"/>
          <w:szCs w:val="20"/>
        </w:rPr>
      </w:pPr>
      <w:r>
        <w:rPr>
          <w:rFonts w:ascii="Verdana" w:hAnsi="Verdana" w:cs="Arial"/>
          <w:b/>
          <w:color w:val="000000"/>
          <w:szCs w:val="20"/>
        </w:rPr>
        <w:t>DO PAGAMENTO</w:t>
      </w:r>
    </w:p>
    <w:p>
      <w:pPr>
        <w:pStyle w:val="73"/>
        <w:keepNext w:val="0"/>
        <w:widowControl/>
        <w:numPr>
          <w:ilvl w:val="1"/>
          <w:numId w:val="11"/>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hAnsi="Verdana" w:eastAsia="Arial" w:cs="Arial"/>
          <w:color w:val="000000"/>
          <w:szCs w:val="20"/>
        </w:rPr>
        <w:t xml:space="preserve"> acerca</w:t>
      </w:r>
      <w:r>
        <w:rPr>
          <w:rFonts w:ascii="Verdana" w:hAnsi="Verdana" w:cs="Arial"/>
          <w:color w:val="000000"/>
          <w:szCs w:val="20"/>
        </w:rPr>
        <w:t xml:space="preserve"> do pagamento são as estabelecidas no Termo de Referência, anexo a este Edital.</w:t>
      </w:r>
    </w:p>
    <w:p>
      <w:pPr>
        <w:pStyle w:val="73"/>
        <w:keepNext w:val="0"/>
        <w:widowControl/>
        <w:numPr>
          <w:ilvl w:val="1"/>
          <w:numId w:val="11"/>
        </w:numPr>
        <w:shd w:val="clear" w:color="auto" w:fill="auto"/>
        <w:spacing w:before="120" w:after="120"/>
        <w:ind w:left="851" w:hanging="426"/>
        <w:textAlignment w:val="auto"/>
        <w:rPr>
          <w:rFonts w:ascii="Verdana" w:hAnsi="Verdana" w:cs="Arial"/>
          <w:szCs w:val="20"/>
        </w:rPr>
      </w:pPr>
      <w:r>
        <w:rPr>
          <w:rStyle w:val="61"/>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pPr>
        <w:pStyle w:val="73"/>
        <w:keepNext w:val="0"/>
        <w:ind w:left="660" w:firstLine="0"/>
        <w:rPr>
          <w:rFonts w:ascii="Verdana" w:hAnsi="Verdana" w:cs="Arial"/>
          <w:szCs w:val="20"/>
        </w:rPr>
      </w:pPr>
    </w:p>
    <w:p>
      <w:pPr>
        <w:pStyle w:val="73"/>
        <w:keepNext w:val="0"/>
        <w:numPr>
          <w:ilvl w:val="0"/>
          <w:numId w:val="11"/>
        </w:numPr>
        <w:rPr>
          <w:rFonts w:ascii="Verdana" w:hAnsi="Verdana" w:cs="Arial"/>
          <w:szCs w:val="20"/>
        </w:rPr>
      </w:pPr>
      <w:r>
        <w:rPr>
          <w:rFonts w:ascii="Verdana" w:hAnsi="Verdana" w:cs="Arial"/>
          <w:b/>
          <w:color w:val="000000"/>
          <w:szCs w:val="20"/>
        </w:rPr>
        <w:t>DAS SANÇÕES ADMINISTRATIVAS DURANTE A LICITAÇÃO.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pPr>
        <w:pStyle w:val="64"/>
        <w:numPr>
          <w:ilvl w:val="2"/>
          <w:numId w:val="11"/>
        </w:numPr>
        <w:ind w:left="1134" w:hanging="567"/>
        <w:rPr>
          <w:rFonts w:ascii="Verdana" w:hAnsi="Verdana" w:eastAsia="WenQuanYi Micro Hei" w:cs="Arial"/>
          <w:color w:val="auto"/>
          <w:sz w:val="18"/>
          <w:szCs w:val="18"/>
          <w:lang w:eastAsia="zh-CN" w:bidi="hi-IN"/>
        </w:rPr>
      </w:pPr>
      <w:r>
        <w:rPr>
          <w:rFonts w:ascii="Verdana" w:hAnsi="Verdana" w:eastAsia="WenQuanYi Micro Hei" w:cs="Arial"/>
          <w:color w:val="auto"/>
          <w:sz w:val="18"/>
          <w:szCs w:val="18"/>
          <w:lang w:eastAsia="zh-CN" w:bidi="hi-IN"/>
        </w:rPr>
        <w:t>não assinar a ata de registro de preços, quando cabível;</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hAnsi="Verdana" w:eastAsia="Times New Roman" w:cs="Arial"/>
          <w:sz w:val="18"/>
          <w:szCs w:val="18"/>
          <w:shd w:val="clear" w:color="auto" w:fill="FFFFFF"/>
        </w:rPr>
        <w:t>;</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hAnsi="Verdana" w:eastAsia="Times New Roman" w:cs="Arial"/>
          <w:sz w:val="18"/>
          <w:szCs w:val="18"/>
          <w:shd w:val="clear" w:color="auto" w:fill="FFFFFF"/>
        </w:rPr>
        <w:t>;</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hAnsi="Verdana" w:eastAsia="Times New Roman" w:cs="Arial"/>
          <w:sz w:val="18"/>
          <w:szCs w:val="18"/>
          <w:shd w:val="clear" w:color="auto" w:fill="FFFFFF"/>
        </w:rPr>
        <w:t>;</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pPr>
        <w:pStyle w:val="73"/>
        <w:keepNext w:val="0"/>
        <w:widowControl/>
        <w:numPr>
          <w:ilvl w:val="2"/>
          <w:numId w:val="11"/>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pPr>
        <w:pStyle w:val="73"/>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pPr>
        <w:pStyle w:val="73"/>
        <w:keepNext w:val="0"/>
        <w:widowControl/>
        <w:spacing w:before="120" w:after="120"/>
        <w:ind w:left="660" w:firstLine="0"/>
        <w:rPr>
          <w:rFonts w:ascii="Verdana" w:hAnsi="Verdana" w:cs="Arial"/>
          <w:szCs w:val="20"/>
        </w:rPr>
      </w:pPr>
    </w:p>
    <w:p>
      <w:pPr>
        <w:pStyle w:val="73"/>
        <w:keepNext w:val="0"/>
        <w:widowControl/>
        <w:numPr>
          <w:ilvl w:val="0"/>
          <w:numId w:val="11"/>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r>
        <w:rPr>
          <w:rFonts w:ascii="Verdana" w:hAnsi="Verdana" w:eastAsia="Times New Roman" w:cs="Arial"/>
          <w:szCs w:val="20"/>
        </w:rPr>
        <w:t>cpl@id.uff.br,</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pPr>
        <w:pStyle w:val="64"/>
        <w:keepNext w:val="0"/>
        <w:numPr>
          <w:ilvl w:val="1"/>
          <w:numId w:val="11"/>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r>
        <w:rPr>
          <w:rFonts w:ascii="Verdana" w:hAnsi="Verdana" w:cs="Arial"/>
          <w:sz w:val="20"/>
          <w:szCs w:val="20"/>
        </w:rPr>
        <w:t xml:space="preserve"> </w:t>
      </w:r>
      <w:r>
        <w:rPr>
          <w:rFonts w:ascii="Verdana" w:hAnsi="Verdana" w:cs="Arial"/>
          <w:color w:val="000000"/>
          <w:sz w:val="20"/>
          <w:szCs w:val="20"/>
        </w:rPr>
        <w:t>.</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pPr>
        <w:pStyle w:val="64"/>
        <w:keepNext w:val="0"/>
        <w:numPr>
          <w:ilvl w:val="2"/>
          <w:numId w:val="11"/>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pPr>
        <w:pStyle w:val="73"/>
        <w:keepNext w:val="0"/>
        <w:widowControl/>
        <w:spacing w:before="120" w:after="120"/>
        <w:ind w:left="425" w:firstLine="0"/>
        <w:rPr>
          <w:rFonts w:ascii="Verdana" w:hAnsi="Verdana" w:cs="Arial"/>
          <w:b/>
          <w:szCs w:val="20"/>
        </w:rPr>
      </w:pPr>
    </w:p>
    <w:p>
      <w:pPr>
        <w:pStyle w:val="73"/>
        <w:keepNext w:val="0"/>
        <w:widowControl/>
        <w:numPr>
          <w:ilvl w:val="0"/>
          <w:numId w:val="11"/>
        </w:numPr>
        <w:spacing w:before="120" w:after="120"/>
        <w:ind w:left="426" w:hanging="426"/>
        <w:rPr>
          <w:rFonts w:ascii="Verdana" w:hAnsi="Verdana" w:cs="Arial"/>
          <w:b/>
          <w:szCs w:val="20"/>
        </w:rPr>
      </w:pPr>
      <w:r>
        <w:rPr>
          <w:rFonts w:ascii="Verdana" w:hAnsi="Verdana" w:cs="Arial"/>
          <w:b/>
          <w:color w:val="000000"/>
          <w:szCs w:val="20"/>
        </w:rPr>
        <w:t>DAS DISPOSIÇÕES GERAIS</w:t>
      </w:r>
    </w:p>
    <w:p>
      <w:pPr>
        <w:pStyle w:val="94"/>
        <w:numPr>
          <w:ilvl w:val="1"/>
          <w:numId w:val="11"/>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 Edital está disponibilizado, na íntegra, no endereço eletrônico </w:t>
      </w:r>
      <w:r>
        <w:rPr>
          <w:rFonts w:ascii="Verdana" w:hAnsi="Verdana" w:cs="Arial"/>
          <w:szCs w:val="20"/>
        </w:rPr>
        <w:t>comprasgovernamentais.gov.br</w:t>
      </w:r>
      <w:r>
        <w:rPr>
          <w:rFonts w:ascii="Verdana" w:hAnsi="Verdana" w:cs="Arial"/>
          <w:color w:val="000000"/>
          <w:szCs w:val="20"/>
        </w:rPr>
        <w:t xml:space="preserve">, e </w:t>
      </w:r>
      <w:r>
        <w:rPr>
          <w:rFonts w:ascii="Verdana" w:hAnsi="Verdana" w:cs="Arial"/>
          <w:szCs w:val="20"/>
        </w:rPr>
        <w:t xml:space="preserve">também poderão ser lidos e/ou obtidos no endereço </w:t>
      </w:r>
      <w:r>
        <w:rPr>
          <w:rFonts w:ascii="Verdana" w:hAnsi="Verdana" w:eastAsia="Times New Roman" w:cs="Arial"/>
          <w:szCs w:val="20"/>
        </w:rPr>
        <w:t>Rua Miguel de Frias n.º 09, 1º andar, sala da Coordenação de Licitação, Niterói-RJ</w:t>
      </w:r>
      <w:r>
        <w:rPr>
          <w:rFonts w:ascii="Verdana" w:hAnsi="Verdana" w:cs="Arial"/>
          <w:szCs w:val="20"/>
        </w:rPr>
        <w:t>, nos dias úteis, no horário</w:t>
      </w:r>
      <w:r>
        <w:rPr>
          <w:rFonts w:ascii="Verdana" w:hAnsi="Verdana" w:cs="Arial"/>
          <w:color w:val="000000"/>
          <w:szCs w:val="20"/>
        </w:rPr>
        <w:t xml:space="preserve"> das 09:00 horas às 17:00 horas, mesmo endereço e período no qual os autos do processo administrativo permanecerão com vista franqueada aos interessados.</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 – Termo de Referência;</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II – Descrição dos serviços;</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 xml:space="preserve">Anexo III-A – Planilha Resumo do Orçamento </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III-B - Planilha de Orçamento;</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III-C – Cronograma Físico e Financeiro;</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IV - Modelo de planilha de Composição de BDI;</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V – Modelo da Carta de Apresentação da Proposta;</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VI – Modelo de Declaração de Vistoria;</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VII – Modelo de Declaração de não realização de Vistoria;</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VIII - Modelo de Declaração de Responsabilidade;</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IX - Minuta de Termo de Contrato; e</w:t>
      </w:r>
    </w:p>
    <w:p>
      <w:pPr>
        <w:pStyle w:val="73"/>
        <w:keepNext w:val="0"/>
        <w:numPr>
          <w:ilvl w:val="2"/>
          <w:numId w:val="11"/>
        </w:numPr>
        <w:ind w:left="1134" w:hanging="567"/>
        <w:rPr>
          <w:rFonts w:ascii="Verdana" w:hAnsi="Verdana" w:cs="Arial"/>
          <w:sz w:val="18"/>
          <w:szCs w:val="18"/>
        </w:rPr>
      </w:pPr>
      <w:r>
        <w:rPr>
          <w:rFonts w:ascii="Verdana" w:hAnsi="Verdana" w:cs="Arial"/>
          <w:color w:val="000000"/>
          <w:sz w:val="18"/>
          <w:szCs w:val="18"/>
        </w:rPr>
        <w:t>Anexo X – Projetos.</w:t>
      </w:r>
    </w:p>
    <w:p>
      <w:pPr>
        <w:pStyle w:val="73"/>
        <w:keepNext w:val="0"/>
        <w:jc w:val="center"/>
        <w:rPr>
          <w:rFonts w:ascii="Verdana" w:hAnsi="Verdana" w:cs="Arial"/>
          <w:color w:val="000000"/>
          <w:sz w:val="18"/>
          <w:szCs w:val="18"/>
        </w:rPr>
      </w:pPr>
    </w:p>
    <w:p>
      <w:pPr>
        <w:pStyle w:val="73"/>
        <w:keepNext w:val="0"/>
        <w:jc w:val="center"/>
        <w:rPr>
          <w:rFonts w:ascii="Verdana" w:hAnsi="Verdana" w:cs="Arial"/>
          <w:sz w:val="18"/>
          <w:szCs w:val="18"/>
        </w:rPr>
      </w:pPr>
      <w:r>
        <w:rPr>
          <w:rFonts w:ascii="Verdana" w:hAnsi="Verdana" w:cs="Arial"/>
          <w:color w:val="000000"/>
          <w:sz w:val="18"/>
          <w:szCs w:val="18"/>
        </w:rPr>
        <w:t>Niterói, 14 de março de 2022.</w:t>
      </w:r>
    </w:p>
    <w:p>
      <w:pPr>
        <w:pStyle w:val="73"/>
        <w:keepNext w:val="0"/>
        <w:rPr>
          <w:rFonts w:ascii="Verdana" w:hAnsi="Verdana" w:cs="Arial"/>
          <w:sz w:val="18"/>
          <w:szCs w:val="18"/>
        </w:rPr>
      </w:pPr>
    </w:p>
    <w:p>
      <w:pPr>
        <w:jc w:val="center"/>
      </w:pPr>
      <w:r>
        <w:rPr>
          <w:rFonts w:ascii="Verdana" w:hAnsi="Verdana" w:cs="Arial"/>
          <w:szCs w:val="20"/>
        </w:rPr>
        <w:t>______________________</w:t>
      </w:r>
    </w:p>
    <w:p>
      <w:pPr>
        <w:jc w:val="center"/>
        <w:rPr>
          <w:rFonts w:ascii="Verdana" w:hAnsi="Verdana" w:cs="Arial"/>
          <w:sz w:val="16"/>
          <w:szCs w:val="16"/>
        </w:rPr>
      </w:pPr>
      <w:r>
        <w:rPr>
          <w:rFonts w:ascii="Verdana" w:hAnsi="Verdana" w:cs="Arial"/>
          <w:sz w:val="16"/>
          <w:szCs w:val="16"/>
        </w:rPr>
        <w:t>Coordena</w:t>
      </w:r>
      <w:r>
        <w:rPr>
          <w:rFonts w:hint="default" w:ascii="Verdana" w:hAnsi="Verdana" w:cs="Arial"/>
          <w:sz w:val="16"/>
          <w:szCs w:val="16"/>
          <w:lang w:val="pt-BR"/>
        </w:rPr>
        <w:t>ção</w:t>
      </w:r>
      <w:r>
        <w:rPr>
          <w:rFonts w:ascii="Verdana" w:hAnsi="Verdana" w:cs="Arial"/>
          <w:sz w:val="16"/>
          <w:szCs w:val="16"/>
        </w:rPr>
        <w:t xml:space="preserve"> de Licitação/CLi</w:t>
      </w:r>
    </w:p>
    <w:p>
      <w:pPr>
        <w:jc w:val="center"/>
        <w:rPr>
          <w:rFonts w:ascii="Verdana" w:hAnsi="Verdana" w:cs="Arial"/>
          <w:sz w:val="16"/>
          <w:szCs w:val="16"/>
        </w:rPr>
      </w:pPr>
      <w:r>
        <w:rPr>
          <w:rFonts w:ascii="Verdana" w:hAnsi="Verdana" w:cs="Arial"/>
          <w:sz w:val="16"/>
          <w:szCs w:val="16"/>
        </w:rPr>
        <w:t>Pró-Reitoria de Administração/PROAD</w:t>
      </w:r>
    </w:p>
    <w:p>
      <w:pPr>
        <w:jc w:val="center"/>
        <w:rPr>
          <w:rFonts w:ascii="Verdana" w:hAnsi="Verdana" w:cs="Arial"/>
          <w:sz w:val="16"/>
          <w:szCs w:val="16"/>
        </w:rPr>
      </w:pPr>
      <w:r>
        <w:rPr>
          <w:rFonts w:ascii="Verdana" w:hAnsi="Verdana" w:cs="Arial"/>
          <w:sz w:val="16"/>
          <w:szCs w:val="16"/>
        </w:rPr>
        <w:t>Universidade Federal Fluminense</w:t>
      </w:r>
    </w:p>
    <w:p>
      <w:pPr>
        <w:jc w:val="center"/>
        <w:rPr>
          <w:rFonts w:eastAsia="WenQuanYi Micro Hei" w:cs="Lohit Hindi"/>
          <w:color w:val="auto"/>
          <w:sz w:val="16"/>
          <w:szCs w:val="16"/>
          <w:lang w:eastAsia="zh-CN" w:bidi="hi-IN"/>
        </w:rPr>
      </w:pPr>
    </w:p>
    <w:sectPr>
      <w:headerReference r:id="rId3" w:type="default"/>
      <w:footerReference r:id="rId4" w:type="default"/>
      <w:pgSz w:w="11906" w:h="16838"/>
      <w:pgMar w:top="958" w:right="1134" w:bottom="1276" w:left="1531" w:header="425" w:footer="312"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Ecofont_Spranq_eco_Sans">
    <w:altName w:val="Malgun Gothic"/>
    <w:panose1 w:val="00000000000000000000"/>
    <w:charset w:val="00"/>
    <w:family w:val="roman"/>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WenQuanYi Micro Hei">
    <w:altName w:val="SimSun"/>
    <w:panose1 w:val="00000000000000000000"/>
    <w:charset w:val="86"/>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Mangal">
    <w:panose1 w:val="02040503050203030202"/>
    <w:charset w:val="00"/>
    <w:family w:val="roman"/>
    <w:pitch w:val="default"/>
    <w:sig w:usb0="00008003" w:usb1="00000000" w:usb2="00000000" w:usb3="00000000" w:csb0="00000001" w:csb1="00000000"/>
  </w:font>
  <w:font w:name="Liberation Serif">
    <w:panose1 w:val="02020603050405020304"/>
    <w:charset w:val="00"/>
    <w:family w:val="roman"/>
    <w:pitch w:val="default"/>
    <w:sig w:usb0="E0000AFF" w:usb1="500078FF" w:usb2="00000021" w:usb3="00000000" w:csb0="600001BF" w:csb1="DFF7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Verdana">
    <w:panose1 w:val="020B0604030504040204"/>
    <w:charset w:val="00"/>
    <w:family w:val="swiss"/>
    <w:pitch w:val="default"/>
    <w:sig w:usb0="A10006FF" w:usb1="4000205B" w:usb2="00000010" w:usb3="00000000" w:csb0="2000019F" w:csb1="00000000"/>
  </w:font>
  <w:font w:name="Zurich BT">
    <w:altName w:val="Segoe Print"/>
    <w:panose1 w:val="00000000000000000000"/>
    <w:charset w:val="00"/>
    <w:family w:val="roman"/>
    <w:pitch w:val="default"/>
    <w:sig w:usb0="00000000" w:usb1="00000000" w:usb2="00000000" w:usb3="00000000" w:csb0="00000000" w:csb1="0000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MS Mincho"/>
    <w:panose1 w:val="00000000000000000000"/>
    <w:charset w:val="80"/>
    <w:family w:val="auto"/>
    <w:pitch w:val="default"/>
    <w:sig w:usb0="00000000" w:usb1="00000000" w:usb2="00000010" w:usb3="00000000" w:csb0="00020000" w:csb1="00000000"/>
  </w:font>
  <w:font w:name="Ecofont_Spranq_eco_Sans,Lohit H">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rPr>
            <w:rFonts w:ascii="Verdana" w:hAnsi="Verdana"/>
            <w:sz w:val="16"/>
            <w:szCs w:val="16"/>
          </w:rPr>
        </w:sdtEndPr>
        <w:sdtContent>
          <w:p>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pPr>
      <w:pStyle w:val="19"/>
      <w:keepNext w:val="0"/>
    </w:pPr>
    <w:r>
      <w:t>___________________________________________________________________________</w:t>
    </w:r>
  </w:p>
  <w:p>
    <w:pPr>
      <w:pStyle w:val="19"/>
      <w:keepNext w:val="0"/>
      <w:rPr>
        <w:sz w:val="12"/>
        <w:szCs w:val="12"/>
      </w:rPr>
    </w:pPr>
    <w:r>
      <w:rPr>
        <w:sz w:val="12"/>
        <w:szCs w:val="12"/>
      </w:rPr>
      <w:t>Câmara Nacional de Modelos de Licitações e Contratos da Consultoria-Geral da União</w:t>
    </w:r>
  </w:p>
  <w:p>
    <w:pPr>
      <w:pStyle w:val="19"/>
      <w:keepNext w:val="0"/>
      <w:rPr>
        <w:sz w:val="12"/>
        <w:szCs w:val="12"/>
      </w:rPr>
    </w:pPr>
    <w:r>
      <w:rPr>
        <w:sz w:val="12"/>
        <w:szCs w:val="12"/>
      </w:rPr>
      <w:t>Edital modelo para Pregão Eletrônico: Serviços Comuns de engenharia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Verdana" w:hAnsi="Verdana"/>
        <w:sz w:val="14"/>
        <w:szCs w:val="14"/>
      </w:rPr>
    </w:pPr>
    <w:r>
      <w:rPr>
        <w:rFonts w:ascii="Verdana" w:hAnsi="Verdana"/>
        <w:sz w:val="14"/>
        <w:szCs w:val="14"/>
      </w:rPr>
      <w:t>Fls:_______</w:t>
    </w:r>
  </w:p>
  <w:p>
    <w:pPr>
      <w:pStyle w:val="17"/>
      <w:jc w:val="right"/>
      <w:rPr>
        <w:rFonts w:ascii="Verdana" w:hAnsi="Verdana"/>
        <w:sz w:val="14"/>
        <w:szCs w:val="14"/>
      </w:rPr>
    </w:pPr>
    <w:r>
      <w:rPr>
        <w:rFonts w:ascii="Verdana" w:hAnsi="Verdana"/>
        <w:sz w:val="14"/>
        <w:szCs w:val="14"/>
      </w:rPr>
      <w:t>Processo n.º 23069.159760/2020-95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2367722C"/>
    <w:multiLevelType w:val="multilevel"/>
    <w:tmpl w:val="2367722C"/>
    <w:lvl w:ilvl="0" w:tentative="0">
      <w:start w:val="12"/>
      <w:numFmt w:val="decimal"/>
      <w:lvlText w:val="%1."/>
      <w:lvlJc w:val="left"/>
      <w:pPr>
        <w:ind w:left="0" w:firstLine="0"/>
      </w:pPr>
      <w:rPr>
        <w:rFonts w:hint="default"/>
        <w:b/>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346250F7"/>
    <w:multiLevelType w:val="multilevel"/>
    <w:tmpl w:val="346250F7"/>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decimal"/>
      <w:lvlText w:val="%1.%2.%3"/>
      <w:lvlJc w:val="left"/>
      <w:pPr>
        <w:ind w:left="1712" w:hanging="72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3">
    <w:nsid w:val="34665CEB"/>
    <w:multiLevelType w:val="multilevel"/>
    <w:tmpl w:val="34665CEB"/>
    <w:lvl w:ilvl="0" w:tentative="0">
      <w:start w:val="13"/>
      <w:numFmt w:val="decimal"/>
      <w:lvlText w:val="%1."/>
      <w:lvlJc w:val="left"/>
      <w:pPr>
        <w:ind w:left="0" w:firstLine="0"/>
      </w:pPr>
      <w:rPr>
        <w:rFonts w:hint="default"/>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37516B2C"/>
    <w:multiLevelType w:val="multilevel"/>
    <w:tmpl w:val="37516B2C"/>
    <w:lvl w:ilvl="0" w:tentative="0">
      <w:start w:val="1"/>
      <w:numFmt w:val="decimal"/>
      <w:lvlText w:val="%1."/>
      <w:lvlJc w:val="left"/>
      <w:pPr>
        <w:ind w:left="360" w:hanging="360"/>
      </w:pPr>
      <w:rPr>
        <w:b/>
        <w:sz w:val="20"/>
        <w:szCs w:val="20"/>
      </w:rPr>
    </w:lvl>
    <w:lvl w:ilvl="1" w:tentative="0">
      <w:start w:val="1"/>
      <w:numFmt w:val="decimal"/>
      <w:lvlText w:val="%1.%2."/>
      <w:lvlJc w:val="left"/>
      <w:pPr>
        <w:ind w:left="792" w:hanging="432"/>
      </w:pPr>
      <w:rPr>
        <w:b w:val="0"/>
        <w:i w:val="0"/>
        <w:color w:val="auto"/>
      </w:rPr>
    </w:lvl>
    <w:lvl w:ilvl="2" w:tentative="0">
      <w:start w:val="1"/>
      <w:numFmt w:val="decimal"/>
      <w:lvlText w:val="%1.%2.%3."/>
      <w:lvlJc w:val="left"/>
      <w:pPr>
        <w:ind w:left="1224" w:hanging="504"/>
      </w:pPr>
      <w:rPr>
        <w:b w:val="0"/>
        <w:color w:val="auto"/>
      </w:rPr>
    </w:lvl>
    <w:lvl w:ilvl="3" w:tentative="0">
      <w:start w:val="1"/>
      <w:numFmt w:val="decimal"/>
      <w:lvlText w:val="%1.%2.%3.%4."/>
      <w:lvlJc w:val="left"/>
      <w:pPr>
        <w:ind w:left="1728" w:hanging="648"/>
      </w:pPr>
      <w:rPr>
        <w:color w:val="auto"/>
      </w:rPr>
    </w:lvl>
    <w:lvl w:ilvl="4" w:tentative="0">
      <w:start w:val="1"/>
      <w:numFmt w:val="decimal"/>
      <w:lvlText w:val="%1.%2.%3.%4.%5."/>
      <w:lvlJc w:val="left"/>
      <w:pPr>
        <w:ind w:left="2232" w:hanging="792"/>
      </w:pPr>
      <w:rPr>
        <w:color w:val="auto"/>
      </w:rPr>
    </w:lvl>
    <w:lvl w:ilvl="5" w:tentative="0">
      <w:start w:val="1"/>
      <w:numFmt w:val="decimal"/>
      <w:lvlText w:val="%1.%2.%3.%4.%5.%6."/>
      <w:lvlJc w:val="left"/>
      <w:pPr>
        <w:ind w:left="2736" w:hanging="936"/>
      </w:pPr>
      <w:rPr>
        <w:color w:val="auto"/>
      </w:rPr>
    </w:lvl>
    <w:lvl w:ilvl="6" w:tentative="0">
      <w:start w:val="1"/>
      <w:numFmt w:val="decimal"/>
      <w:lvlText w:val="%1.%2.%3.%4.%5.%6.%7."/>
      <w:lvlJc w:val="left"/>
      <w:pPr>
        <w:ind w:left="3240" w:hanging="1080"/>
      </w:pPr>
      <w:rPr>
        <w:color w:val="auto"/>
      </w:rPr>
    </w:lvl>
    <w:lvl w:ilvl="7" w:tentative="0">
      <w:start w:val="1"/>
      <w:numFmt w:val="decimal"/>
      <w:lvlText w:val="%1.%2.%3.%4.%5.%6.%7.%8."/>
      <w:lvlJc w:val="left"/>
      <w:pPr>
        <w:ind w:left="3744" w:hanging="1224"/>
      </w:pPr>
      <w:rPr>
        <w:color w:val="auto"/>
      </w:rPr>
    </w:lvl>
    <w:lvl w:ilvl="8" w:tentative="0">
      <w:start w:val="1"/>
      <w:numFmt w:val="decimal"/>
      <w:lvlText w:val="%1.%2.%3.%4.%5.%6.%7.%8.%9."/>
      <w:lvlJc w:val="left"/>
      <w:pPr>
        <w:ind w:left="4320" w:hanging="1440"/>
      </w:pPr>
      <w:rPr>
        <w:color w:val="auto"/>
      </w:rPr>
    </w:lvl>
  </w:abstractNum>
  <w:abstractNum w:abstractNumId="5">
    <w:nsid w:val="43CF13EB"/>
    <w:multiLevelType w:val="multilevel"/>
    <w:tmpl w:val="43CF13EB"/>
    <w:lvl w:ilvl="0" w:tentative="0">
      <w:start w:val="12"/>
      <w:numFmt w:val="decimal"/>
      <w:lvlText w:val="%1."/>
      <w:lvlJc w:val="left"/>
      <w:pPr>
        <w:ind w:left="660" w:hanging="660"/>
      </w:pPr>
      <w:rPr>
        <w:rFonts w:hint="default"/>
        <w:b/>
      </w:rPr>
    </w:lvl>
    <w:lvl w:ilvl="1" w:tentative="0">
      <w:start w:val="1"/>
      <w:numFmt w:val="decimal"/>
      <w:lvlText w:val="%1.%2."/>
      <w:lvlJc w:val="left"/>
      <w:pPr>
        <w:ind w:left="1085" w:hanging="660"/>
      </w:pPr>
      <w:rPr>
        <w:rFonts w:hint="default"/>
      </w:rPr>
    </w:lvl>
    <w:lvl w:ilvl="2" w:tentative="0">
      <w:start w:val="1"/>
      <w:numFmt w:val="decimal"/>
      <w:lvlText w:val="%1.%2.%3."/>
      <w:lvlJc w:val="left"/>
      <w:pPr>
        <w:ind w:left="1570" w:hanging="720"/>
      </w:pPr>
      <w:rPr>
        <w:rFonts w:hint="default"/>
      </w:rPr>
    </w:lvl>
    <w:lvl w:ilvl="3" w:tentative="0">
      <w:start w:val="1"/>
      <w:numFmt w:val="decimal"/>
      <w:lvlText w:val="%1.%2.%3.%4."/>
      <w:lvlJc w:val="left"/>
      <w:pPr>
        <w:ind w:left="1995" w:hanging="720"/>
      </w:pPr>
      <w:rPr>
        <w:rFonts w:hint="default"/>
      </w:rPr>
    </w:lvl>
    <w:lvl w:ilvl="4" w:tentative="0">
      <w:start w:val="1"/>
      <w:numFmt w:val="decimal"/>
      <w:lvlText w:val="%1.%2.%3.%4.%5."/>
      <w:lvlJc w:val="left"/>
      <w:pPr>
        <w:ind w:left="2780" w:hanging="1080"/>
      </w:pPr>
      <w:rPr>
        <w:rFonts w:hint="default"/>
      </w:rPr>
    </w:lvl>
    <w:lvl w:ilvl="5" w:tentative="0">
      <w:start w:val="1"/>
      <w:numFmt w:val="decimal"/>
      <w:lvlText w:val="%1.%2.%3.%4.%5.%6."/>
      <w:lvlJc w:val="left"/>
      <w:pPr>
        <w:ind w:left="3205" w:hanging="1080"/>
      </w:pPr>
      <w:rPr>
        <w:rFonts w:hint="default"/>
      </w:rPr>
    </w:lvl>
    <w:lvl w:ilvl="6" w:tentative="0">
      <w:start w:val="1"/>
      <w:numFmt w:val="decimal"/>
      <w:lvlText w:val="%1.%2.%3.%4.%5.%6.%7."/>
      <w:lvlJc w:val="left"/>
      <w:pPr>
        <w:ind w:left="3990" w:hanging="1440"/>
      </w:pPr>
      <w:rPr>
        <w:rFonts w:hint="default"/>
      </w:rPr>
    </w:lvl>
    <w:lvl w:ilvl="7" w:tentative="0">
      <w:start w:val="1"/>
      <w:numFmt w:val="decimal"/>
      <w:lvlText w:val="%1.%2.%3.%4.%5.%6.%7.%8."/>
      <w:lvlJc w:val="left"/>
      <w:pPr>
        <w:ind w:left="4415" w:hanging="1440"/>
      </w:pPr>
      <w:rPr>
        <w:rFonts w:hint="default"/>
      </w:rPr>
    </w:lvl>
    <w:lvl w:ilvl="8" w:tentative="0">
      <w:start w:val="1"/>
      <w:numFmt w:val="decimal"/>
      <w:lvlText w:val="%1.%2.%3.%4.%5.%6.%7.%8.%9."/>
      <w:lvlJc w:val="left"/>
      <w:pPr>
        <w:ind w:left="5200" w:hanging="1800"/>
      </w:pPr>
      <w:rPr>
        <w:rFonts w:hint="default"/>
      </w:rPr>
    </w:lvl>
  </w:abstractNum>
  <w:abstractNum w:abstractNumId="6">
    <w:nsid w:val="58C70088"/>
    <w:multiLevelType w:val="multilevel"/>
    <w:tmpl w:val="58C70088"/>
    <w:lvl w:ilvl="0" w:tentative="0">
      <w:start w:val="1"/>
      <w:numFmt w:val="decimal"/>
      <w:pStyle w:val="79"/>
      <w:lvlText w:val="%1."/>
      <w:lvlJc w:val="left"/>
      <w:pPr>
        <w:ind w:left="502" w:hanging="360"/>
      </w:pPr>
      <w:rPr>
        <w:b/>
        <w:i w:val="0"/>
        <w:strike w:val="0"/>
        <w:dstrike w:val="0"/>
      </w:rPr>
    </w:lvl>
    <w:lvl w:ilvl="1" w:tentative="0">
      <w:start w:val="1"/>
      <w:numFmt w:val="decimal"/>
      <w:pStyle w:val="78"/>
      <w:lvlText w:val="%1.%2."/>
      <w:lvlJc w:val="left"/>
      <w:pPr>
        <w:ind w:left="858" w:hanging="432"/>
      </w:pPr>
      <w:rPr>
        <w:b w:val="0"/>
        <w:strike w:val="0"/>
      </w:rPr>
    </w:lvl>
    <w:lvl w:ilvl="2" w:tentative="0">
      <w:start w:val="1"/>
      <w:numFmt w:val="decimal"/>
      <w:pStyle w:val="80"/>
      <w:lvlText w:val="%1.%2.%3."/>
      <w:lvlJc w:val="left"/>
      <w:pPr>
        <w:ind w:left="1224" w:hanging="504"/>
      </w:pPr>
      <w:rPr>
        <w:i w:val="0"/>
        <w:strike w:val="0"/>
      </w:rPr>
    </w:lvl>
    <w:lvl w:ilvl="3" w:tentative="0">
      <w:start w:val="1"/>
      <w:numFmt w:val="decimal"/>
      <w:pStyle w:val="81"/>
      <w:lvlText w:val="%1.%2.%3.%4."/>
      <w:lvlJc w:val="left"/>
      <w:pPr>
        <w:ind w:left="1728" w:hanging="648"/>
      </w:pPr>
    </w:lvl>
    <w:lvl w:ilvl="4" w:tentative="0">
      <w:start w:val="1"/>
      <w:numFmt w:val="decimal"/>
      <w:pStyle w:val="8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8">
    <w:nsid w:val="6C2D4641"/>
    <w:multiLevelType w:val="multilevel"/>
    <w:tmpl w:val="6C2D4641"/>
    <w:lvl w:ilvl="0" w:tentative="0">
      <w:start w:val="4"/>
      <w:numFmt w:val="decimal"/>
      <w:lvlText w:val="%1"/>
      <w:lvlJc w:val="left"/>
      <w:pPr>
        <w:ind w:left="405" w:hanging="405"/>
      </w:pPr>
      <w:rPr>
        <w:rFonts w:hint="default"/>
      </w:rPr>
    </w:lvl>
    <w:lvl w:ilvl="1" w:tentative="0">
      <w:start w:val="2"/>
      <w:numFmt w:val="decimal"/>
      <w:lvlText w:val="%1.%2"/>
      <w:lvlJc w:val="left"/>
      <w:pPr>
        <w:ind w:left="1114" w:hanging="405"/>
      </w:pPr>
      <w:rPr>
        <w:rFonts w:hint="default"/>
      </w:rPr>
    </w:lvl>
    <w:lvl w:ilvl="2" w:tentative="0">
      <w:start w:val="1"/>
      <w:numFmt w:val="decimal"/>
      <w:lvlText w:val="%1.%2.%3"/>
      <w:lvlJc w:val="left"/>
      <w:pPr>
        <w:ind w:left="2216" w:hanging="720"/>
      </w:pPr>
      <w:rPr>
        <w:rFonts w:hint="default" w:ascii="Arial" w:hAnsi="Arial" w:cs="Arial"/>
      </w:rPr>
    </w:lvl>
    <w:lvl w:ilvl="3" w:tentative="0">
      <w:start w:val="1"/>
      <w:numFmt w:val="decimal"/>
      <w:lvlText w:val="%1.%2.%3.%4"/>
      <w:lvlJc w:val="left"/>
      <w:pPr>
        <w:ind w:left="2964" w:hanging="720"/>
      </w:pPr>
      <w:rPr>
        <w:rFonts w:hint="default"/>
      </w:rPr>
    </w:lvl>
    <w:lvl w:ilvl="4" w:tentative="0">
      <w:start w:val="1"/>
      <w:numFmt w:val="decimal"/>
      <w:lvlText w:val="%1.%2.%3.%4.%5"/>
      <w:lvlJc w:val="left"/>
      <w:pPr>
        <w:ind w:left="3712" w:hanging="720"/>
      </w:pPr>
      <w:rPr>
        <w:rFonts w:hint="default"/>
      </w:rPr>
    </w:lvl>
    <w:lvl w:ilvl="5" w:tentative="0">
      <w:start w:val="1"/>
      <w:numFmt w:val="decimal"/>
      <w:lvlText w:val="%1.%2.%3.%4.%5.%6"/>
      <w:lvlJc w:val="left"/>
      <w:pPr>
        <w:ind w:left="4820" w:hanging="1080"/>
      </w:pPr>
      <w:rPr>
        <w:rFonts w:hint="default"/>
      </w:rPr>
    </w:lvl>
    <w:lvl w:ilvl="6" w:tentative="0">
      <w:start w:val="1"/>
      <w:numFmt w:val="decimal"/>
      <w:lvlText w:val="%1.%2.%3.%4.%5.%6.%7"/>
      <w:lvlJc w:val="left"/>
      <w:pPr>
        <w:ind w:left="5568" w:hanging="1080"/>
      </w:pPr>
      <w:rPr>
        <w:rFonts w:hint="default"/>
      </w:rPr>
    </w:lvl>
    <w:lvl w:ilvl="7" w:tentative="0">
      <w:start w:val="1"/>
      <w:numFmt w:val="decimal"/>
      <w:lvlText w:val="%1.%2.%3.%4.%5.%6.%7.%8"/>
      <w:lvlJc w:val="left"/>
      <w:pPr>
        <w:ind w:left="6676" w:hanging="1440"/>
      </w:pPr>
      <w:rPr>
        <w:rFonts w:hint="default"/>
      </w:rPr>
    </w:lvl>
    <w:lvl w:ilvl="8" w:tentative="0">
      <w:start w:val="1"/>
      <w:numFmt w:val="decimal"/>
      <w:lvlText w:val="%1.%2.%3.%4.%5.%6.%7.%8.%9"/>
      <w:lvlJc w:val="left"/>
      <w:pPr>
        <w:ind w:left="7424" w:hanging="1440"/>
      </w:pPr>
      <w:rPr>
        <w:rFonts w:hint="default"/>
      </w:rPr>
    </w:lvl>
  </w:abstractNum>
  <w:abstractNum w:abstractNumId="9">
    <w:nsid w:val="7D9624EC"/>
    <w:multiLevelType w:val="multilevel"/>
    <w:tmpl w:val="7D9624EC"/>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color w:val="000000"/>
      </w:rPr>
    </w:lvl>
    <w:lvl w:ilvl="2" w:tentative="0">
      <w:start w:val="1"/>
      <w:numFmt w:val="decimal"/>
      <w:lvlText w:val="%1.%2.%3."/>
      <w:lvlJc w:val="left"/>
      <w:pPr>
        <w:ind w:left="1854" w:hanging="720"/>
      </w:pPr>
      <w:rPr>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0">
    <w:nsid w:val="7E0E2202"/>
    <w:multiLevelType w:val="multilevel"/>
    <w:tmpl w:val="7E0E2202"/>
    <w:lvl w:ilvl="0" w:tentative="0">
      <w:start w:val="16"/>
      <w:numFmt w:val="decimal"/>
      <w:lvlText w:val="%1."/>
      <w:lvlJc w:val="left"/>
      <w:pPr>
        <w:ind w:left="0" w:firstLine="0"/>
      </w:pPr>
      <w:rPr>
        <w:rFonts w:hint="default"/>
        <w:b/>
      </w:rPr>
    </w:lvl>
    <w:lvl w:ilvl="1" w:tentative="0">
      <w:start w:val="1"/>
      <w:numFmt w:val="decimal"/>
      <w:lvlText w:val="%1.%2."/>
      <w:lvlJc w:val="left"/>
      <w:pPr>
        <w:ind w:left="426" w:firstLine="0"/>
      </w:pPr>
      <w:rPr>
        <w:rFonts w:hint="default"/>
        <w:sz w:val="20"/>
        <w:szCs w:val="20"/>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0"/>
  </w:num>
  <w:num w:numId="2">
    <w:abstractNumId w:val="6"/>
  </w:num>
  <w:num w:numId="3">
    <w:abstractNumId w:val="4"/>
  </w:num>
  <w:num w:numId="4">
    <w:abstractNumId w:val="8"/>
  </w:num>
  <w:num w:numId="5">
    <w:abstractNumId w:val="7"/>
  </w:num>
  <w:num w:numId="6">
    <w:abstractNumId w:val="2"/>
  </w:num>
  <w:num w:numId="7">
    <w:abstractNumId w:val="9"/>
  </w:num>
  <w:num w:numId="8">
    <w:abstractNumId w:val="1"/>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9"/>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D00846"/>
    <w:rsid w:val="00000CC9"/>
    <w:rsid w:val="000022E3"/>
    <w:rsid w:val="00003DC8"/>
    <w:rsid w:val="00003F6F"/>
    <w:rsid w:val="00020A23"/>
    <w:rsid w:val="0002173F"/>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91358"/>
    <w:rsid w:val="00092281"/>
    <w:rsid w:val="00094592"/>
    <w:rsid w:val="000B02B7"/>
    <w:rsid w:val="000B2ECB"/>
    <w:rsid w:val="000B79B0"/>
    <w:rsid w:val="000C2DFC"/>
    <w:rsid w:val="000C633E"/>
    <w:rsid w:val="000C78AD"/>
    <w:rsid w:val="000D1118"/>
    <w:rsid w:val="000D2F4F"/>
    <w:rsid w:val="000E0D10"/>
    <w:rsid w:val="000E47C5"/>
    <w:rsid w:val="000E4B2A"/>
    <w:rsid w:val="000F49A5"/>
    <w:rsid w:val="001003C6"/>
    <w:rsid w:val="00112A24"/>
    <w:rsid w:val="00115488"/>
    <w:rsid w:val="001224CC"/>
    <w:rsid w:val="00127D00"/>
    <w:rsid w:val="00131CE1"/>
    <w:rsid w:val="0013270F"/>
    <w:rsid w:val="001375A4"/>
    <w:rsid w:val="001421D5"/>
    <w:rsid w:val="00147D80"/>
    <w:rsid w:val="0015089E"/>
    <w:rsid w:val="001537E3"/>
    <w:rsid w:val="00156910"/>
    <w:rsid w:val="00161EFF"/>
    <w:rsid w:val="001701E5"/>
    <w:rsid w:val="001718F3"/>
    <w:rsid w:val="00186725"/>
    <w:rsid w:val="00195DD6"/>
    <w:rsid w:val="001B64FC"/>
    <w:rsid w:val="001D054A"/>
    <w:rsid w:val="001D2FF2"/>
    <w:rsid w:val="001E00F8"/>
    <w:rsid w:val="001E4BD9"/>
    <w:rsid w:val="001F3184"/>
    <w:rsid w:val="00200969"/>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91491"/>
    <w:rsid w:val="00294347"/>
    <w:rsid w:val="002960BC"/>
    <w:rsid w:val="002A0063"/>
    <w:rsid w:val="002A05D0"/>
    <w:rsid w:val="002A162E"/>
    <w:rsid w:val="002C5B60"/>
    <w:rsid w:val="002C758F"/>
    <w:rsid w:val="002D0E4D"/>
    <w:rsid w:val="002D4952"/>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7DE4"/>
    <w:rsid w:val="003E3732"/>
    <w:rsid w:val="003E5D32"/>
    <w:rsid w:val="003F1687"/>
    <w:rsid w:val="003F39E8"/>
    <w:rsid w:val="004001C8"/>
    <w:rsid w:val="004047E5"/>
    <w:rsid w:val="0040653D"/>
    <w:rsid w:val="00416873"/>
    <w:rsid w:val="00420ED9"/>
    <w:rsid w:val="004238E9"/>
    <w:rsid w:val="00423CFC"/>
    <w:rsid w:val="004408DA"/>
    <w:rsid w:val="00440DB9"/>
    <w:rsid w:val="004432FD"/>
    <w:rsid w:val="0044340A"/>
    <w:rsid w:val="00445448"/>
    <w:rsid w:val="00446E0B"/>
    <w:rsid w:val="00447F9F"/>
    <w:rsid w:val="00447FA8"/>
    <w:rsid w:val="0045174B"/>
    <w:rsid w:val="004534F6"/>
    <w:rsid w:val="00453712"/>
    <w:rsid w:val="00460E8B"/>
    <w:rsid w:val="00464C98"/>
    <w:rsid w:val="00465F78"/>
    <w:rsid w:val="00471933"/>
    <w:rsid w:val="00473109"/>
    <w:rsid w:val="0047346C"/>
    <w:rsid w:val="00481B8F"/>
    <w:rsid w:val="004823EC"/>
    <w:rsid w:val="00483E66"/>
    <w:rsid w:val="0048473A"/>
    <w:rsid w:val="00484D9F"/>
    <w:rsid w:val="00495A10"/>
    <w:rsid w:val="004A5793"/>
    <w:rsid w:val="004B05BE"/>
    <w:rsid w:val="004B6C55"/>
    <w:rsid w:val="004B6CA4"/>
    <w:rsid w:val="004C447A"/>
    <w:rsid w:val="004C65AD"/>
    <w:rsid w:val="004C7DD8"/>
    <w:rsid w:val="004D40E6"/>
    <w:rsid w:val="004D52B0"/>
    <w:rsid w:val="004E063D"/>
    <w:rsid w:val="004E3A5C"/>
    <w:rsid w:val="004E595C"/>
    <w:rsid w:val="004F2265"/>
    <w:rsid w:val="005000A6"/>
    <w:rsid w:val="00503783"/>
    <w:rsid w:val="00510916"/>
    <w:rsid w:val="00511126"/>
    <w:rsid w:val="00512D1A"/>
    <w:rsid w:val="00520B75"/>
    <w:rsid w:val="00522713"/>
    <w:rsid w:val="00524B89"/>
    <w:rsid w:val="0052574A"/>
    <w:rsid w:val="0052759B"/>
    <w:rsid w:val="00530EC4"/>
    <w:rsid w:val="005325C7"/>
    <w:rsid w:val="005472B5"/>
    <w:rsid w:val="005653E2"/>
    <w:rsid w:val="00581604"/>
    <w:rsid w:val="0059196B"/>
    <w:rsid w:val="00596404"/>
    <w:rsid w:val="005B3CD9"/>
    <w:rsid w:val="005B55B2"/>
    <w:rsid w:val="005C3AD0"/>
    <w:rsid w:val="005C555B"/>
    <w:rsid w:val="005D3BC2"/>
    <w:rsid w:val="005E2AE4"/>
    <w:rsid w:val="005E32AA"/>
    <w:rsid w:val="005F2397"/>
    <w:rsid w:val="005F5338"/>
    <w:rsid w:val="005F56B2"/>
    <w:rsid w:val="005F6F2E"/>
    <w:rsid w:val="005F78D2"/>
    <w:rsid w:val="0060190D"/>
    <w:rsid w:val="00604296"/>
    <w:rsid w:val="00611FA3"/>
    <w:rsid w:val="00616CBB"/>
    <w:rsid w:val="0062031E"/>
    <w:rsid w:val="006204FB"/>
    <w:rsid w:val="006213C2"/>
    <w:rsid w:val="00630EFD"/>
    <w:rsid w:val="00635C6A"/>
    <w:rsid w:val="00650692"/>
    <w:rsid w:val="00656EB6"/>
    <w:rsid w:val="00657A30"/>
    <w:rsid w:val="00657CE1"/>
    <w:rsid w:val="00657EF1"/>
    <w:rsid w:val="0066165D"/>
    <w:rsid w:val="0066797A"/>
    <w:rsid w:val="00667AEF"/>
    <w:rsid w:val="00683576"/>
    <w:rsid w:val="00684822"/>
    <w:rsid w:val="0069666A"/>
    <w:rsid w:val="006A56ED"/>
    <w:rsid w:val="006B0F17"/>
    <w:rsid w:val="006B1A5C"/>
    <w:rsid w:val="006B1BFD"/>
    <w:rsid w:val="006B5CC3"/>
    <w:rsid w:val="006B6044"/>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4338"/>
    <w:rsid w:val="007C72AA"/>
    <w:rsid w:val="007D0242"/>
    <w:rsid w:val="007D1B10"/>
    <w:rsid w:val="007D1EA1"/>
    <w:rsid w:val="007D2BF7"/>
    <w:rsid w:val="007D6248"/>
    <w:rsid w:val="007D6BFA"/>
    <w:rsid w:val="007D7EE1"/>
    <w:rsid w:val="007E2177"/>
    <w:rsid w:val="007E239F"/>
    <w:rsid w:val="007F7914"/>
    <w:rsid w:val="007F7D42"/>
    <w:rsid w:val="00801E2B"/>
    <w:rsid w:val="008025B2"/>
    <w:rsid w:val="0081275A"/>
    <w:rsid w:val="008137C2"/>
    <w:rsid w:val="0081399E"/>
    <w:rsid w:val="00813B66"/>
    <w:rsid w:val="008156DF"/>
    <w:rsid w:val="00823EC4"/>
    <w:rsid w:val="00825E6C"/>
    <w:rsid w:val="0082616D"/>
    <w:rsid w:val="008266B6"/>
    <w:rsid w:val="00827FA7"/>
    <w:rsid w:val="008338EF"/>
    <w:rsid w:val="0083656A"/>
    <w:rsid w:val="00840951"/>
    <w:rsid w:val="00842C9B"/>
    <w:rsid w:val="00847300"/>
    <w:rsid w:val="00847EC9"/>
    <w:rsid w:val="00850788"/>
    <w:rsid w:val="0085770D"/>
    <w:rsid w:val="00862B8A"/>
    <w:rsid w:val="00870639"/>
    <w:rsid w:val="00873300"/>
    <w:rsid w:val="00874812"/>
    <w:rsid w:val="008763B6"/>
    <w:rsid w:val="00881364"/>
    <w:rsid w:val="00885E92"/>
    <w:rsid w:val="00890056"/>
    <w:rsid w:val="00892F25"/>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36066"/>
    <w:rsid w:val="009471F3"/>
    <w:rsid w:val="0095178B"/>
    <w:rsid w:val="0095353A"/>
    <w:rsid w:val="00956DD0"/>
    <w:rsid w:val="009627CA"/>
    <w:rsid w:val="00964980"/>
    <w:rsid w:val="00965748"/>
    <w:rsid w:val="009700A4"/>
    <w:rsid w:val="00973804"/>
    <w:rsid w:val="00977174"/>
    <w:rsid w:val="0098026A"/>
    <w:rsid w:val="009809A2"/>
    <w:rsid w:val="009840DF"/>
    <w:rsid w:val="009871CC"/>
    <w:rsid w:val="00993C17"/>
    <w:rsid w:val="009A2C12"/>
    <w:rsid w:val="009A5162"/>
    <w:rsid w:val="009B1F55"/>
    <w:rsid w:val="009B4E79"/>
    <w:rsid w:val="009B59AA"/>
    <w:rsid w:val="009B77AB"/>
    <w:rsid w:val="009B781A"/>
    <w:rsid w:val="009C0766"/>
    <w:rsid w:val="009C2B8A"/>
    <w:rsid w:val="009C4EC5"/>
    <w:rsid w:val="009D2CDE"/>
    <w:rsid w:val="009D5EBA"/>
    <w:rsid w:val="009E6F22"/>
    <w:rsid w:val="009F07ED"/>
    <w:rsid w:val="009F6420"/>
    <w:rsid w:val="00A00FED"/>
    <w:rsid w:val="00A0149C"/>
    <w:rsid w:val="00A01DC1"/>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7B3"/>
    <w:rsid w:val="00A96667"/>
    <w:rsid w:val="00AA2AA4"/>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2342A"/>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E13FA"/>
    <w:rsid w:val="00BE2449"/>
    <w:rsid w:val="00BE5F79"/>
    <w:rsid w:val="00BE7F4C"/>
    <w:rsid w:val="00C01226"/>
    <w:rsid w:val="00C033F4"/>
    <w:rsid w:val="00C0561B"/>
    <w:rsid w:val="00C06917"/>
    <w:rsid w:val="00C17FDA"/>
    <w:rsid w:val="00C22716"/>
    <w:rsid w:val="00C22CC7"/>
    <w:rsid w:val="00C23F17"/>
    <w:rsid w:val="00C30648"/>
    <w:rsid w:val="00C31740"/>
    <w:rsid w:val="00C34869"/>
    <w:rsid w:val="00C35203"/>
    <w:rsid w:val="00C40376"/>
    <w:rsid w:val="00C41722"/>
    <w:rsid w:val="00C43FC5"/>
    <w:rsid w:val="00C45F43"/>
    <w:rsid w:val="00C46991"/>
    <w:rsid w:val="00C50C7B"/>
    <w:rsid w:val="00C53F93"/>
    <w:rsid w:val="00C5707B"/>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CF6B16"/>
    <w:rsid w:val="00D00846"/>
    <w:rsid w:val="00D023D9"/>
    <w:rsid w:val="00D05B89"/>
    <w:rsid w:val="00D06427"/>
    <w:rsid w:val="00D14E39"/>
    <w:rsid w:val="00D157AD"/>
    <w:rsid w:val="00D26C4D"/>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5913"/>
    <w:rsid w:val="00DD60B8"/>
    <w:rsid w:val="00DE0DFB"/>
    <w:rsid w:val="00DE608C"/>
    <w:rsid w:val="00DE772C"/>
    <w:rsid w:val="00DF2542"/>
    <w:rsid w:val="00DF6C2C"/>
    <w:rsid w:val="00E0222E"/>
    <w:rsid w:val="00E046C1"/>
    <w:rsid w:val="00E10948"/>
    <w:rsid w:val="00E11AE7"/>
    <w:rsid w:val="00E14766"/>
    <w:rsid w:val="00E23D01"/>
    <w:rsid w:val="00E25D03"/>
    <w:rsid w:val="00E26628"/>
    <w:rsid w:val="00E3441C"/>
    <w:rsid w:val="00E34B3A"/>
    <w:rsid w:val="00E34D9B"/>
    <w:rsid w:val="00E360E5"/>
    <w:rsid w:val="00E3781E"/>
    <w:rsid w:val="00E403E0"/>
    <w:rsid w:val="00E525E5"/>
    <w:rsid w:val="00E675C7"/>
    <w:rsid w:val="00E723A0"/>
    <w:rsid w:val="00E72627"/>
    <w:rsid w:val="00E802FA"/>
    <w:rsid w:val="00E80A0F"/>
    <w:rsid w:val="00E82130"/>
    <w:rsid w:val="00E83644"/>
    <w:rsid w:val="00E85572"/>
    <w:rsid w:val="00E93103"/>
    <w:rsid w:val="00E94C2B"/>
    <w:rsid w:val="00EA5C4F"/>
    <w:rsid w:val="00EA5D4B"/>
    <w:rsid w:val="00EA79D5"/>
    <w:rsid w:val="00EB2D4E"/>
    <w:rsid w:val="00EB7E76"/>
    <w:rsid w:val="00EC036E"/>
    <w:rsid w:val="00EC4479"/>
    <w:rsid w:val="00EC5B38"/>
    <w:rsid w:val="00EC695E"/>
    <w:rsid w:val="00EE6854"/>
    <w:rsid w:val="00EF3FAE"/>
    <w:rsid w:val="00EF4C77"/>
    <w:rsid w:val="00F06811"/>
    <w:rsid w:val="00F2643D"/>
    <w:rsid w:val="00F265E3"/>
    <w:rsid w:val="00F371C9"/>
    <w:rsid w:val="00F42EE6"/>
    <w:rsid w:val="00F45D1D"/>
    <w:rsid w:val="00F47CC6"/>
    <w:rsid w:val="00F510B3"/>
    <w:rsid w:val="00F5519E"/>
    <w:rsid w:val="00F61072"/>
    <w:rsid w:val="00F61A35"/>
    <w:rsid w:val="00F61AFA"/>
    <w:rsid w:val="00F66D01"/>
    <w:rsid w:val="00F716B7"/>
    <w:rsid w:val="00F71FFD"/>
    <w:rsid w:val="00F808A0"/>
    <w:rsid w:val="00F82A83"/>
    <w:rsid w:val="00F9390C"/>
    <w:rsid w:val="00F96052"/>
    <w:rsid w:val="00F974C2"/>
    <w:rsid w:val="00FA1115"/>
    <w:rsid w:val="00FA5124"/>
    <w:rsid w:val="00FB13C7"/>
    <w:rsid w:val="00FB4721"/>
    <w:rsid w:val="00FC182D"/>
    <w:rsid w:val="00FC2087"/>
    <w:rsid w:val="00FC3CB0"/>
    <w:rsid w:val="00FD0CFA"/>
    <w:rsid w:val="00FD3823"/>
    <w:rsid w:val="00FE3C50"/>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AA53103"/>
    <w:rsid w:val="2B5CB754"/>
    <w:rsid w:val="2CE41E6C"/>
    <w:rsid w:val="2DCCFC28"/>
    <w:rsid w:val="2F7EF4F6"/>
    <w:rsid w:val="31521D13"/>
    <w:rsid w:val="31D431B3"/>
    <w:rsid w:val="322B78EA"/>
    <w:rsid w:val="32EC8777"/>
    <w:rsid w:val="33EDD487"/>
    <w:rsid w:val="3466878E"/>
    <w:rsid w:val="34E5C65A"/>
    <w:rsid w:val="365304A7"/>
    <w:rsid w:val="39DE6FB2"/>
    <w:rsid w:val="3A612B6C"/>
    <w:rsid w:val="3A73173A"/>
    <w:rsid w:val="3C15D3EA"/>
    <w:rsid w:val="3D5415FC"/>
    <w:rsid w:val="3EB07F14"/>
    <w:rsid w:val="3FBE0435"/>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90339FC"/>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qFormat/>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uiPriority w:val="0"/>
    <w:pPr>
      <w:numPr>
        <w:ilvl w:val="0"/>
        <w:numId w:val="1"/>
      </w:numPr>
      <w:tabs>
        <w:tab w:val="left" w:pos="708"/>
      </w:tabs>
      <w:outlineLvl w:val="0"/>
    </w:pPr>
    <w:rPr>
      <w:b/>
      <w:bCs/>
      <w:sz w:val="36"/>
      <w:szCs w:val="36"/>
    </w:rPr>
  </w:style>
  <w:style w:type="paragraph" w:styleId="5">
    <w:name w:val="heading 2"/>
    <w:basedOn w:val="1"/>
    <w:next w:val="4"/>
    <w:qFormat/>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qFormat/>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4"/>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annotation reference"/>
    <w:basedOn w:val="7"/>
    <w:unhideWhenUsed/>
    <w:qFormat/>
    <w:uiPriority w:val="99"/>
    <w:rPr>
      <w:sz w:val="16"/>
      <w:szCs w:val="16"/>
    </w:rPr>
  </w:style>
  <w:style w:type="character" w:styleId="10">
    <w:name w:val="Hyperlink"/>
    <w:basedOn w:val="7"/>
    <w:qFormat/>
    <w:uiPriority w:val="0"/>
    <w:rPr>
      <w:color w:val="0563C1"/>
      <w:u w:val="single"/>
    </w:rPr>
  </w:style>
  <w:style w:type="paragraph" w:styleId="11">
    <w:name w:val="List"/>
    <w:basedOn w:val="4"/>
    <w:qFormat/>
    <w:uiPriority w:val="0"/>
    <w:rPr>
      <w:rFonts w:cs="Lohit Hindi"/>
    </w:rPr>
  </w:style>
  <w:style w:type="paragraph" w:styleId="12">
    <w:name w:val="Body Text"/>
    <w:basedOn w:val="1"/>
    <w:link w:val="77"/>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3">
    <w:name w:val="annotation text"/>
    <w:basedOn w:val="1"/>
    <w:link w:val="76"/>
    <w:unhideWhenUsed/>
    <w:qFormat/>
    <w:uiPriority w:val="99"/>
    <w:rPr>
      <w:sz w:val="20"/>
      <w:szCs w:val="20"/>
    </w:rPr>
  </w:style>
  <w:style w:type="paragraph" w:styleId="14">
    <w:name w:val="List Bullet 5"/>
    <w:basedOn w:val="1"/>
    <w:qFormat/>
    <w:uiPriority w:val="0"/>
  </w:style>
  <w:style w:type="paragraph" w:styleId="15">
    <w:name w:val="Normal (Web)"/>
    <w:basedOn w:val="1"/>
    <w:qFormat/>
    <w:uiPriority w:val="99"/>
    <w:pPr>
      <w:spacing w:before="28" w:after="28"/>
    </w:pPr>
    <w:rPr>
      <w:rFonts w:ascii="Times New Roman" w:hAnsi="Times New Roman" w:cs="Times New Roman"/>
    </w:rPr>
  </w:style>
  <w:style w:type="paragraph" w:styleId="16">
    <w:name w:val="Plain Text"/>
    <w:basedOn w:val="1"/>
    <w:link w:val="104"/>
    <w:semiHidden/>
    <w:unhideWhenUsed/>
    <w:qFormat/>
    <w:uiPriority w:val="99"/>
    <w:pPr>
      <w:keepNext w:val="0"/>
      <w:shd w:val="clear" w:color="auto" w:fill="auto"/>
      <w:tabs>
        <w:tab w:val="clear" w:pos="708"/>
      </w:tabs>
      <w:suppressAutoHyphens w:val="0"/>
      <w:overflowPunct/>
      <w:textAlignment w:val="auto"/>
    </w:pPr>
    <w:rPr>
      <w:rFonts w:ascii="Calibri" w:hAnsi="Calibri" w:eastAsiaTheme="minorHAnsi" w:cstheme="minorBidi"/>
      <w:color w:val="auto"/>
      <w:sz w:val="22"/>
      <w:szCs w:val="21"/>
      <w:lang w:eastAsia="en-US"/>
    </w:rPr>
  </w:style>
  <w:style w:type="paragraph" w:styleId="17">
    <w:name w:val="header"/>
    <w:basedOn w:val="1"/>
    <w:qFormat/>
    <w:uiPriority w:val="0"/>
    <w:pPr>
      <w:suppressLineNumbers/>
      <w:tabs>
        <w:tab w:val="center" w:pos="4252"/>
        <w:tab w:val="right" w:pos="8504"/>
      </w:tabs>
    </w:pPr>
  </w:style>
  <w:style w:type="paragraph" w:styleId="18">
    <w:name w:val="annotation subject"/>
    <w:basedOn w:val="13"/>
    <w:next w:val="13"/>
    <w:link w:val="86"/>
    <w:semiHidden/>
    <w:unhideWhenUsed/>
    <w:qFormat/>
    <w:uiPriority w:val="99"/>
    <w:rPr>
      <w:b/>
      <w:bCs/>
    </w:rPr>
  </w:style>
  <w:style w:type="paragraph" w:styleId="19">
    <w:name w:val="footer"/>
    <w:basedOn w:val="1"/>
    <w:uiPriority w:val="99"/>
    <w:pPr>
      <w:suppressLineNumbers/>
      <w:tabs>
        <w:tab w:val="center" w:pos="4252"/>
        <w:tab w:val="right" w:pos="8504"/>
      </w:tabs>
    </w:pPr>
  </w:style>
  <w:style w:type="paragraph" w:styleId="20">
    <w:name w:val="caption"/>
    <w:basedOn w:val="1"/>
    <w:next w:val="1"/>
    <w:qFormat/>
    <w:uiPriority w:val="0"/>
    <w:pPr>
      <w:suppressLineNumbers/>
      <w:spacing w:before="120" w:after="120"/>
    </w:pPr>
    <w:rPr>
      <w:rFonts w:cs="Lohit Hindi"/>
      <w:i/>
      <w:iCs/>
    </w:rPr>
  </w:style>
  <w:style w:type="paragraph" w:styleId="21">
    <w:name w:val="Balloon Text"/>
    <w:basedOn w:val="1"/>
    <w:qFormat/>
    <w:uiPriority w:val="0"/>
    <w:rPr>
      <w:rFonts w:ascii="Tahoma" w:hAnsi="Tahoma"/>
      <w:sz w:val="16"/>
      <w:szCs w:val="16"/>
    </w:rPr>
  </w:style>
  <w:style w:type="paragraph" w:styleId="22">
    <w:name w:val="Subtitle"/>
    <w:basedOn w:val="3"/>
    <w:next w:val="4"/>
    <w:qFormat/>
    <w:uiPriority w:val="0"/>
    <w:pPr>
      <w:spacing w:before="60"/>
      <w:jc w:val="center"/>
    </w:pPr>
    <w:rPr>
      <w:sz w:val="36"/>
      <w:szCs w:val="3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Texto de balão Char"/>
    <w:qFormat/>
    <w:uiPriority w:val="0"/>
    <w:rPr>
      <w:rFonts w:ascii="Tahoma" w:hAnsi="Tahoma" w:cs="Tahoma"/>
      <w:sz w:val="16"/>
      <w:szCs w:val="16"/>
    </w:rPr>
  </w:style>
  <w:style w:type="character" w:customStyle="1" w:styleId="25">
    <w:name w:val="Título 2 Char"/>
    <w:qFormat/>
    <w:uiPriority w:val="0"/>
    <w:rPr>
      <w:b/>
      <w:color w:val="000000"/>
      <w:sz w:val="24"/>
    </w:rPr>
  </w:style>
  <w:style w:type="character" w:customStyle="1" w:styleId="26">
    <w:name w:val="normal__char1"/>
    <w:qFormat/>
    <w:uiPriority w:val="0"/>
    <w:rPr>
      <w:rFonts w:ascii="Arial" w:hAnsi="Arial" w:cs="Arial"/>
      <w:sz w:val="24"/>
      <w:szCs w:val="24"/>
      <w:u w:val="none"/>
    </w:rPr>
  </w:style>
  <w:style w:type="character" w:customStyle="1" w:styleId="27">
    <w:name w:val="apple-style-span"/>
    <w:basedOn w:val="7"/>
    <w:qFormat/>
    <w:uiPriority w:val="0"/>
  </w:style>
  <w:style w:type="character" w:customStyle="1" w:styleId="28">
    <w:name w:val="Link da Internet"/>
    <w:qFormat/>
    <w:uiPriority w:val="0"/>
    <w:rPr>
      <w:color w:val="000080"/>
      <w:u w:val="single"/>
      <w:lang w:val="en-US" w:eastAsia="en-US" w:bidi="en-US"/>
    </w:rPr>
  </w:style>
  <w:style w:type="character" w:customStyle="1" w:styleId="29">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0">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1">
    <w:name w:val="Cabeçalho Char"/>
    <w:qFormat/>
    <w:uiPriority w:val="0"/>
    <w:rPr>
      <w:rFonts w:ascii="Ecofont_Spranq_eco_Sans" w:hAnsi="Ecofont_Spranq_eco_Sans" w:cs="Tahoma"/>
      <w:sz w:val="24"/>
      <w:szCs w:val="24"/>
    </w:rPr>
  </w:style>
  <w:style w:type="character" w:customStyle="1" w:styleId="32">
    <w:name w:val="Rodapé Char"/>
    <w:qFormat/>
    <w:uiPriority w:val="99"/>
    <w:rPr>
      <w:rFonts w:ascii="Ecofont_Spranq_eco_Sans" w:hAnsi="Ecofont_Spranq_eco_Sans" w:cs="Tahoma"/>
      <w:sz w:val="24"/>
      <w:szCs w:val="24"/>
    </w:rPr>
  </w:style>
  <w:style w:type="character" w:customStyle="1" w:styleId="33">
    <w:name w:val="cp_0020corpodespacho__char1"/>
    <w:qFormat/>
    <w:uiPriority w:val="0"/>
    <w:rPr>
      <w:rFonts w:ascii="Times New Roman" w:hAnsi="Times New Roman" w:cs="Times New Roman"/>
      <w:sz w:val="26"/>
      <w:szCs w:val="26"/>
      <w:u w:val="none"/>
    </w:rPr>
  </w:style>
  <w:style w:type="character" w:customStyle="1" w:styleId="34">
    <w:name w:val="em_0020ementa__char1"/>
    <w:qFormat/>
    <w:uiPriority w:val="0"/>
    <w:rPr>
      <w:rFonts w:ascii="Times New Roman" w:hAnsi="Times New Roman" w:cs="Times New Roman"/>
      <w:sz w:val="28"/>
      <w:szCs w:val="28"/>
      <w:u w:val="none"/>
    </w:rPr>
  </w:style>
  <w:style w:type="character" w:customStyle="1" w:styleId="35">
    <w:name w:val="ListLabel 1"/>
    <w:qFormat/>
    <w:uiPriority w:val="0"/>
    <w:rPr>
      <w:b/>
    </w:rPr>
  </w:style>
  <w:style w:type="character" w:customStyle="1" w:styleId="36">
    <w:name w:val="ListLabel 2"/>
    <w:uiPriority w:val="0"/>
  </w:style>
  <w:style w:type="character" w:customStyle="1" w:styleId="37">
    <w:name w:val="ListLabel 3"/>
    <w:qFormat/>
    <w:uiPriority w:val="0"/>
    <w:rPr>
      <w:rFonts w:eastAsia="Arial Unicode MS"/>
    </w:rPr>
  </w:style>
  <w:style w:type="character" w:customStyle="1" w:styleId="38">
    <w:name w:val="ListLabel 4"/>
    <w:qFormat/>
    <w:uiPriority w:val="0"/>
    <w:rPr>
      <w:rFonts w:cs="Arial"/>
      <w:i/>
      <w:color w:val="FF0000"/>
    </w:rPr>
  </w:style>
  <w:style w:type="character" w:customStyle="1" w:styleId="39">
    <w:name w:val="ListLabel 5"/>
    <w:uiPriority w:val="0"/>
    <w:rPr>
      <w:color w:val="0000FF"/>
    </w:rPr>
  </w:style>
  <w:style w:type="character" w:customStyle="1" w:styleId="40">
    <w:name w:val="ListLabel 6"/>
    <w:qFormat/>
    <w:uiPriority w:val="0"/>
    <w:rPr>
      <w:b/>
    </w:rPr>
  </w:style>
  <w:style w:type="character" w:customStyle="1" w:styleId="41">
    <w:name w:val="ListLabel 7"/>
    <w:uiPriority w:val="0"/>
    <w:rPr>
      <w:b/>
      <w:color w:val="00000A"/>
    </w:rPr>
  </w:style>
  <w:style w:type="character" w:customStyle="1" w:styleId="42">
    <w:name w:val="ListLabel 8"/>
    <w:qFormat/>
    <w:uiPriority w:val="0"/>
  </w:style>
  <w:style w:type="character" w:customStyle="1" w:styleId="43">
    <w:name w:val="ListLabel 9"/>
    <w:qFormat/>
    <w:uiPriority w:val="0"/>
    <w:rPr>
      <w:color w:val="00000A"/>
    </w:rPr>
  </w:style>
  <w:style w:type="character" w:customStyle="1" w:styleId="44">
    <w:name w:val="ListLabel 10"/>
    <w:qFormat/>
    <w:uiPriority w:val="0"/>
    <w:rPr>
      <w:b/>
    </w:rPr>
  </w:style>
  <w:style w:type="character" w:customStyle="1" w:styleId="45">
    <w:name w:val="ListLabel 11"/>
    <w:qFormat/>
    <w:uiPriority w:val="0"/>
  </w:style>
  <w:style w:type="character" w:customStyle="1" w:styleId="46">
    <w:name w:val="ListLabel 12"/>
    <w:qFormat/>
    <w:uiPriority w:val="0"/>
    <w:rPr>
      <w:b/>
    </w:rPr>
  </w:style>
  <w:style w:type="character" w:customStyle="1" w:styleId="47">
    <w:name w:val="ListLabel 13"/>
    <w:qFormat/>
    <w:uiPriority w:val="0"/>
  </w:style>
  <w:style w:type="character" w:customStyle="1" w:styleId="48">
    <w:name w:val="WW_CharLFO2LVL1"/>
    <w:qFormat/>
    <w:uiPriority w:val="0"/>
    <w:rPr>
      <w:b/>
    </w:rPr>
  </w:style>
  <w:style w:type="character" w:customStyle="1" w:styleId="49">
    <w:name w:val="WW_CharLFO2LVL2"/>
    <w:qFormat/>
    <w:uiPriority w:val="0"/>
  </w:style>
  <w:style w:type="character" w:customStyle="1" w:styleId="50">
    <w:name w:val="WW_CharLFO2LVL3"/>
    <w:qFormat/>
    <w:uiPriority w:val="0"/>
  </w:style>
  <w:style w:type="character" w:customStyle="1" w:styleId="51">
    <w:name w:val="WW_CharLFO3LVL1"/>
    <w:qFormat/>
    <w:uiPriority w:val="0"/>
    <w:rPr>
      <w:b/>
    </w:rPr>
  </w:style>
  <w:style w:type="character" w:customStyle="1" w:styleId="52">
    <w:name w:val="WW_CharLFO3LVL2"/>
    <w:qFormat/>
    <w:uiPriority w:val="0"/>
  </w:style>
  <w:style w:type="character" w:customStyle="1" w:styleId="53">
    <w:name w:val="WW_CharLFO3LVL3"/>
    <w:qFormat/>
    <w:uiPriority w:val="0"/>
  </w:style>
  <w:style w:type="character" w:customStyle="1" w:styleId="54">
    <w:name w:val="WW_CharLFO4LVL1"/>
    <w:qFormat/>
    <w:uiPriority w:val="0"/>
    <w:rPr>
      <w:b/>
    </w:rPr>
  </w:style>
  <w:style w:type="character" w:customStyle="1" w:styleId="55">
    <w:name w:val="WW_CharLFO4LVL2"/>
    <w:qFormat/>
    <w:uiPriority w:val="0"/>
  </w:style>
  <w:style w:type="character" w:customStyle="1" w:styleId="56">
    <w:name w:val="WW_CharLFO4LVL3"/>
    <w:qFormat/>
    <w:uiPriority w:val="0"/>
  </w:style>
  <w:style w:type="character" w:customStyle="1" w:styleId="57">
    <w:name w:val="Comment Text Char"/>
    <w:basedOn w:val="7"/>
    <w:qFormat/>
    <w:uiPriority w:val="0"/>
    <w:rPr>
      <w:rFonts w:cs="Mangal"/>
      <w:sz w:val="20"/>
      <w:szCs w:val="18"/>
    </w:rPr>
  </w:style>
  <w:style w:type="character" w:customStyle="1" w:styleId="58">
    <w:name w:val="Comment Reference"/>
    <w:basedOn w:val="7"/>
    <w:qFormat/>
    <w:uiPriority w:val="0"/>
    <w:rPr>
      <w:sz w:val="16"/>
      <w:szCs w:val="16"/>
    </w:rPr>
  </w:style>
  <w:style w:type="character" w:customStyle="1" w:styleId="59">
    <w:name w:val="Quote Char"/>
    <w:basedOn w:val="7"/>
    <w:link w:val="60"/>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0">
    <w:name w:val="Citação1"/>
    <w:basedOn w:val="1"/>
    <w:next w:val="1"/>
    <w:link w:val="59"/>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61">
    <w:name w:val="Manoel"/>
    <w:qFormat/>
    <w:uiPriority w:val="0"/>
    <w:rPr>
      <w:rFonts w:ascii="Arial" w:hAnsi="Arial" w:cs="Arial"/>
      <w:color w:val="7030A0"/>
      <w:sz w:val="20"/>
    </w:rPr>
  </w:style>
  <w:style w:type="paragraph" w:customStyle="1" w:styleId="62">
    <w:name w:val="LO-Normal"/>
    <w:qFormat/>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3">
    <w:name w:val="Índice"/>
    <w:basedOn w:val="1"/>
    <w:qFormat/>
    <w:uiPriority w:val="0"/>
    <w:pPr>
      <w:suppressLineNumbers/>
    </w:pPr>
    <w:rPr>
      <w:rFonts w:cs="Lohit Hindi"/>
    </w:rPr>
  </w:style>
  <w:style w:type="paragraph" w:styleId="64">
    <w:name w:val="List Paragraph"/>
    <w:basedOn w:val="1"/>
    <w:qFormat/>
    <w:uiPriority w:val="34"/>
    <w:pPr>
      <w:tabs>
        <w:tab w:val="left" w:pos="-12"/>
      </w:tabs>
      <w:ind w:left="720"/>
    </w:pPr>
  </w:style>
  <w:style w:type="paragraph" w:customStyle="1" w:styleId="65">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66">
    <w:name w:val="Quote"/>
    <w:basedOn w:val="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paragraph" w:customStyle="1" w:styleId="67">
    <w:name w:val="citação 2"/>
    <w:basedOn w:val="66"/>
    <w:qFormat/>
    <w:uiPriority w:val="0"/>
    <w:rPr>
      <w:szCs w:val="20"/>
    </w:rPr>
  </w:style>
  <w:style w:type="paragraph" w:customStyle="1" w:styleId="68">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69">
    <w:name w:val="Conteúdo da tabela"/>
    <w:basedOn w:val="1"/>
    <w:qFormat/>
    <w:uiPriority w:val="0"/>
    <w:pPr>
      <w:suppressLineNumbers/>
    </w:pPr>
  </w:style>
  <w:style w:type="paragraph" w:customStyle="1" w:styleId="70">
    <w:name w:val="Comment Text"/>
    <w:basedOn w:val="62"/>
    <w:qFormat/>
    <w:uiPriority w:val="0"/>
    <w:rPr>
      <w:rFonts w:cs="Mangal"/>
      <w:sz w:val="20"/>
      <w:szCs w:val="18"/>
    </w:rPr>
  </w:style>
  <w:style w:type="paragraph" w:customStyle="1" w:styleId="71">
    <w:name w:val="Citações"/>
    <w:basedOn w:val="1"/>
    <w:qFormat/>
    <w:uiPriority w:val="0"/>
    <w:pPr>
      <w:spacing w:after="283"/>
      <w:ind w:left="567" w:right="567"/>
    </w:pPr>
  </w:style>
  <w:style w:type="paragraph" w:customStyle="1" w:styleId="72">
    <w:name w:val="Título do documento"/>
    <w:basedOn w:val="3"/>
    <w:next w:val="4"/>
    <w:qFormat/>
    <w:uiPriority w:val="0"/>
    <w:pPr>
      <w:jc w:val="center"/>
    </w:pPr>
    <w:rPr>
      <w:b/>
      <w:bCs/>
      <w:sz w:val="56"/>
      <w:szCs w:val="56"/>
    </w:rPr>
  </w:style>
  <w:style w:type="paragraph" w:customStyle="1" w:styleId="73">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74">
    <w:name w:val="Linha horizontal"/>
    <w:basedOn w:val="1"/>
    <w:next w:val="4"/>
    <w:qFormat/>
    <w:uiPriority w:val="0"/>
    <w:pPr>
      <w:suppressLineNumbers/>
      <w:pBdr>
        <w:bottom w:val="double" w:color="808080" w:sz="2" w:space="0"/>
      </w:pBdr>
      <w:spacing w:after="283"/>
    </w:pPr>
    <w:rPr>
      <w:sz w:val="12"/>
      <w:szCs w:val="12"/>
    </w:rPr>
  </w:style>
  <w:style w:type="paragraph" w:customStyle="1" w:styleId="75">
    <w:name w:val="Título de tabela"/>
    <w:basedOn w:val="69"/>
    <w:qFormat/>
    <w:uiPriority w:val="0"/>
    <w:pPr>
      <w:jc w:val="center"/>
    </w:pPr>
    <w:rPr>
      <w:b/>
      <w:bCs/>
    </w:rPr>
  </w:style>
  <w:style w:type="character" w:customStyle="1" w:styleId="76">
    <w:name w:val="Texto de comentário Char"/>
    <w:basedOn w:val="7"/>
    <w:link w:val="13"/>
    <w:qFormat/>
    <w:uiPriority w:val="99"/>
    <w:rPr>
      <w:rFonts w:ascii="Ecofont_Spranq_eco_Sans" w:hAnsi="Ecofont_Spranq_eco_Sans" w:eastAsia="Times New Roman" w:cs="Tahoma"/>
      <w:color w:val="00000A"/>
      <w:sz w:val="20"/>
      <w:szCs w:val="20"/>
      <w:shd w:val="clear" w:color="auto" w:fill="FFFFFF"/>
      <w:lang w:eastAsia="pt-BR" w:bidi="ar-SA"/>
    </w:rPr>
  </w:style>
  <w:style w:type="character" w:customStyle="1" w:styleId="77">
    <w:name w:val="Corpo de texto Char"/>
    <w:basedOn w:val="7"/>
    <w:link w:val="12"/>
    <w:qFormat/>
    <w:uiPriority w:val="0"/>
    <w:rPr>
      <w:rFonts w:ascii="Times New Roman" w:hAnsi="Times New Roman" w:eastAsia="Arial Unicode MS" w:cs="Times New Roman"/>
      <w:szCs w:val="20"/>
      <w:lang w:eastAsia="pt-BR" w:bidi="ar-SA"/>
    </w:rPr>
  </w:style>
  <w:style w:type="paragraph" w:customStyle="1" w:styleId="78">
    <w:name w:val="Nivel 2"/>
    <w:link w:val="87"/>
    <w:qFormat/>
    <w:uiPriority w:val="0"/>
    <w:pPr>
      <w:numPr>
        <w:ilvl w:val="1"/>
        <w:numId w:val="2"/>
      </w:numPr>
      <w:spacing w:before="120" w:after="120" w:line="276" w:lineRule="auto"/>
      <w:jc w:val="both"/>
      <w:textAlignment w:val="auto"/>
    </w:pPr>
    <w:rPr>
      <w:rFonts w:ascii="Ecofont_Spranq_eco_Sans" w:hAnsi="Ecofont_Spranq_eco_Sans" w:eastAsia="Arial Unicode MS" w:cs="Times New Roman"/>
      <w:sz w:val="20"/>
      <w:szCs w:val="20"/>
      <w:lang w:val="pt-BR" w:eastAsia="pt-BR" w:bidi="ar-SA"/>
    </w:rPr>
  </w:style>
  <w:style w:type="paragraph" w:customStyle="1" w:styleId="79">
    <w:name w:val="Nivel 1"/>
    <w:basedOn w:val="78"/>
    <w:next w:val="78"/>
    <w:qFormat/>
    <w:uiPriority w:val="0"/>
    <w:pPr>
      <w:numPr>
        <w:ilvl w:val="0"/>
      </w:numPr>
    </w:pPr>
    <w:rPr>
      <w:rFonts w:cs="Arial"/>
      <w:b/>
    </w:rPr>
  </w:style>
  <w:style w:type="paragraph" w:customStyle="1" w:styleId="80">
    <w:name w:val="Nivel 3"/>
    <w:basedOn w:val="78"/>
    <w:link w:val="88"/>
    <w:qFormat/>
    <w:uiPriority w:val="0"/>
    <w:pPr>
      <w:numPr>
        <w:ilvl w:val="2"/>
      </w:numPr>
    </w:pPr>
    <w:rPr>
      <w:rFonts w:cs="Arial"/>
      <w:color w:val="000000"/>
    </w:rPr>
  </w:style>
  <w:style w:type="paragraph" w:customStyle="1" w:styleId="81">
    <w:name w:val="Nivel 4"/>
    <w:basedOn w:val="80"/>
    <w:link w:val="83"/>
    <w:qFormat/>
    <w:uiPriority w:val="0"/>
    <w:pPr>
      <w:numPr>
        <w:ilvl w:val="3"/>
      </w:numPr>
    </w:pPr>
    <w:rPr>
      <w:color w:val="auto"/>
    </w:rPr>
  </w:style>
  <w:style w:type="paragraph" w:customStyle="1" w:styleId="82">
    <w:name w:val="Nivel 5"/>
    <w:basedOn w:val="81"/>
    <w:qFormat/>
    <w:uiPriority w:val="0"/>
    <w:pPr>
      <w:numPr>
        <w:ilvl w:val="4"/>
      </w:numPr>
      <w:tabs>
        <w:tab w:val="left" w:pos="360"/>
      </w:tabs>
      <w:ind w:left="2496" w:hanging="1080"/>
    </w:pPr>
  </w:style>
  <w:style w:type="character" w:customStyle="1" w:styleId="83">
    <w:name w:val="Nivel 4 Char"/>
    <w:basedOn w:val="7"/>
    <w:link w:val="81"/>
    <w:uiPriority w:val="0"/>
    <w:rPr>
      <w:rFonts w:ascii="Ecofont_Spranq_eco_Sans" w:hAnsi="Ecofont_Spranq_eco_Sans" w:eastAsia="Arial Unicode MS" w:cs="Arial"/>
      <w:sz w:val="20"/>
      <w:szCs w:val="20"/>
      <w:lang w:eastAsia="pt-BR" w:bidi="ar-SA"/>
    </w:rPr>
  </w:style>
  <w:style w:type="paragraph" w:customStyle="1" w:styleId="84">
    <w:name w:val="Grade Colorida - Ênfase 11"/>
    <w:basedOn w:val="1"/>
    <w:next w:val="1"/>
    <w:link w:val="85"/>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85">
    <w:name w:val="Grade Colorida - Ênfase 1 Char"/>
    <w:link w:val="84"/>
    <w:uiPriority w:val="29"/>
    <w:rPr>
      <w:rFonts w:ascii="Ecofont_Spranq_eco_Sans" w:hAnsi="Ecofont_Spranq_eco_Sans" w:eastAsia="Calibri" w:cs="Tahoma"/>
      <w:i/>
      <w:iCs/>
      <w:color w:val="000000"/>
      <w:sz w:val="20"/>
      <w:shd w:val="clear" w:color="auto" w:fill="FFFFCC"/>
      <w:lang w:eastAsia="en-US" w:bidi="ar-SA"/>
    </w:rPr>
  </w:style>
  <w:style w:type="character" w:customStyle="1" w:styleId="86">
    <w:name w:val="Assunto do comentário Char"/>
    <w:basedOn w:val="76"/>
    <w:link w:val="18"/>
    <w:semiHidden/>
    <w:uiPriority w:val="99"/>
    <w:rPr>
      <w:rFonts w:ascii="Ecofont_Spranq_eco_Sans" w:hAnsi="Ecofont_Spranq_eco_Sans" w:eastAsia="Times New Roman" w:cs="Tahoma"/>
      <w:b/>
      <w:bCs/>
      <w:color w:val="00000A"/>
      <w:sz w:val="20"/>
      <w:szCs w:val="20"/>
      <w:shd w:val="clear" w:color="auto" w:fill="FFFFFF"/>
      <w:lang w:eastAsia="pt-BR" w:bidi="ar-SA"/>
    </w:rPr>
  </w:style>
  <w:style w:type="character" w:customStyle="1" w:styleId="87">
    <w:name w:val="Nivel 2 Char"/>
    <w:basedOn w:val="7"/>
    <w:link w:val="78"/>
    <w:qFormat/>
    <w:uiPriority w:val="0"/>
    <w:rPr>
      <w:rFonts w:ascii="Ecofont_Spranq_eco_Sans" w:hAnsi="Ecofont_Spranq_eco_Sans" w:eastAsia="Arial Unicode MS" w:cs="Times New Roman"/>
      <w:sz w:val="20"/>
      <w:szCs w:val="20"/>
      <w:lang w:eastAsia="pt-BR" w:bidi="ar-SA"/>
    </w:rPr>
  </w:style>
  <w:style w:type="character" w:customStyle="1" w:styleId="88">
    <w:name w:val="Nivel 3 Char"/>
    <w:basedOn w:val="7"/>
    <w:link w:val="80"/>
    <w:uiPriority w:val="0"/>
    <w:rPr>
      <w:rFonts w:ascii="Ecofont_Spranq_eco_Sans" w:hAnsi="Ecofont_Spranq_eco_Sans" w:eastAsia="Arial Unicode MS" w:cs="Arial"/>
      <w:color w:val="000000"/>
      <w:sz w:val="20"/>
      <w:szCs w:val="20"/>
      <w:lang w:eastAsia="pt-BR" w:bidi="ar-SA"/>
    </w:rPr>
  </w:style>
  <w:style w:type="character" w:customStyle="1" w:styleId="89">
    <w:name w:val="Grade Média 2 - Ênfase 2 Char"/>
    <w:qFormat/>
    <w:uiPriority w:val="0"/>
    <w:rPr>
      <w:rFonts w:ascii="Ecofont_Spranq_eco_Sans" w:hAnsi="Ecofont_Spranq_eco_Sans" w:eastAsia="Calibri" w:cs="Ecofont_Spranq_eco_Sans"/>
      <w:i/>
      <w:iCs/>
      <w:color w:val="000000"/>
      <w:szCs w:val="24"/>
      <w:shd w:val="clear" w:color="auto" w:fill="FFFFCC"/>
    </w:rPr>
  </w:style>
  <w:style w:type="table" w:styleId="90">
    <w:name w:val="Medium Grid 2 Accent 2"/>
    <w:basedOn w:val="8"/>
    <w:semiHidden/>
    <w:unhideWhenUsed/>
    <w:qFormat/>
    <w:uiPriority w:val="0"/>
    <w:rPr>
      <w:rFonts w:ascii="Ecofont_Spranq_eco_Sans" w:hAnsi="Ecofont_Spranq_eco_Sans" w:eastAsia="Calibri" w:cs="Ecofont_Spranq_eco_Sans"/>
      <w:i/>
      <w:iCs/>
      <w:color w:val="000000"/>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tcPr>
        <w:shd w:val="clear" w:color="auto" w:fill="F8EDED"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paragraph" w:customStyle="1" w:styleId="91">
    <w:name w:val="Revision"/>
    <w:hidden/>
    <w:semiHidden/>
    <w:qFormat/>
    <w:uiPriority w:val="99"/>
    <w:pPr>
      <w:textAlignment w:val="auto"/>
    </w:pPr>
    <w:rPr>
      <w:rFonts w:ascii="Ecofont_Spranq_eco_Sans" w:hAnsi="Ecofont_Spranq_eco_Sans" w:eastAsia="Times New Roman" w:cs="Tahoma"/>
      <w:color w:val="00000A"/>
      <w:sz w:val="24"/>
      <w:szCs w:val="24"/>
      <w:lang w:val="pt-BR" w:eastAsia="pt-BR" w:bidi="ar-SA"/>
    </w:rPr>
  </w:style>
  <w:style w:type="paragraph" w:customStyle="1" w:styleId="92">
    <w:name w:val="Citação10"/>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93">
    <w:name w:val="Normal + Times New Roman"/>
    <w:basedOn w:val="1"/>
    <w:qFormat/>
    <w:uiPriority w:val="0"/>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94">
    <w:name w:val="Parágrafo da Lista1"/>
    <w:basedOn w:val="1"/>
    <w:qFormat/>
    <w:uiPriority w:val="0"/>
    <w:pPr>
      <w:keepNext w:val="0"/>
      <w:shd w:val="clear" w:color="auto" w:fill="auto"/>
      <w:tabs>
        <w:tab w:val="clear" w:pos="708"/>
      </w:tabs>
      <w:suppressAutoHyphens w:val="0"/>
      <w:overflowPunct/>
      <w:ind w:left="720"/>
      <w:textAlignment w:val="auto"/>
    </w:pPr>
    <w:rPr>
      <w:color w:val="auto"/>
    </w:rPr>
  </w:style>
  <w:style w:type="paragraph" w:customStyle="1" w:styleId="95">
    <w:name w:val="Nivel1"/>
    <w:basedOn w:val="2"/>
    <w:next w:val="1"/>
    <w:link w:val="101"/>
    <w:qFormat/>
    <w:uiPriority w:val="0"/>
    <w:pPr>
      <w:keepLines/>
      <w:numPr>
        <w:ilvl w:val="0"/>
        <w:numId w:val="0"/>
      </w:numPr>
      <w:shd w:val="clear" w:color="auto" w:fill="auto"/>
      <w:tabs>
        <w:tab w:val="left" w:pos="360"/>
        <w:tab w:val="clear" w:pos="708"/>
      </w:tabs>
      <w:suppressAutoHyphens w:val="0"/>
      <w:overflowPunct/>
      <w:spacing w:before="480" w:line="276" w:lineRule="auto"/>
      <w:ind w:left="357" w:hanging="357"/>
      <w:jc w:val="both"/>
      <w:textAlignment w:val="auto"/>
    </w:pPr>
    <w:rPr>
      <w:rFonts w:ascii="Arial" w:hAnsi="Arial" w:cs="Arial" w:eastAsiaTheme="majorEastAsia"/>
      <w:bCs w:val="0"/>
      <w:color w:val="000000"/>
      <w:sz w:val="20"/>
      <w:szCs w:val="20"/>
    </w:rPr>
  </w:style>
  <w:style w:type="paragraph" w:customStyle="1" w:styleId="96">
    <w:name w:val="paragraph"/>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97">
    <w:name w:val="normaltextrun"/>
    <w:basedOn w:val="7"/>
    <w:qFormat/>
    <w:uiPriority w:val="0"/>
  </w:style>
  <w:style w:type="character" w:customStyle="1" w:styleId="98">
    <w:name w:val="eop"/>
    <w:basedOn w:val="7"/>
    <w:uiPriority w:val="0"/>
  </w:style>
  <w:style w:type="character" w:customStyle="1" w:styleId="99">
    <w:name w:val="spellingerror"/>
    <w:basedOn w:val="7"/>
    <w:uiPriority w:val="0"/>
  </w:style>
  <w:style w:type="paragraph" w:customStyle="1" w:styleId="100">
    <w:name w:val="Citação2"/>
    <w:basedOn w:val="1"/>
    <w:next w:val="1"/>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101">
    <w:name w:val="Nivel1 Char"/>
    <w:basedOn w:val="7"/>
    <w:link w:val="95"/>
    <w:qFormat/>
    <w:locked/>
    <w:uiPriority w:val="0"/>
    <w:rPr>
      <w:rFonts w:ascii="Arial" w:hAnsi="Arial" w:cs="Arial" w:eastAsiaTheme="majorEastAsia"/>
      <w:b/>
      <w:color w:val="000000"/>
      <w:sz w:val="20"/>
      <w:szCs w:val="20"/>
      <w:lang w:eastAsia="pt-BR" w:bidi="ar-SA"/>
    </w:rPr>
  </w:style>
  <w:style w:type="paragraph" w:customStyle="1" w:styleId="102">
    <w:name w:val="Nivel 01"/>
    <w:basedOn w:val="2"/>
    <w:next w:val="1"/>
    <w:link w:val="103"/>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eastAsiaTheme="majorEastAsia" w:cstheme="majorBidi"/>
      <w:color w:val="000000"/>
      <w:sz w:val="32"/>
      <w:szCs w:val="32"/>
    </w:rPr>
  </w:style>
  <w:style w:type="character" w:customStyle="1" w:styleId="103">
    <w:name w:val="Nivel 01 Char"/>
    <w:basedOn w:val="7"/>
    <w:link w:val="102"/>
    <w:qFormat/>
    <w:uiPriority w:val="0"/>
    <w:rPr>
      <w:rFonts w:ascii="Arial" w:hAnsi="Arial" w:eastAsiaTheme="majorEastAsia" w:cstheme="majorBidi"/>
      <w:b/>
      <w:bCs/>
      <w:color w:val="000000"/>
      <w:sz w:val="32"/>
      <w:szCs w:val="32"/>
      <w:lang w:eastAsia="pt-BR" w:bidi="ar-SA"/>
    </w:rPr>
  </w:style>
  <w:style w:type="character" w:customStyle="1" w:styleId="104">
    <w:name w:val="Texto sem Formatação Char"/>
    <w:basedOn w:val="7"/>
    <w:link w:val="16"/>
    <w:semiHidden/>
    <w:uiPriority w:val="99"/>
    <w:rPr>
      <w:rFonts w:ascii="Calibri" w:hAnsi="Calibri" w:eastAsiaTheme="minorHAnsi" w:cstheme="minorBidi"/>
      <w:sz w:val="22"/>
      <w:szCs w:val="21"/>
      <w:lang w:eastAsia="en-US" w:bidi="ar-SA"/>
    </w:rPr>
  </w:style>
  <w:style w:type="paragraph" w:customStyle="1" w:styleId="105">
    <w:name w:val="x_western"/>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6">
    <w:name w:val="Normal_1"/>
    <w:qFormat/>
    <w:uiPriority w:val="0"/>
    <w:pPr>
      <w:textAlignment w:val="auto"/>
    </w:pPr>
    <w:rPr>
      <w:rFonts w:ascii="Times New Roman" w:hAnsi="Times New Roman" w:eastAsia="Times New Roman" w:cs="Times New Roman"/>
      <w:sz w:val="24"/>
      <w:szCs w:val="22"/>
      <w:lang w:val="pt-BR" w:eastAsia="en-US" w:bidi="ar-SA"/>
    </w:rPr>
  </w:style>
  <w:style w:type="paragraph" w:customStyle="1" w:styleId="107">
    <w:name w:val="textbody"/>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8">
    <w:name w:val="xl72"/>
    <w:basedOn w:val="1"/>
    <w:uiPriority w:val="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109">
    <w:name w:val="Standard"/>
    <w:uiPriority w:val="0"/>
    <w:pPr>
      <w:suppressAutoHyphens/>
      <w:autoSpaceDN w:val="0"/>
      <w:spacing w:after="200" w:line="276" w:lineRule="auto"/>
      <w:textAlignment w:val="baseline"/>
    </w:pPr>
    <w:rPr>
      <w:rFonts w:ascii="Calibri" w:hAnsi="Calibri" w:eastAsia="Segoe UI" w:cs="Tahoma"/>
      <w:sz w:val="22"/>
      <w:szCs w:val="22"/>
      <w:lang w:val="pt-BR" w:eastAsia="pt-BR" w:bidi="ar-SA"/>
    </w:rPr>
  </w:style>
  <w:style w:type="character" w:customStyle="1" w:styleId="110">
    <w:name w:val="w8qarf"/>
    <w:basedOn w:val="7"/>
    <w:qFormat/>
    <w:uiPriority w:val="0"/>
  </w:style>
  <w:style w:type="character" w:customStyle="1" w:styleId="111">
    <w:name w:val="lrzxr"/>
    <w:basedOn w:val="7"/>
    <w:uiPriority w:val="0"/>
  </w:style>
  <w:style w:type="paragraph" w:customStyle="1" w:styleId="112">
    <w:name w:val="Título do Conteúdo"/>
    <w:basedOn w:val="109"/>
    <w:uiPriority w:val="0"/>
    <w:pPr>
      <w:keepNext/>
      <w:suppressLineNumbers/>
      <w:spacing w:before="240" w:after="120" w:line="360" w:lineRule="auto"/>
      <w:jc w:val="both"/>
    </w:pPr>
    <w:rPr>
      <w:rFonts w:ascii="Arial" w:hAnsi="Arial" w:eastAsia="Times New Roman"/>
      <w:b/>
      <w:bCs/>
      <w:sz w:val="32"/>
      <w:szCs w:val="32"/>
      <w:lang w:eastAsia="ar-SA"/>
    </w:rPr>
  </w:style>
  <w:style w:type="character" w:customStyle="1" w:styleId="113">
    <w:name w:val="Unresolved Mention"/>
    <w:basedOn w:val="7"/>
    <w:semiHidden/>
    <w:unhideWhenUsed/>
    <w:qFormat/>
    <w:uiPriority w:val="99"/>
    <w:rPr>
      <w:color w:val="605E5C"/>
      <w:shd w:val="clear" w:color="auto" w:fill="E1DFDD"/>
    </w:rPr>
  </w:style>
  <w:style w:type="paragraph" w:customStyle="1" w:styleId="114">
    <w:name w:val="Default"/>
    <w:uiPriority w:val="0"/>
    <w:pPr>
      <w:autoSpaceDE w:val="0"/>
      <w:autoSpaceDN w:val="0"/>
      <w:adjustRightInd w:val="0"/>
      <w:textAlignment w:val="auto"/>
    </w:pPr>
    <w:rPr>
      <w:rFonts w:ascii="Calibri" w:hAnsi="Calibri" w:eastAsia="WenQuanYi Micro Hei" w:cs="Calibri"/>
      <w:color w:val="000000"/>
      <w:sz w:val="24"/>
      <w:szCs w:val="24"/>
      <w:lang w:val="pt-BR"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19D80-AE0E-4FC5-8646-B7029223346D}">
  <ds:schemaRefs/>
</ds:datastoreItem>
</file>

<file path=customXml/itemProps2.xml><?xml version="1.0" encoding="utf-8"?>
<ds:datastoreItem xmlns:ds="http://schemas.openxmlformats.org/officeDocument/2006/customXml" ds:itemID="{D0FA922B-301D-4229-A9FF-8B2F047859B0}">
  <ds:schemaRefs/>
</ds:datastoreItem>
</file>

<file path=customXml/itemProps3.xml><?xml version="1.0" encoding="utf-8"?>
<ds:datastoreItem xmlns:ds="http://schemas.openxmlformats.org/officeDocument/2006/customXml" ds:itemID="{552F9D9B-A10A-4DD0-9B11-62F741C79D1E}">
  <ds:schemaRefs/>
</ds:datastoreItem>
</file>

<file path=customXml/itemProps4.xml><?xml version="1.0" encoding="utf-8"?>
<ds:datastoreItem xmlns:ds="http://schemas.openxmlformats.org/officeDocument/2006/customXml" ds:itemID="{BBFD8ED6-DC5C-4AC2-A75D-A7D1347451F0}">
  <ds:schemaRefs/>
</ds:datastoreItem>
</file>

<file path=docProps/app.xml><?xml version="1.0" encoding="utf-8"?>
<Properties xmlns="http://schemas.openxmlformats.org/officeDocument/2006/extended-properties" xmlns:vt="http://schemas.openxmlformats.org/officeDocument/2006/docPropsVTypes">
  <Template>Normal</Template>
  <Pages>24</Pages>
  <Words>10026</Words>
  <Characters>56480</Characters>
  <Lines>472</Lines>
  <Paragraphs>134</Paragraphs>
  <TotalTime>108</TotalTime>
  <ScaleCrop>false</ScaleCrop>
  <LinksUpToDate>false</LinksUpToDate>
  <CharactersWithSpaces>66166</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2022-03-01T13:19:00Z</dcterms:created>
  <dc:creator>Carlota Vargas Buranello</dc:creator>
  <cp:lastModifiedBy>Juliana Borsoi</cp:lastModifiedBy>
  <cp:lastPrinted>2020-05-06T13:48:00Z</cp:lastPrinted>
  <dcterms:modified xsi:type="dcterms:W3CDTF">2022-03-24T17:34:27Z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1046-11.2.0.11029</vt:lpwstr>
  </property>
  <property fmtid="{D5CDD505-2E9C-101B-9397-08002B2CF9AE}" pid="4" name="ICV">
    <vt:lpwstr>4FC72892E9FC45E9AC387F682B6CCB0B</vt:lpwstr>
  </property>
</Properties>
</file>