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B94120" w:rsidRDefault="00317E71" w:rsidP="00C55E68">
      <w:pPr>
        <w:pStyle w:val="Ttulo1"/>
        <w:suppressLineNumbers/>
        <w:spacing w:before="0" w:line="276" w:lineRule="auto"/>
        <w:ind w:left="567" w:hanging="567"/>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C55E68">
      <w:pPr>
        <w:keepNext/>
        <w:keepLines/>
        <w:suppressLineNumbers/>
        <w:tabs>
          <w:tab w:val="left" w:pos="6284"/>
        </w:tabs>
        <w:ind w:left="567" w:hanging="567"/>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C55E68">
      <w:pPr>
        <w:pStyle w:val="Ttulo1"/>
        <w:suppressLineNumbers/>
        <w:spacing w:before="0"/>
        <w:ind w:left="567" w:hanging="567"/>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C55E68">
      <w:pPr>
        <w:keepNext/>
        <w:keepLines/>
        <w:suppressLineNumbers/>
        <w:ind w:left="567" w:hanging="567"/>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C55E68">
      <w:pPr>
        <w:keepNext/>
        <w:keepLines/>
        <w:suppressLineNumbers/>
        <w:spacing w:after="120" w:line="276" w:lineRule="auto"/>
        <w:ind w:left="567" w:right="-15" w:hanging="567"/>
        <w:rPr>
          <w:rFonts w:asciiTheme="minorHAnsi" w:hAnsiTheme="minorHAnsi" w:cstheme="minorHAnsi"/>
          <w:b/>
          <w:bCs/>
          <w:sz w:val="22"/>
          <w:szCs w:val="22"/>
        </w:rPr>
      </w:pPr>
    </w:p>
    <w:p w14:paraId="653E43E2" w14:textId="77777777" w:rsidR="009271C3" w:rsidRPr="00B94120" w:rsidRDefault="009271C3" w:rsidP="00C55E68">
      <w:pPr>
        <w:pStyle w:val="Pr-formataoHTML"/>
        <w:keepNext/>
        <w:keepLines/>
        <w:suppressLineNumbers/>
        <w:suppressAutoHyphens/>
        <w:ind w:left="567" w:hanging="567"/>
        <w:rPr>
          <w:rFonts w:asciiTheme="minorHAnsi" w:hAnsiTheme="minorHAnsi" w:cstheme="minorHAnsi"/>
          <w:b/>
          <w:bCs/>
          <w:sz w:val="22"/>
          <w:szCs w:val="22"/>
        </w:rPr>
      </w:pPr>
    </w:p>
    <w:p w14:paraId="46AFE12B" w14:textId="799C0A1B" w:rsidR="00B8510A" w:rsidRPr="00B94120" w:rsidRDefault="00B8510A" w:rsidP="00C55E68">
      <w:pPr>
        <w:keepNext/>
        <w:keepLines/>
        <w:suppressLineNumbers/>
        <w:spacing w:afterLines="120" w:after="288" w:line="312" w:lineRule="auto"/>
        <w:ind w:left="567" w:hanging="567"/>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B5046D" w:rsidRPr="00B94120">
        <w:rPr>
          <w:rFonts w:asciiTheme="minorHAnsi" w:hAnsiTheme="minorHAnsi" w:cstheme="minorHAnsi"/>
          <w:b/>
          <w:bCs/>
          <w:color w:val="FF0000"/>
          <w:sz w:val="22"/>
          <w:szCs w:val="22"/>
        </w:rPr>
        <w:t>VII</w:t>
      </w:r>
      <w:r w:rsidRPr="00B94120">
        <w:rPr>
          <w:rFonts w:asciiTheme="minorHAnsi" w:hAnsiTheme="minorHAnsi" w:cstheme="minorHAnsi"/>
          <w:b/>
          <w:bCs/>
          <w:color w:val="FF0000"/>
          <w:sz w:val="22"/>
          <w:szCs w:val="22"/>
        </w:rPr>
        <w:t xml:space="preserve"> – PE. </w:t>
      </w:r>
      <w:r w:rsidR="007A2E3B">
        <w:rPr>
          <w:rFonts w:asciiTheme="minorHAnsi" w:hAnsiTheme="minorHAnsi" w:cstheme="minorHAnsi"/>
          <w:b/>
          <w:bCs/>
          <w:color w:val="FF0000"/>
          <w:sz w:val="22"/>
          <w:szCs w:val="22"/>
        </w:rPr>
        <w:t>62</w:t>
      </w:r>
      <w:r w:rsidRPr="00B94120">
        <w:rPr>
          <w:rFonts w:asciiTheme="minorHAnsi" w:hAnsiTheme="minorHAnsi" w:cstheme="minorHAnsi"/>
          <w:b/>
          <w:bCs/>
          <w:color w:val="FF0000"/>
          <w:sz w:val="22"/>
          <w:szCs w:val="22"/>
        </w:rPr>
        <w:t>/2023 – MINUTA DO TERMO DE CONTRATO</w:t>
      </w:r>
    </w:p>
    <w:p w14:paraId="0183C6AD" w14:textId="61B42D2C" w:rsidR="00B8510A" w:rsidRPr="00B94120" w:rsidRDefault="00B8510A" w:rsidP="00C55E68">
      <w:pPr>
        <w:keepNext/>
        <w:keepLines/>
        <w:suppressLineNumbers/>
        <w:spacing w:afterLines="120" w:after="288" w:line="312" w:lineRule="auto"/>
        <w:ind w:left="567" w:hanging="567"/>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7A06DC" w:rsidRPr="007A06DC">
        <w:rPr>
          <w:rFonts w:asciiTheme="minorHAnsi" w:hAnsiTheme="minorHAnsi" w:cstheme="minorHAnsi"/>
          <w:sz w:val="22"/>
          <w:szCs w:val="22"/>
        </w:rPr>
        <w:t>23069.162019/2023-54</w:t>
      </w:r>
      <w:r w:rsidRPr="00B94120">
        <w:rPr>
          <w:rFonts w:asciiTheme="minorHAnsi" w:hAnsiTheme="minorHAnsi" w:cstheme="minorHAnsi"/>
          <w:bCs/>
          <w:sz w:val="22"/>
          <w:szCs w:val="22"/>
        </w:rPr>
        <w:t>)</w:t>
      </w:r>
    </w:p>
    <w:p w14:paraId="37698BDA" w14:textId="4C0C666C" w:rsidR="00B8510A" w:rsidRPr="00B94120" w:rsidRDefault="00B8510A" w:rsidP="00C55E68">
      <w:pPr>
        <w:pStyle w:val="Prembulo"/>
        <w:keepNext/>
        <w:keepLines/>
        <w:suppressLineNumbers/>
        <w:suppressAutoHyphens/>
        <w:spacing w:before="0" w:afterLines="120" w:after="288" w:line="312" w:lineRule="auto"/>
        <w:ind w:left="5670" w:hanging="6"/>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 xml:space="preserve">............................................................. </w:t>
      </w:r>
    </w:p>
    <w:p w14:paraId="470194BC" w14:textId="3E6F79E0" w:rsidR="00E726A9" w:rsidRPr="00B94120" w:rsidRDefault="00F16FA0" w:rsidP="00C55E68">
      <w:pPr>
        <w:keepNext/>
        <w:keepLines/>
        <w:suppressLineNumbers/>
        <w:spacing w:afterLines="120" w:after="288" w:line="312" w:lineRule="auto"/>
        <w:ind w:left="284"/>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Forte"/>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Forte"/>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r w:rsidR="00B8510A" w:rsidRPr="00B94120">
        <w:rPr>
          <w:rFonts w:asciiTheme="minorHAnsi" w:eastAsia="Arial" w:hAnsiTheme="minorHAnsi" w:cstheme="minorHAnsi"/>
          <w:i/>
          <w:iCs/>
          <w:sz w:val="22"/>
          <w:szCs w:val="22"/>
        </w:rPr>
        <w:t>em</w:t>
      </w:r>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EA3E77" w:rsidRPr="00EA3E77">
        <w:rPr>
          <w:rFonts w:asciiTheme="minorHAnsi" w:hAnsiTheme="minorHAnsi" w:cstheme="minorHAnsi"/>
          <w:sz w:val="22"/>
          <w:szCs w:val="22"/>
        </w:rPr>
        <w:t>23069.162019/2023-54</w:t>
      </w:r>
      <w:r w:rsidR="00EA3E77" w:rsidRPr="00EA3E77">
        <w:rPr>
          <w:rFonts w:asciiTheme="minorHAnsi" w:eastAsia="Arial"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 xml:space="preserve">do Pregão Eletrônico n. </w:t>
      </w:r>
      <w:r w:rsidR="007A2E3B">
        <w:rPr>
          <w:rFonts w:asciiTheme="minorHAnsi" w:eastAsia="Arial" w:hAnsiTheme="minorHAnsi" w:cstheme="minorHAnsi"/>
          <w:i/>
          <w:iCs/>
          <w:sz w:val="22"/>
          <w:szCs w:val="22"/>
        </w:rPr>
        <w:t>62</w:t>
      </w:r>
      <w:r w:rsidR="00B8510A" w:rsidRPr="00B94120">
        <w:rPr>
          <w:rFonts w:asciiTheme="minorHAnsi" w:eastAsia="Arial" w:hAnsiTheme="minorHAnsi" w:cstheme="minorHAnsi"/>
          <w:i/>
          <w:iCs/>
          <w:sz w:val="22"/>
          <w:szCs w:val="22"/>
        </w:rPr>
        <w:t>/</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C55E68">
      <w:pPr>
        <w:pStyle w:val="PargrafodaLista"/>
        <w:keepNext/>
        <w:keepLines/>
        <w:numPr>
          <w:ilvl w:val="0"/>
          <w:numId w:val="10"/>
        </w:numPr>
        <w:suppressLineNumbers/>
        <w:spacing w:afterLines="120" w:after="288" w:line="312" w:lineRule="auto"/>
        <w:contextualSpacing w:val="0"/>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2930C82E" w14:textId="5FD5121D" w:rsidR="00E726A9" w:rsidRPr="00B94120" w:rsidRDefault="00B94120" w:rsidP="00C55E68">
      <w:pPr>
        <w:pStyle w:val="PargrafodaLista"/>
        <w:keepNext/>
        <w:keepLines/>
        <w:numPr>
          <w:ilvl w:val="1"/>
          <w:numId w:val="10"/>
        </w:numPr>
        <w:suppressLineNumbers/>
        <w:ind w:left="426"/>
        <w:contextualSpacing w:val="0"/>
        <w:jc w:val="both"/>
        <w:rPr>
          <w:rFonts w:asciiTheme="minorHAnsi" w:hAnsiTheme="minorHAnsi" w:cstheme="minorHAnsi"/>
          <w:color w:val="000000"/>
          <w:sz w:val="22"/>
          <w:szCs w:val="22"/>
        </w:rPr>
      </w:pPr>
      <w:r w:rsidRPr="00B94120">
        <w:rPr>
          <w:rFonts w:asciiTheme="minorHAnsi" w:hAnsiTheme="minorHAnsi" w:cstheme="minorHAnsi"/>
          <w:color w:val="000000"/>
          <w:sz w:val="22"/>
          <w:szCs w:val="22"/>
        </w:rPr>
        <w:t xml:space="preserve">O objeto do presente instrumento é a </w:t>
      </w:r>
      <w:r w:rsidR="00653782">
        <w:rPr>
          <w:rFonts w:asciiTheme="minorHAnsi" w:hAnsiTheme="minorHAnsi" w:cstheme="minorHAnsi"/>
          <w:color w:val="000000"/>
          <w:sz w:val="22"/>
          <w:szCs w:val="22"/>
        </w:rPr>
        <w:t>aquisição de Materiais de Manutenção Predia</w:t>
      </w:r>
      <w:r w:rsidR="00FC725B">
        <w:rPr>
          <w:rFonts w:asciiTheme="minorHAnsi" w:hAnsiTheme="minorHAnsi" w:cstheme="minorHAnsi"/>
          <w:color w:val="000000"/>
          <w:sz w:val="22"/>
          <w:szCs w:val="22"/>
        </w:rPr>
        <w:t>l</w:t>
      </w:r>
      <w:r w:rsidR="00653782">
        <w:rPr>
          <w:rFonts w:asciiTheme="minorHAnsi" w:hAnsiTheme="minorHAnsi" w:cstheme="minorHAnsi"/>
          <w:color w:val="000000"/>
          <w:sz w:val="22"/>
          <w:szCs w:val="22"/>
        </w:rPr>
        <w:t>,</w:t>
      </w:r>
      <w:r w:rsidRPr="00B94120">
        <w:rPr>
          <w:rFonts w:asciiTheme="minorHAnsi" w:hAnsiTheme="minorHAnsi" w:cstheme="minorHAnsi"/>
          <w:color w:val="000000"/>
          <w:sz w:val="22"/>
          <w:szCs w:val="22"/>
        </w:rPr>
        <w:t xml:space="preserve"> .........................., nas condições estabelecidas no Termo de Referência.</w:t>
      </w:r>
      <w:r w:rsidR="00E726A9" w:rsidRPr="00B94120">
        <w:rPr>
          <w:rFonts w:asciiTheme="minorHAnsi" w:hAnsiTheme="minorHAnsi" w:cstheme="minorHAnsi"/>
          <w:sz w:val="22"/>
          <w:szCs w:val="22"/>
        </w:rPr>
        <w:br w:type="page"/>
      </w:r>
    </w:p>
    <w:p w14:paraId="4F7C58B0" w14:textId="395D0A1E" w:rsidR="00E726A9" w:rsidRPr="00B94120" w:rsidRDefault="00E726A9" w:rsidP="00C55E68">
      <w:pPr>
        <w:pStyle w:val="Nivel2"/>
        <w:keepNext/>
        <w:keepLines/>
        <w:numPr>
          <w:ilvl w:val="1"/>
          <w:numId w:val="10"/>
        </w:numPr>
        <w:suppressLineNumbers/>
        <w:suppressAutoHyphens/>
        <w:spacing w:before="0" w:afterLines="120" w:after="288" w:line="312" w:lineRule="auto"/>
        <w:ind w:left="567" w:hanging="567"/>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tbl>
      <w:tblPr>
        <w:tblW w:w="9682" w:type="dxa"/>
        <w:tblCellMar>
          <w:left w:w="70" w:type="dxa"/>
          <w:right w:w="70" w:type="dxa"/>
        </w:tblCellMar>
        <w:tblLook w:val="04A0" w:firstRow="1" w:lastRow="0" w:firstColumn="1" w:lastColumn="0" w:noHBand="0" w:noVBand="1"/>
      </w:tblPr>
      <w:tblGrid>
        <w:gridCol w:w="608"/>
        <w:gridCol w:w="5341"/>
        <w:gridCol w:w="2029"/>
        <w:gridCol w:w="1704"/>
      </w:tblGrid>
      <w:tr w:rsidR="00E54D9C" w:rsidRPr="00653782" w14:paraId="4BA021C9" w14:textId="31054498" w:rsidTr="00C55E68">
        <w:trPr>
          <w:trHeight w:val="495"/>
        </w:trPr>
        <w:tc>
          <w:tcPr>
            <w:tcW w:w="60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670A67" w14:textId="4348CDF9" w:rsidR="00E54D9C" w:rsidRPr="00653782" w:rsidRDefault="00FF3C85" w:rsidP="00C55E68">
            <w:pPr>
              <w:keepNext/>
              <w:keepLines/>
              <w:suppressAutoHyphens w:val="0"/>
              <w:jc w:val="center"/>
              <w:rPr>
                <w:rFonts w:ascii="Calibri" w:hAnsi="Calibri" w:cs="Calibri"/>
                <w:b/>
                <w:bCs/>
                <w:color w:val="000000"/>
                <w:sz w:val="22"/>
                <w:szCs w:val="22"/>
              </w:rPr>
            </w:pPr>
            <w:r>
              <w:rPr>
                <w:rFonts w:ascii="Calibri" w:hAnsi="Calibri" w:cs="Calibri"/>
                <w:b/>
                <w:bCs/>
                <w:color w:val="000000"/>
                <w:sz w:val="22"/>
                <w:szCs w:val="22"/>
              </w:rPr>
              <w:t>Lote</w:t>
            </w:r>
          </w:p>
        </w:tc>
        <w:tc>
          <w:tcPr>
            <w:tcW w:w="5341" w:type="dxa"/>
            <w:tcBorders>
              <w:top w:val="single" w:sz="4" w:space="0" w:color="auto"/>
              <w:left w:val="nil"/>
              <w:bottom w:val="single" w:sz="4" w:space="0" w:color="auto"/>
              <w:right w:val="single" w:sz="4" w:space="0" w:color="auto"/>
            </w:tcBorders>
            <w:shd w:val="clear" w:color="000000" w:fill="D9E1F2"/>
            <w:vAlign w:val="center"/>
            <w:hideMark/>
          </w:tcPr>
          <w:p w14:paraId="18070842" w14:textId="77777777" w:rsidR="00E54D9C" w:rsidRPr="00653782" w:rsidRDefault="00E54D9C" w:rsidP="00C55E68">
            <w:pPr>
              <w:keepNext/>
              <w:keepLines/>
              <w:suppressAutoHyphens w:val="0"/>
              <w:jc w:val="center"/>
              <w:rPr>
                <w:rFonts w:ascii="Calibri" w:hAnsi="Calibri" w:cs="Calibri"/>
                <w:b/>
                <w:bCs/>
                <w:color w:val="000000"/>
                <w:sz w:val="22"/>
                <w:szCs w:val="22"/>
              </w:rPr>
            </w:pPr>
            <w:r w:rsidRPr="00653782">
              <w:rPr>
                <w:rFonts w:ascii="Calibri" w:hAnsi="Calibri" w:cs="Calibri"/>
                <w:b/>
                <w:bCs/>
                <w:color w:val="000000"/>
                <w:sz w:val="22"/>
                <w:szCs w:val="22"/>
              </w:rPr>
              <w:t>DESCRIÇÃO</w:t>
            </w:r>
          </w:p>
        </w:tc>
        <w:tc>
          <w:tcPr>
            <w:tcW w:w="2029" w:type="dxa"/>
            <w:tcBorders>
              <w:top w:val="single" w:sz="4" w:space="0" w:color="auto"/>
              <w:left w:val="nil"/>
              <w:bottom w:val="single" w:sz="4" w:space="0" w:color="auto"/>
              <w:right w:val="single" w:sz="4" w:space="0" w:color="auto"/>
            </w:tcBorders>
            <w:shd w:val="clear" w:color="000000" w:fill="D9E1F2"/>
            <w:vAlign w:val="center"/>
            <w:hideMark/>
          </w:tcPr>
          <w:p w14:paraId="0E6B7625" w14:textId="2A477B7F" w:rsidR="00E54D9C" w:rsidRPr="00653782" w:rsidRDefault="00E54D9C" w:rsidP="00C55E68">
            <w:pPr>
              <w:keepNext/>
              <w:keepLines/>
              <w:suppressAutoHyphens w:val="0"/>
              <w:jc w:val="center"/>
              <w:rPr>
                <w:rFonts w:ascii="Calibri" w:hAnsi="Calibri" w:cs="Calibri"/>
                <w:b/>
                <w:bCs/>
                <w:color w:val="FF0000"/>
                <w:sz w:val="22"/>
                <w:szCs w:val="22"/>
              </w:rPr>
            </w:pPr>
            <w:r w:rsidRPr="00653782">
              <w:rPr>
                <w:rFonts w:ascii="Calibri" w:hAnsi="Calibri" w:cs="Calibri"/>
                <w:b/>
                <w:bCs/>
                <w:color w:val="FF0000"/>
                <w:sz w:val="22"/>
                <w:szCs w:val="22"/>
              </w:rPr>
              <w:t xml:space="preserve"> </w:t>
            </w:r>
            <w:r>
              <w:rPr>
                <w:rFonts w:ascii="Calibri" w:hAnsi="Calibri" w:cs="Calibri"/>
                <w:b/>
                <w:bCs/>
                <w:color w:val="FF0000"/>
                <w:sz w:val="22"/>
                <w:szCs w:val="22"/>
              </w:rPr>
              <w:t>Desconto Ofertado (%)</w:t>
            </w:r>
            <w:r w:rsidRPr="00653782">
              <w:rPr>
                <w:rFonts w:ascii="Calibri" w:hAnsi="Calibri" w:cs="Calibri"/>
                <w:b/>
                <w:bCs/>
                <w:color w:val="FF0000"/>
                <w:sz w:val="22"/>
                <w:szCs w:val="22"/>
              </w:rPr>
              <w:t xml:space="preserve"> </w:t>
            </w:r>
          </w:p>
        </w:tc>
        <w:tc>
          <w:tcPr>
            <w:tcW w:w="1704" w:type="dxa"/>
            <w:tcBorders>
              <w:top w:val="single" w:sz="4" w:space="0" w:color="auto"/>
              <w:left w:val="nil"/>
              <w:bottom w:val="single" w:sz="4" w:space="0" w:color="auto"/>
              <w:right w:val="single" w:sz="4" w:space="0" w:color="auto"/>
            </w:tcBorders>
            <w:shd w:val="clear" w:color="000000" w:fill="D9E1F2"/>
          </w:tcPr>
          <w:p w14:paraId="32254254" w14:textId="713DF3BB" w:rsidR="00E54D9C" w:rsidRPr="00653782" w:rsidRDefault="00E54D9C" w:rsidP="00C55E68">
            <w:pPr>
              <w:keepNext/>
              <w:keepLines/>
              <w:suppressAutoHyphens w:val="0"/>
              <w:jc w:val="center"/>
              <w:rPr>
                <w:rFonts w:ascii="Calibri" w:hAnsi="Calibri" w:cs="Calibri"/>
                <w:b/>
                <w:bCs/>
                <w:color w:val="FF0000"/>
                <w:sz w:val="22"/>
                <w:szCs w:val="22"/>
              </w:rPr>
            </w:pPr>
            <w:r>
              <w:rPr>
                <w:rFonts w:ascii="Calibri" w:hAnsi="Calibri" w:cs="Calibri"/>
                <w:b/>
                <w:bCs/>
                <w:color w:val="FF0000"/>
                <w:sz w:val="22"/>
                <w:szCs w:val="22"/>
              </w:rPr>
              <w:t>Valor total do Item (R$)</w:t>
            </w:r>
          </w:p>
        </w:tc>
      </w:tr>
      <w:tr w:rsidR="00E54D9C" w:rsidRPr="00653782" w14:paraId="3050953C" w14:textId="5A6E5274" w:rsidTr="00C55E68">
        <w:trPr>
          <w:trHeight w:val="41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93D0CA3"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1</w:t>
            </w:r>
          </w:p>
        </w:tc>
        <w:tc>
          <w:tcPr>
            <w:tcW w:w="5341" w:type="dxa"/>
            <w:tcBorders>
              <w:top w:val="nil"/>
              <w:left w:val="nil"/>
              <w:bottom w:val="single" w:sz="4" w:space="0" w:color="auto"/>
              <w:right w:val="single" w:sz="4" w:space="0" w:color="auto"/>
            </w:tcBorders>
            <w:shd w:val="clear" w:color="auto" w:fill="auto"/>
            <w:vAlign w:val="center"/>
          </w:tcPr>
          <w:p w14:paraId="161AA348" w14:textId="7E6A3D30"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2A844B7C"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555DFFFC" w14:textId="77777777" w:rsidR="00E54D9C" w:rsidRPr="00653782" w:rsidRDefault="00E54D9C" w:rsidP="00C55E68">
            <w:pPr>
              <w:keepNext/>
              <w:keepLines/>
              <w:suppressAutoHyphens w:val="0"/>
              <w:rPr>
                <w:rFonts w:ascii="Calibri" w:hAnsi="Calibri" w:cs="Calibri"/>
                <w:color w:val="000000"/>
                <w:sz w:val="22"/>
                <w:szCs w:val="22"/>
              </w:rPr>
            </w:pPr>
          </w:p>
        </w:tc>
      </w:tr>
      <w:tr w:rsidR="00E54D9C" w:rsidRPr="00653782" w14:paraId="7E4080AB" w14:textId="12324A34" w:rsidTr="00C55E68">
        <w:trPr>
          <w:trHeight w:val="477"/>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E79F9B0"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2</w:t>
            </w:r>
          </w:p>
        </w:tc>
        <w:tc>
          <w:tcPr>
            <w:tcW w:w="5341" w:type="dxa"/>
            <w:tcBorders>
              <w:top w:val="nil"/>
              <w:left w:val="nil"/>
              <w:bottom w:val="single" w:sz="4" w:space="0" w:color="auto"/>
              <w:right w:val="single" w:sz="4" w:space="0" w:color="auto"/>
            </w:tcBorders>
            <w:shd w:val="clear" w:color="auto" w:fill="auto"/>
            <w:vAlign w:val="center"/>
          </w:tcPr>
          <w:p w14:paraId="486C9513" w14:textId="4CBA6009"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1F9DA7F1"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2E5576B2" w14:textId="77777777" w:rsidR="00E54D9C" w:rsidRPr="00653782" w:rsidRDefault="00E54D9C" w:rsidP="00C55E68">
            <w:pPr>
              <w:keepNext/>
              <w:keepLines/>
              <w:suppressAutoHyphens w:val="0"/>
              <w:rPr>
                <w:rFonts w:ascii="Calibri" w:hAnsi="Calibri" w:cs="Calibri"/>
                <w:color w:val="000000"/>
                <w:sz w:val="22"/>
                <w:szCs w:val="22"/>
              </w:rPr>
            </w:pPr>
          </w:p>
        </w:tc>
      </w:tr>
      <w:tr w:rsidR="00E54D9C" w:rsidRPr="00653782" w14:paraId="141B3271" w14:textId="1FB76149" w:rsidTr="00C55E68">
        <w:trPr>
          <w:trHeight w:val="361"/>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B952233"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3</w:t>
            </w:r>
          </w:p>
        </w:tc>
        <w:tc>
          <w:tcPr>
            <w:tcW w:w="5341" w:type="dxa"/>
            <w:tcBorders>
              <w:top w:val="nil"/>
              <w:left w:val="nil"/>
              <w:bottom w:val="single" w:sz="4" w:space="0" w:color="auto"/>
              <w:right w:val="single" w:sz="4" w:space="0" w:color="auto"/>
            </w:tcBorders>
            <w:shd w:val="clear" w:color="auto" w:fill="auto"/>
            <w:vAlign w:val="center"/>
          </w:tcPr>
          <w:p w14:paraId="734DBE97" w14:textId="25030E04"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36AFDF6D"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591BE018" w14:textId="77777777" w:rsidR="00E54D9C" w:rsidRPr="00653782" w:rsidRDefault="00E54D9C" w:rsidP="00C55E68">
            <w:pPr>
              <w:keepNext/>
              <w:keepLines/>
              <w:suppressAutoHyphens w:val="0"/>
              <w:rPr>
                <w:rFonts w:ascii="Calibri" w:hAnsi="Calibri" w:cs="Calibri"/>
                <w:color w:val="000000"/>
                <w:sz w:val="22"/>
                <w:szCs w:val="22"/>
              </w:rPr>
            </w:pPr>
          </w:p>
        </w:tc>
      </w:tr>
      <w:tr w:rsidR="00E54D9C" w:rsidRPr="00653782" w14:paraId="32F24564" w14:textId="1D70E9DD" w:rsidTr="00C55E68">
        <w:trPr>
          <w:trHeight w:val="34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26AC45B"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4</w:t>
            </w:r>
          </w:p>
        </w:tc>
        <w:tc>
          <w:tcPr>
            <w:tcW w:w="5341" w:type="dxa"/>
            <w:tcBorders>
              <w:top w:val="nil"/>
              <w:left w:val="nil"/>
              <w:bottom w:val="single" w:sz="4" w:space="0" w:color="auto"/>
              <w:right w:val="single" w:sz="4" w:space="0" w:color="auto"/>
            </w:tcBorders>
            <w:shd w:val="clear" w:color="auto" w:fill="auto"/>
            <w:vAlign w:val="center"/>
          </w:tcPr>
          <w:p w14:paraId="04FBD6D1" w14:textId="013D73A4"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19FA5096"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0FC88167" w14:textId="77777777" w:rsidR="00E54D9C" w:rsidRPr="00653782" w:rsidRDefault="00E54D9C" w:rsidP="00C55E68">
            <w:pPr>
              <w:keepNext/>
              <w:keepLines/>
              <w:suppressAutoHyphens w:val="0"/>
              <w:rPr>
                <w:rFonts w:ascii="Calibri" w:hAnsi="Calibri" w:cs="Calibri"/>
                <w:color w:val="000000"/>
                <w:sz w:val="22"/>
                <w:szCs w:val="22"/>
              </w:rPr>
            </w:pPr>
          </w:p>
        </w:tc>
      </w:tr>
      <w:tr w:rsidR="00E54D9C" w:rsidRPr="00653782" w14:paraId="35552109" w14:textId="1A191626" w:rsidTr="00C55E68">
        <w:trPr>
          <w:trHeight w:val="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35CCEF8"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5</w:t>
            </w:r>
          </w:p>
        </w:tc>
        <w:tc>
          <w:tcPr>
            <w:tcW w:w="5341" w:type="dxa"/>
            <w:tcBorders>
              <w:top w:val="nil"/>
              <w:left w:val="nil"/>
              <w:bottom w:val="single" w:sz="4" w:space="0" w:color="auto"/>
              <w:right w:val="single" w:sz="4" w:space="0" w:color="auto"/>
            </w:tcBorders>
            <w:shd w:val="clear" w:color="auto" w:fill="auto"/>
            <w:vAlign w:val="center"/>
          </w:tcPr>
          <w:p w14:paraId="6A7CB810" w14:textId="2D8A194B"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761F999D" w14:textId="77777777" w:rsidR="00E54D9C" w:rsidRPr="00653782" w:rsidRDefault="00E54D9C" w:rsidP="00C55E68">
            <w:pPr>
              <w:keepNext/>
              <w:keepLines/>
              <w:suppressAutoHyphens w:val="0"/>
              <w:rPr>
                <w:rFonts w:ascii="Calibri" w:hAnsi="Calibri" w:cs="Calibri"/>
                <w:sz w:val="22"/>
                <w:szCs w:val="22"/>
              </w:rPr>
            </w:pPr>
            <w:r w:rsidRPr="00653782">
              <w:rPr>
                <w:rFonts w:ascii="Calibri" w:hAnsi="Calibri" w:cs="Calibri"/>
                <w:sz w:val="22"/>
                <w:szCs w:val="22"/>
              </w:rPr>
              <w:t> </w:t>
            </w:r>
          </w:p>
        </w:tc>
        <w:tc>
          <w:tcPr>
            <w:tcW w:w="1704" w:type="dxa"/>
            <w:tcBorders>
              <w:top w:val="nil"/>
              <w:left w:val="nil"/>
              <w:bottom w:val="single" w:sz="4" w:space="0" w:color="auto"/>
              <w:right w:val="single" w:sz="4" w:space="0" w:color="auto"/>
            </w:tcBorders>
          </w:tcPr>
          <w:p w14:paraId="4F737F74" w14:textId="77777777" w:rsidR="00E54D9C" w:rsidRPr="00653782" w:rsidRDefault="00E54D9C" w:rsidP="00C55E68">
            <w:pPr>
              <w:keepNext/>
              <w:keepLines/>
              <w:suppressAutoHyphens w:val="0"/>
              <w:rPr>
                <w:rFonts w:ascii="Calibri" w:hAnsi="Calibri" w:cs="Calibri"/>
                <w:sz w:val="22"/>
                <w:szCs w:val="22"/>
              </w:rPr>
            </w:pPr>
          </w:p>
        </w:tc>
      </w:tr>
      <w:tr w:rsidR="00E54D9C" w:rsidRPr="00653782" w14:paraId="5D5BA711" w14:textId="1CED6234" w:rsidTr="00C55E68">
        <w:trPr>
          <w:trHeight w:val="57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E119A2" w14:textId="77777777" w:rsidR="00E54D9C" w:rsidRPr="00653782" w:rsidRDefault="00E54D9C" w:rsidP="00C55E68">
            <w:pPr>
              <w:keepNext/>
              <w:keepLines/>
              <w:suppressAutoHyphens w:val="0"/>
              <w:jc w:val="center"/>
              <w:rPr>
                <w:rFonts w:ascii="Calibri" w:hAnsi="Calibri" w:cs="Calibri"/>
                <w:color w:val="000000"/>
                <w:sz w:val="22"/>
                <w:szCs w:val="22"/>
              </w:rPr>
            </w:pPr>
            <w:r w:rsidRPr="00653782">
              <w:rPr>
                <w:rFonts w:ascii="Calibri" w:hAnsi="Calibri" w:cs="Calibri"/>
                <w:color w:val="000000"/>
                <w:sz w:val="22"/>
                <w:szCs w:val="22"/>
              </w:rPr>
              <w:t>6</w:t>
            </w:r>
          </w:p>
        </w:tc>
        <w:tc>
          <w:tcPr>
            <w:tcW w:w="5341" w:type="dxa"/>
            <w:tcBorders>
              <w:top w:val="nil"/>
              <w:left w:val="nil"/>
              <w:bottom w:val="single" w:sz="4" w:space="0" w:color="auto"/>
              <w:right w:val="single" w:sz="4" w:space="0" w:color="auto"/>
            </w:tcBorders>
            <w:shd w:val="clear" w:color="auto" w:fill="auto"/>
            <w:vAlign w:val="center"/>
          </w:tcPr>
          <w:p w14:paraId="5FA11AA4" w14:textId="25F92D5D" w:rsidR="00E54D9C" w:rsidRPr="00653782" w:rsidRDefault="00E54D9C" w:rsidP="00C55E68">
            <w:pPr>
              <w:keepNext/>
              <w:keepLines/>
              <w:suppressAutoHyphens w:val="0"/>
              <w:rPr>
                <w:rFonts w:ascii="Calibri" w:hAnsi="Calibri" w:cs="Calibri"/>
                <w:color w:val="000000"/>
                <w:sz w:val="22"/>
                <w:szCs w:val="22"/>
              </w:rPr>
            </w:pPr>
          </w:p>
        </w:tc>
        <w:tc>
          <w:tcPr>
            <w:tcW w:w="2029" w:type="dxa"/>
            <w:tcBorders>
              <w:top w:val="nil"/>
              <w:left w:val="nil"/>
              <w:bottom w:val="single" w:sz="4" w:space="0" w:color="auto"/>
              <w:right w:val="single" w:sz="4" w:space="0" w:color="auto"/>
            </w:tcBorders>
            <w:shd w:val="clear" w:color="auto" w:fill="auto"/>
            <w:vAlign w:val="center"/>
            <w:hideMark/>
          </w:tcPr>
          <w:p w14:paraId="0C8B76DD"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59DD2F4B" w14:textId="77777777" w:rsidR="00E54D9C" w:rsidRPr="00653782" w:rsidRDefault="00E54D9C" w:rsidP="00C55E68">
            <w:pPr>
              <w:keepNext/>
              <w:keepLines/>
              <w:suppressAutoHyphens w:val="0"/>
              <w:rPr>
                <w:rFonts w:ascii="Calibri" w:hAnsi="Calibri" w:cs="Calibri"/>
                <w:color w:val="000000"/>
                <w:sz w:val="22"/>
                <w:szCs w:val="22"/>
              </w:rPr>
            </w:pPr>
          </w:p>
        </w:tc>
      </w:tr>
      <w:tr w:rsidR="00E54D9C" w:rsidRPr="00653782" w14:paraId="4B848F62" w14:textId="156C3840" w:rsidTr="00E54D9C">
        <w:trPr>
          <w:trHeight w:val="300"/>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2C84" w14:textId="77777777" w:rsidR="00E54D9C" w:rsidRPr="00EA3E77" w:rsidRDefault="00E54D9C" w:rsidP="00C55E68">
            <w:pPr>
              <w:keepNext/>
              <w:keepLines/>
              <w:suppressAutoHyphens w:val="0"/>
              <w:jc w:val="center"/>
              <w:rPr>
                <w:rFonts w:ascii="Calibri" w:hAnsi="Calibri" w:cs="Calibri"/>
                <w:b/>
                <w:bCs/>
                <w:color w:val="000000"/>
                <w:sz w:val="22"/>
                <w:szCs w:val="22"/>
              </w:rPr>
            </w:pPr>
            <w:r w:rsidRPr="00EA3E77">
              <w:rPr>
                <w:rFonts w:ascii="Calibri" w:hAnsi="Calibri" w:cs="Calibri"/>
                <w:b/>
                <w:bCs/>
                <w:color w:val="000000"/>
                <w:sz w:val="22"/>
                <w:szCs w:val="22"/>
              </w:rPr>
              <w:t>VALOR TOTAL</w:t>
            </w:r>
          </w:p>
        </w:tc>
        <w:tc>
          <w:tcPr>
            <w:tcW w:w="2029" w:type="dxa"/>
            <w:tcBorders>
              <w:top w:val="nil"/>
              <w:left w:val="nil"/>
              <w:bottom w:val="single" w:sz="4" w:space="0" w:color="auto"/>
              <w:right w:val="single" w:sz="4" w:space="0" w:color="auto"/>
            </w:tcBorders>
            <w:shd w:val="clear" w:color="auto" w:fill="auto"/>
            <w:vAlign w:val="center"/>
            <w:hideMark/>
          </w:tcPr>
          <w:p w14:paraId="5CE4AB18" w14:textId="77777777" w:rsidR="00E54D9C" w:rsidRPr="00653782" w:rsidRDefault="00E54D9C" w:rsidP="00C55E68">
            <w:pPr>
              <w:keepNext/>
              <w:keepLines/>
              <w:suppressAutoHyphens w:val="0"/>
              <w:rPr>
                <w:rFonts w:ascii="Calibri" w:hAnsi="Calibri" w:cs="Calibri"/>
                <w:color w:val="000000"/>
                <w:sz w:val="22"/>
                <w:szCs w:val="22"/>
              </w:rPr>
            </w:pPr>
            <w:r w:rsidRPr="00653782">
              <w:rPr>
                <w:rFonts w:ascii="Calibri" w:hAnsi="Calibri" w:cs="Calibri"/>
                <w:color w:val="000000"/>
                <w:sz w:val="22"/>
                <w:szCs w:val="22"/>
              </w:rPr>
              <w:t> </w:t>
            </w:r>
          </w:p>
        </w:tc>
        <w:tc>
          <w:tcPr>
            <w:tcW w:w="1704" w:type="dxa"/>
            <w:tcBorders>
              <w:top w:val="nil"/>
              <w:left w:val="nil"/>
              <w:bottom w:val="single" w:sz="4" w:space="0" w:color="auto"/>
              <w:right w:val="single" w:sz="4" w:space="0" w:color="auto"/>
            </w:tcBorders>
          </w:tcPr>
          <w:p w14:paraId="73B6A738" w14:textId="77777777" w:rsidR="00E54D9C" w:rsidRPr="00653782" w:rsidRDefault="00E54D9C" w:rsidP="00C55E68">
            <w:pPr>
              <w:keepNext/>
              <w:keepLines/>
              <w:suppressAutoHyphens w:val="0"/>
              <w:rPr>
                <w:rFonts w:ascii="Calibri" w:hAnsi="Calibri" w:cs="Calibri"/>
                <w:color w:val="000000"/>
                <w:sz w:val="22"/>
                <w:szCs w:val="22"/>
              </w:rPr>
            </w:pPr>
          </w:p>
        </w:tc>
      </w:tr>
    </w:tbl>
    <w:p w14:paraId="415A0082" w14:textId="34D24C60" w:rsidR="00D541A6" w:rsidRPr="00B94120" w:rsidRDefault="00D541A6" w:rsidP="00C55E68">
      <w:pPr>
        <w:pStyle w:val="Nivel2"/>
        <w:keepNext/>
        <w:keepLines/>
        <w:numPr>
          <w:ilvl w:val="0"/>
          <w:numId w:val="0"/>
        </w:numPr>
        <w:suppressLineNumbers/>
        <w:suppressAutoHyphens/>
        <w:spacing w:before="0" w:afterLines="120" w:after="288" w:line="312" w:lineRule="auto"/>
        <w:ind w:left="858" w:hanging="432"/>
        <w:rPr>
          <w:rFonts w:asciiTheme="minorHAnsi" w:hAnsiTheme="minorHAnsi" w:cstheme="minorHAnsi"/>
          <w:sz w:val="22"/>
          <w:szCs w:val="22"/>
        </w:rPr>
      </w:pPr>
    </w:p>
    <w:p w14:paraId="448D05EE" w14:textId="77777777" w:rsidR="00E726A9" w:rsidRPr="00767D68" w:rsidRDefault="00E726A9" w:rsidP="00C55E68">
      <w:pPr>
        <w:pStyle w:val="Nivel2"/>
        <w:keepNext/>
        <w:keepLines/>
        <w:numPr>
          <w:ilvl w:val="1"/>
          <w:numId w:val="10"/>
        </w:numPr>
        <w:suppressLineNumbers/>
        <w:suppressAutoHyphens/>
        <w:spacing w:before="0" w:afterLines="120" w:after="288" w:line="360" w:lineRule="auto"/>
        <w:ind w:left="567" w:hanging="567"/>
        <w:rPr>
          <w:rFonts w:asciiTheme="minorHAnsi" w:hAnsiTheme="minorHAnsi" w:cstheme="minorHAnsi"/>
          <w:sz w:val="22"/>
          <w:szCs w:val="22"/>
          <w:lang w:val="x-none"/>
        </w:rPr>
      </w:pPr>
      <w:r w:rsidRPr="00767D68">
        <w:rPr>
          <w:rFonts w:asciiTheme="minorHAnsi" w:hAnsiTheme="minorHAnsi" w:cstheme="minorHAnsi"/>
          <w:sz w:val="22"/>
          <w:szCs w:val="22"/>
        </w:rPr>
        <w:t>Vinculam esta contratação, independentemente de transcrição:</w:t>
      </w:r>
    </w:p>
    <w:p w14:paraId="7129622F" w14:textId="77777777" w:rsidR="00E726A9" w:rsidRPr="00767D68" w:rsidRDefault="00E726A9" w:rsidP="00C55E68">
      <w:pPr>
        <w:pStyle w:val="Nivel3"/>
        <w:keepNext/>
        <w:keepLines/>
        <w:numPr>
          <w:ilvl w:val="2"/>
          <w:numId w:val="10"/>
        </w:numPr>
        <w:suppressLineNumbers/>
        <w:suppressAutoHyphens/>
        <w:spacing w:before="0" w:afterLines="120" w:after="288" w:line="360" w:lineRule="auto"/>
        <w:ind w:left="567" w:hanging="567"/>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C55E68">
      <w:pPr>
        <w:pStyle w:val="Nivel3"/>
        <w:keepNext/>
        <w:keepLines/>
        <w:numPr>
          <w:ilvl w:val="2"/>
          <w:numId w:val="10"/>
        </w:numPr>
        <w:suppressLineNumbers/>
        <w:suppressAutoHyphens/>
        <w:spacing w:before="0" w:afterLines="120" w:after="288" w:line="360" w:lineRule="auto"/>
        <w:ind w:left="567" w:hanging="567"/>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C55E68">
      <w:pPr>
        <w:pStyle w:val="Nivel3"/>
        <w:keepNext/>
        <w:keepLines/>
        <w:numPr>
          <w:ilvl w:val="2"/>
          <w:numId w:val="10"/>
        </w:numPr>
        <w:suppressLineNumbers/>
        <w:suppressAutoHyphens/>
        <w:spacing w:before="0" w:afterLines="120" w:after="288" w:line="360" w:lineRule="auto"/>
        <w:ind w:left="567" w:hanging="567"/>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C55E68">
      <w:pPr>
        <w:pStyle w:val="Nivel3"/>
        <w:keepNext/>
        <w:keepLines/>
        <w:numPr>
          <w:ilvl w:val="2"/>
          <w:numId w:val="10"/>
        </w:numPr>
        <w:suppressLineNumbers/>
        <w:suppressAutoHyphens/>
        <w:spacing w:before="0" w:afterLines="120" w:after="288" w:line="360" w:lineRule="auto"/>
        <w:ind w:left="567" w:hanging="567"/>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C55E68">
      <w:pPr>
        <w:pStyle w:val="Nivel3"/>
        <w:keepNext/>
        <w:keepLines/>
        <w:numPr>
          <w:ilvl w:val="0"/>
          <w:numId w:val="0"/>
        </w:numPr>
        <w:suppressLineNumbers/>
        <w:suppressAutoHyphens/>
        <w:spacing w:before="0" w:afterLines="120" w:after="288" w:line="360" w:lineRule="auto"/>
        <w:ind w:left="2160" w:hanging="180"/>
        <w:rPr>
          <w:rFonts w:asciiTheme="minorHAnsi" w:hAnsiTheme="minorHAnsi" w:cstheme="minorHAnsi"/>
          <w:sz w:val="22"/>
          <w:szCs w:val="22"/>
          <w:lang w:val="x-none"/>
        </w:rPr>
      </w:pPr>
    </w:p>
    <w:p w14:paraId="7D2274F5" w14:textId="597CB29A" w:rsidR="00E726A9" w:rsidRPr="00767D68" w:rsidRDefault="00E726A9" w:rsidP="00C55E68">
      <w:pPr>
        <w:pStyle w:val="Nivel3"/>
        <w:keepNext/>
        <w:keepLines/>
        <w:numPr>
          <w:ilvl w:val="0"/>
          <w:numId w:val="10"/>
        </w:numPr>
        <w:suppressLineNumbers/>
        <w:suppressAutoHyphens/>
        <w:spacing w:before="0" w:afterLines="120" w:after="288" w:line="360" w:lineRule="auto"/>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2F9064F3" w14:textId="0D72487F" w:rsidR="00653782" w:rsidRPr="00653782" w:rsidRDefault="00653782" w:rsidP="00C55E68">
      <w:pPr>
        <w:pStyle w:val="Nvel2-Red"/>
        <w:keepNext/>
        <w:keepLines/>
        <w:numPr>
          <w:ilvl w:val="1"/>
          <w:numId w:val="10"/>
        </w:numPr>
        <w:spacing w:afterLines="120" w:after="288" w:line="312" w:lineRule="auto"/>
        <w:ind w:left="426" w:hanging="284"/>
        <w:rPr>
          <w:rFonts w:asciiTheme="minorHAnsi" w:hAnsiTheme="minorHAnsi" w:cstheme="minorHAnsi"/>
          <w:i w:val="0"/>
          <w:iCs w:val="0"/>
          <w:color w:val="auto"/>
          <w:sz w:val="22"/>
          <w:szCs w:val="22"/>
        </w:rPr>
      </w:pPr>
      <w:r w:rsidRPr="00653782">
        <w:rPr>
          <w:rFonts w:asciiTheme="minorHAnsi" w:hAnsiTheme="minorHAnsi" w:cstheme="minorHAnsi"/>
          <w:i w:val="0"/>
          <w:iCs w:val="0"/>
          <w:color w:val="auto"/>
          <w:sz w:val="22"/>
          <w:szCs w:val="22"/>
        </w:rPr>
        <w:t>O prazo de vigência da contratação é de 12</w:t>
      </w:r>
      <w:r w:rsidR="0064196B">
        <w:rPr>
          <w:rFonts w:asciiTheme="minorHAnsi" w:hAnsiTheme="minorHAnsi" w:cstheme="minorHAnsi"/>
          <w:i w:val="0"/>
          <w:iCs w:val="0"/>
          <w:color w:val="auto"/>
          <w:sz w:val="22"/>
          <w:szCs w:val="22"/>
        </w:rPr>
        <w:t xml:space="preserve"> (doze)</w:t>
      </w:r>
      <w:r w:rsidRPr="00653782">
        <w:rPr>
          <w:rFonts w:asciiTheme="minorHAnsi" w:hAnsiTheme="minorHAnsi" w:cstheme="minorHAnsi"/>
          <w:i w:val="0"/>
          <w:iCs w:val="0"/>
          <w:color w:val="auto"/>
          <w:sz w:val="22"/>
          <w:szCs w:val="22"/>
        </w:rPr>
        <w:t xml:space="preserve"> meses contados da assinatura do contrato pelas partes, prorrogável por até 10 anos, na forma dos </w:t>
      </w:r>
      <w:hyperlink r:id="rId10" w:anchor="art106" w:history="1">
        <w:r w:rsidRPr="00653782">
          <w:rPr>
            <w:rStyle w:val="Hyperlink"/>
            <w:rFonts w:asciiTheme="minorHAnsi" w:hAnsiTheme="minorHAnsi" w:cstheme="minorHAnsi"/>
            <w:i w:val="0"/>
            <w:iCs w:val="0"/>
            <w:color w:val="auto"/>
            <w:sz w:val="22"/>
            <w:szCs w:val="22"/>
          </w:rPr>
          <w:t>artigos 106 e 107 da Lei n° 14.133, de 2021</w:t>
        </w:r>
      </w:hyperlink>
      <w:r w:rsidRPr="00653782">
        <w:rPr>
          <w:rFonts w:asciiTheme="minorHAnsi" w:hAnsiTheme="minorHAnsi" w:cstheme="minorHAnsi"/>
          <w:i w:val="0"/>
          <w:iCs w:val="0"/>
          <w:color w:val="auto"/>
          <w:sz w:val="22"/>
          <w:szCs w:val="22"/>
        </w:rPr>
        <w:t>.</w:t>
      </w:r>
    </w:p>
    <w:p w14:paraId="2618C525" w14:textId="77777777" w:rsidR="00315B33" w:rsidRDefault="00653782" w:rsidP="00C55E68">
      <w:pPr>
        <w:pStyle w:val="Nvel3-R"/>
        <w:keepNext/>
        <w:keepLines/>
        <w:numPr>
          <w:ilvl w:val="2"/>
          <w:numId w:val="10"/>
        </w:numPr>
        <w:spacing w:afterLines="120" w:after="288" w:line="312" w:lineRule="auto"/>
        <w:ind w:left="426" w:hanging="284"/>
        <w:rPr>
          <w:rFonts w:asciiTheme="minorHAnsi" w:hAnsiTheme="minorHAnsi" w:cstheme="minorHAnsi"/>
          <w:i w:val="0"/>
          <w:iCs w:val="0"/>
          <w:color w:val="auto"/>
          <w:sz w:val="22"/>
          <w:szCs w:val="22"/>
        </w:rPr>
      </w:pPr>
      <w:r w:rsidRPr="00653782">
        <w:rPr>
          <w:rFonts w:asciiTheme="minorHAnsi" w:hAnsiTheme="minorHAnsi" w:cstheme="minorHAnsi"/>
          <w:i w:val="0"/>
          <w:iCs w:val="0"/>
          <w:color w:val="auto"/>
          <w:sz w:val="22"/>
          <w:szCs w:val="22"/>
        </w:rPr>
        <w:t>A prorrogação de que trata este item é condicionada ao ateste, pela autoridade competente, de que as condições e os preços permanecem vantajosos para a Administração, permitida a negociação com o contratado.</w:t>
      </w:r>
    </w:p>
    <w:p w14:paraId="2710741E" w14:textId="396B6279" w:rsidR="00E726A9" w:rsidRPr="00315B33" w:rsidRDefault="00E726A9" w:rsidP="00C55E68">
      <w:pPr>
        <w:pStyle w:val="Nvel3-R"/>
        <w:keepNext/>
        <w:keepLines/>
        <w:numPr>
          <w:ilvl w:val="0"/>
          <w:numId w:val="10"/>
        </w:numPr>
        <w:spacing w:afterLines="120" w:after="288" w:line="312" w:lineRule="auto"/>
        <w:rPr>
          <w:rFonts w:asciiTheme="minorHAnsi" w:hAnsiTheme="minorHAnsi" w:cstheme="minorHAnsi"/>
          <w:i w:val="0"/>
          <w:iCs w:val="0"/>
          <w:color w:val="auto"/>
          <w:sz w:val="22"/>
          <w:szCs w:val="22"/>
        </w:rPr>
      </w:pPr>
      <w:r w:rsidRPr="00315B33">
        <w:rPr>
          <w:rFonts w:asciiTheme="minorHAnsi" w:hAnsiTheme="minorHAnsi" w:cstheme="minorHAnsi"/>
          <w:b/>
          <w:bCs/>
          <w:i w:val="0"/>
          <w:iCs w:val="0"/>
          <w:color w:val="auto"/>
          <w:sz w:val="22"/>
          <w:szCs w:val="22"/>
        </w:rPr>
        <w:t>CLÁUSULA TERCEIRA – MODELOS DE EXECUÇÃO E GESTÃO CONTRATUAIS (</w:t>
      </w:r>
      <w:hyperlink r:id="rId11" w:anchor="art92" w:history="1">
        <w:r w:rsidRPr="00315B33">
          <w:rPr>
            <w:rStyle w:val="Hyperlink"/>
            <w:rFonts w:asciiTheme="minorHAnsi" w:hAnsiTheme="minorHAnsi" w:cstheme="minorHAnsi"/>
            <w:b/>
            <w:bCs/>
            <w:i w:val="0"/>
            <w:iCs w:val="0"/>
            <w:color w:val="auto"/>
            <w:sz w:val="22"/>
            <w:szCs w:val="22"/>
          </w:rPr>
          <w:t>art. 92, IV, VII e XVIII)</w:t>
        </w:r>
      </w:hyperlink>
    </w:p>
    <w:p w14:paraId="0962CBC1" w14:textId="6C2DF953" w:rsidR="00C63DD4" w:rsidRPr="00767D68" w:rsidRDefault="00E726A9" w:rsidP="00C55E68">
      <w:pPr>
        <w:pStyle w:val="Nivel2"/>
        <w:keepNext/>
        <w:keepLines/>
        <w:numPr>
          <w:ilvl w:val="1"/>
          <w:numId w:val="25"/>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C55E68">
      <w:pPr>
        <w:pStyle w:val="Nivel2"/>
        <w:keepNext/>
        <w:keepLines/>
        <w:numPr>
          <w:ilvl w:val="0"/>
          <w:numId w:val="0"/>
        </w:numPr>
        <w:suppressLineNumbers/>
        <w:suppressAutoHyphens/>
        <w:spacing w:before="0" w:afterLines="120" w:after="288" w:line="360" w:lineRule="auto"/>
        <w:ind w:left="858" w:hanging="432"/>
        <w:rPr>
          <w:rFonts w:asciiTheme="minorHAnsi" w:hAnsiTheme="minorHAnsi" w:cstheme="minorHAnsi"/>
          <w:sz w:val="22"/>
          <w:szCs w:val="22"/>
        </w:rPr>
      </w:pPr>
    </w:p>
    <w:p w14:paraId="60DE92CA" w14:textId="0C17D569" w:rsidR="00E726A9" w:rsidRPr="00767D68" w:rsidRDefault="00E726A9" w:rsidP="00C55E68">
      <w:pPr>
        <w:pStyle w:val="Nivel2"/>
        <w:keepNext/>
        <w:keepLines/>
        <w:numPr>
          <w:ilvl w:val="0"/>
          <w:numId w:val="25"/>
        </w:numPr>
        <w:suppressLineNumbers/>
        <w:suppressAutoHyphens/>
        <w:spacing w:before="0" w:afterLines="120" w:after="288" w:line="360" w:lineRule="auto"/>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C55E68">
      <w:pPr>
        <w:pStyle w:val="PargrafodaLista"/>
        <w:keepNext/>
        <w:keepLines/>
        <w:numPr>
          <w:ilvl w:val="1"/>
          <w:numId w:val="32"/>
        </w:numPr>
        <w:suppressLineNumbers/>
        <w:spacing w:before="100" w:beforeAutospacing="1" w:line="360" w:lineRule="auto"/>
        <w:contextualSpacing w:val="0"/>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C55E68">
      <w:pPr>
        <w:pStyle w:val="textojustificado"/>
        <w:keepNext/>
        <w:keepLines/>
        <w:suppressLineNumbers/>
        <w:suppressAutoHyphens/>
        <w:spacing w:before="0" w:beforeAutospacing="0" w:after="0" w:afterAutospacing="0" w:line="360" w:lineRule="auto"/>
        <w:ind w:right="120"/>
        <w:jc w:val="both"/>
        <w:rPr>
          <w:rFonts w:asciiTheme="minorHAnsi" w:hAnsiTheme="minorHAnsi" w:cstheme="minorHAnsi"/>
          <w:color w:val="000000"/>
          <w:sz w:val="22"/>
          <w:szCs w:val="22"/>
        </w:rPr>
      </w:pPr>
    </w:p>
    <w:p w14:paraId="48DA5DD2" w14:textId="5DF0F3FB" w:rsidR="00E726A9" w:rsidRPr="00767D68" w:rsidRDefault="00E726A9" w:rsidP="00C55E68">
      <w:pPr>
        <w:pStyle w:val="textojustificado"/>
        <w:keepNext/>
        <w:keepLines/>
        <w:numPr>
          <w:ilvl w:val="0"/>
          <w:numId w:val="28"/>
        </w:numPr>
        <w:suppressLineNumbers/>
        <w:suppressAutoHyphens/>
        <w:spacing w:before="0" w:beforeAutospacing="0" w:after="0" w:afterAutospacing="0" w:line="360" w:lineRule="auto"/>
        <w:ind w:right="120"/>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07DE3CC3" w:rsidR="00E726A9" w:rsidRPr="00767D68" w:rsidRDefault="00E726A9" w:rsidP="00C55E68">
      <w:pPr>
        <w:pStyle w:val="Nivel2"/>
        <w:keepNext/>
        <w:keepLines/>
        <w:numPr>
          <w:ilvl w:val="1"/>
          <w:numId w:val="28"/>
        </w:numPr>
        <w:suppressLineNumbers/>
        <w:suppressAutoHyphens/>
        <w:spacing w:before="0" w:afterLines="120" w:after="288" w:line="360" w:lineRule="auto"/>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w:t>
      </w:r>
      <w:r w:rsidR="00FF3C85">
        <w:rPr>
          <w:rFonts w:asciiTheme="minorHAnsi" w:hAnsiTheme="minorHAnsi" w:cstheme="minorHAnsi"/>
          <w:sz w:val="22"/>
          <w:szCs w:val="22"/>
          <w:lang w:eastAsia="en-US"/>
        </w:rPr>
        <w:t>total</w:t>
      </w:r>
      <w:r w:rsidRPr="00767D68">
        <w:rPr>
          <w:rFonts w:asciiTheme="minorHAnsi" w:hAnsiTheme="minorHAnsi" w:cstheme="minorHAnsi"/>
          <w:sz w:val="22"/>
          <w:szCs w:val="22"/>
          <w:lang w:eastAsia="en-US"/>
        </w:rPr>
        <w:t xml:space="preserve">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w:t>
      </w:r>
    </w:p>
    <w:p w14:paraId="5AD579C6" w14:textId="77777777" w:rsidR="00E726A9" w:rsidRPr="00767D68" w:rsidRDefault="00E726A9" w:rsidP="00C55E68">
      <w:pPr>
        <w:pStyle w:val="Nivel2"/>
        <w:keepNext/>
        <w:keepLines/>
        <w:numPr>
          <w:ilvl w:val="1"/>
          <w:numId w:val="28"/>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C55E68">
      <w:pPr>
        <w:pStyle w:val="Nivel2"/>
        <w:keepNext/>
        <w:keepLines/>
        <w:numPr>
          <w:ilvl w:val="1"/>
          <w:numId w:val="28"/>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C55E68">
      <w:pPr>
        <w:pStyle w:val="Nivel2"/>
        <w:keepNext/>
        <w:keepLines/>
        <w:numPr>
          <w:ilvl w:val="0"/>
          <w:numId w:val="0"/>
        </w:numPr>
        <w:suppressLineNumbers/>
        <w:suppressAutoHyphens/>
        <w:spacing w:before="0" w:afterLines="120" w:after="288" w:line="360" w:lineRule="auto"/>
        <w:ind w:left="858" w:hanging="432"/>
        <w:rPr>
          <w:rFonts w:asciiTheme="minorHAnsi" w:hAnsiTheme="minorHAnsi" w:cstheme="minorHAnsi"/>
          <w:sz w:val="22"/>
          <w:szCs w:val="22"/>
        </w:rPr>
      </w:pPr>
    </w:p>
    <w:p w14:paraId="7BB62FF6" w14:textId="51DB6A4B" w:rsidR="00E726A9" w:rsidRPr="00767D68" w:rsidRDefault="00E726A9" w:rsidP="00C55E68">
      <w:pPr>
        <w:pStyle w:val="Nivel2"/>
        <w:keepNext/>
        <w:keepLines/>
        <w:numPr>
          <w:ilvl w:val="0"/>
          <w:numId w:val="28"/>
        </w:numPr>
        <w:suppressLineNumbers/>
        <w:suppressAutoHyphens/>
        <w:spacing w:before="0" w:afterLines="120" w:after="288" w:line="360" w:lineRule="auto"/>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2"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2437A2E9" w:rsidR="008C63D1" w:rsidRPr="00767D68" w:rsidRDefault="004839EF" w:rsidP="00C55E68">
      <w:pPr>
        <w:pStyle w:val="Nivel2"/>
        <w:keepNext/>
        <w:keepLines/>
        <w:numPr>
          <w:ilvl w:val="1"/>
          <w:numId w:val="28"/>
        </w:numPr>
        <w:suppressLineNumbers/>
        <w:suppressAutoHyphens/>
        <w:spacing w:before="0" w:after="0" w:line="360" w:lineRule="auto"/>
        <w:ind w:left="567" w:hanging="567"/>
        <w:rPr>
          <w:rFonts w:asciiTheme="minorHAnsi" w:hAnsiTheme="minorHAnsi" w:cstheme="minorHAnsi"/>
          <w:sz w:val="22"/>
          <w:szCs w:val="22"/>
        </w:rPr>
      </w:pPr>
      <w:r w:rsidRPr="004839EF">
        <w:rPr>
          <w:rFonts w:asciiTheme="minorHAnsi" w:hAnsiTheme="minorHAnsi" w:cstheme="minorHAnsi"/>
          <w:sz w:val="22"/>
          <w:szCs w:val="22"/>
        </w:rPr>
        <w:t>O prazo para pagamento ao contratado e demais condições a ele referentes encontram-se definidos no Termo de Referência, anexo a este Contrato</w:t>
      </w:r>
      <w:r w:rsidR="00E726A9" w:rsidRPr="00767D68">
        <w:rPr>
          <w:rFonts w:asciiTheme="minorHAnsi" w:hAnsiTheme="minorHAnsi" w:cstheme="minorHAnsi"/>
          <w:sz w:val="22"/>
          <w:szCs w:val="22"/>
        </w:rPr>
        <w:t>.</w:t>
      </w:r>
    </w:p>
    <w:p w14:paraId="16738B88" w14:textId="77777777" w:rsidR="008C63D1" w:rsidRPr="00767D68" w:rsidRDefault="008C63D1" w:rsidP="00C55E68">
      <w:pPr>
        <w:pStyle w:val="Nivel2"/>
        <w:keepNext/>
        <w:keepLines/>
        <w:numPr>
          <w:ilvl w:val="0"/>
          <w:numId w:val="0"/>
        </w:numPr>
        <w:suppressLineNumbers/>
        <w:suppressAutoHyphens/>
        <w:spacing w:before="0" w:after="0" w:line="360" w:lineRule="auto"/>
        <w:ind w:left="567"/>
        <w:rPr>
          <w:rFonts w:asciiTheme="minorHAnsi" w:hAnsiTheme="minorHAnsi" w:cstheme="minorHAnsi"/>
          <w:sz w:val="22"/>
          <w:szCs w:val="22"/>
        </w:rPr>
      </w:pPr>
    </w:p>
    <w:p w14:paraId="7D6A4131" w14:textId="5B283C92" w:rsidR="00767D68" w:rsidRPr="00767D68" w:rsidRDefault="00767D68" w:rsidP="00C55E68">
      <w:pPr>
        <w:keepNext/>
        <w:keepLines/>
        <w:suppressLineNumbers/>
        <w:spacing w:before="100" w:beforeAutospacing="1" w:line="360" w:lineRule="auto"/>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3CB92458" w14:textId="77777777" w:rsidR="00315B33"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0693630A" w14:textId="5F4B2A42" w:rsidR="00E54D9C" w:rsidRDefault="00E54D9C" w:rsidP="00C55E68">
      <w:pPr>
        <w:keepNext/>
        <w:keepLines/>
        <w:suppressLineNumbers/>
        <w:spacing w:before="100" w:beforeAutospacing="1"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7.1.1. A taxa com o percentual de desconto será irreajustável.</w:t>
      </w:r>
    </w:p>
    <w:p w14:paraId="0C0EEEC3" w14:textId="75717805" w:rsidR="00F41C6D" w:rsidRDefault="00E54D9C"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F41C6D">
        <w:rPr>
          <w:rFonts w:asciiTheme="minorHAnsi" w:hAnsiTheme="minorHAnsi" w:cstheme="minorHAnsi"/>
          <w:color w:val="000000"/>
          <w:sz w:val="22"/>
          <w:szCs w:val="22"/>
        </w:rPr>
        <w:t xml:space="preserve">7.1.2. </w:t>
      </w:r>
      <w:r w:rsidR="00A76B09" w:rsidRPr="00F41C6D">
        <w:rPr>
          <w:rFonts w:asciiTheme="minorHAnsi" w:hAnsiTheme="minorHAnsi" w:cstheme="minorHAnsi"/>
          <w:color w:val="000000"/>
          <w:sz w:val="22"/>
          <w:szCs w:val="22"/>
        </w:rPr>
        <w:t>Após o interregno de um ano, e independentemente de pedido do contratado, os preços iniciais</w:t>
      </w:r>
      <w:r w:rsidR="00F41C6D">
        <w:rPr>
          <w:rFonts w:asciiTheme="minorHAnsi" w:hAnsiTheme="minorHAnsi" w:cstheme="minorHAnsi"/>
          <w:color w:val="000000"/>
          <w:sz w:val="22"/>
          <w:szCs w:val="22"/>
        </w:rPr>
        <w:t xml:space="preserve"> do </w:t>
      </w:r>
      <w:r w:rsidR="00F41C6D" w:rsidRPr="00F41C6D">
        <w:rPr>
          <w:rFonts w:asciiTheme="minorHAnsi" w:hAnsiTheme="minorHAnsi" w:cstheme="minorHAnsi"/>
          <w:b/>
          <w:bCs/>
          <w:color w:val="000000"/>
          <w:sz w:val="22"/>
          <w:szCs w:val="22"/>
        </w:rPr>
        <w:t>Valor do Contrato</w:t>
      </w:r>
      <w:r w:rsidR="00F41C6D">
        <w:rPr>
          <w:rFonts w:asciiTheme="minorHAnsi" w:hAnsiTheme="minorHAnsi" w:cstheme="minorHAnsi"/>
          <w:color w:val="000000"/>
          <w:sz w:val="22"/>
          <w:szCs w:val="22"/>
        </w:rPr>
        <w:t>,</w:t>
      </w:r>
      <w:r w:rsidR="00A76B09" w:rsidRPr="00F41C6D">
        <w:rPr>
          <w:rFonts w:asciiTheme="minorHAnsi" w:hAnsiTheme="minorHAnsi" w:cstheme="minorHAnsi"/>
          <w:color w:val="000000"/>
          <w:sz w:val="22"/>
          <w:szCs w:val="22"/>
        </w:rPr>
        <w:t xml:space="preserve"> serão reajustados, mediante a aplicação, pelo contratante, do índice INCC (</w:t>
      </w:r>
      <w:r w:rsidR="00A76B09" w:rsidRPr="00F41C6D">
        <w:rPr>
          <w:rFonts w:asciiTheme="minorHAnsi" w:hAnsiTheme="minorHAnsi" w:cstheme="minorHAnsi"/>
          <w:b/>
          <w:bCs/>
          <w:sz w:val="22"/>
          <w:szCs w:val="22"/>
        </w:rPr>
        <w:t>Índice Nacional de Custo da Construção</w:t>
      </w:r>
      <w:r w:rsidR="00A76B09" w:rsidRPr="00F41C6D">
        <w:rPr>
          <w:rFonts w:asciiTheme="minorHAnsi" w:hAnsiTheme="minorHAnsi" w:cstheme="minorHAnsi"/>
          <w:color w:val="000000"/>
          <w:sz w:val="22"/>
          <w:szCs w:val="22"/>
        </w:rPr>
        <w:t xml:space="preserve">), exclusivamente para as obrigações iniciadas e concluídas após a ocorrência da anualidade. </w:t>
      </w:r>
    </w:p>
    <w:p w14:paraId="7053F05B" w14:textId="633F3CDE" w:rsidR="00767D68" w:rsidRPr="00F41C6D"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F41C6D">
        <w:rPr>
          <w:rFonts w:asciiTheme="minorHAnsi" w:hAnsiTheme="minorHAnsi" w:cstheme="minorHAnsi"/>
          <w:color w:val="000000"/>
          <w:sz w:val="22"/>
          <w:szCs w:val="22"/>
        </w:rPr>
        <w:lastRenderedPageBreak/>
        <w:t xml:space="preserve">7.2. Após o interregno de um ano, e independentemente de pedido do contratado, os preços iniciais serão reajustados, mediante a </w:t>
      </w:r>
      <w:r w:rsidR="00315B33" w:rsidRPr="00F41C6D">
        <w:rPr>
          <w:rFonts w:asciiTheme="minorHAnsi" w:hAnsiTheme="minorHAnsi" w:cstheme="minorHAnsi"/>
          <w:color w:val="000000"/>
          <w:sz w:val="22"/>
          <w:szCs w:val="22"/>
        </w:rPr>
        <w:t xml:space="preserve">atualização da </w:t>
      </w:r>
      <w:r w:rsidR="00315B33" w:rsidRPr="00F41C6D">
        <w:rPr>
          <w:rFonts w:asciiTheme="minorHAnsi" w:hAnsiTheme="minorHAnsi" w:cstheme="minorHAnsi"/>
          <w:b/>
          <w:bCs/>
          <w:color w:val="000000"/>
          <w:sz w:val="22"/>
          <w:szCs w:val="22"/>
        </w:rPr>
        <w:t>Tabela SINAPI-RJ</w:t>
      </w:r>
      <w:r w:rsidR="00315B33" w:rsidRPr="00F41C6D">
        <w:rPr>
          <w:rFonts w:asciiTheme="minorHAnsi" w:hAnsiTheme="minorHAnsi" w:cstheme="minorHAnsi"/>
          <w:color w:val="000000"/>
          <w:sz w:val="22"/>
          <w:szCs w:val="22"/>
        </w:rPr>
        <w:t xml:space="preserve"> para o mês de ocorrência do fato gerador</w:t>
      </w:r>
      <w:r w:rsidRPr="00F41C6D">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7.5. Nas aferições finais, o(s) índice(s) utilizado(s) para reajuste será(ão), obrigatoriamente, o(s) definitivo(s).</w:t>
      </w:r>
    </w:p>
    <w:p w14:paraId="2BB14CBB" w14:textId="77777777" w:rsidR="00767D68" w:rsidRP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7.6. Caso o(s) índice(s) estabelecido(s) para reajustamento venha(m) a ser extinto(s) ou de qualquer forma não possa(m) mais ser utilizado(s), será(ão) adotado(s), em substituição, o(s) que vier(em) a ser determinado(s) pela legislação então em vigor.</w:t>
      </w:r>
    </w:p>
    <w:p w14:paraId="4BD9764D" w14:textId="77777777" w:rsidR="00767D68" w:rsidRP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C55E68">
      <w:pPr>
        <w:keepNext/>
        <w:keepLines/>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1423EABD" w14:textId="77777777" w:rsidR="00C55E68" w:rsidRPr="00767D68" w:rsidRDefault="00C55E68" w:rsidP="00C55E68">
      <w:pPr>
        <w:keepNext/>
        <w:keepLines/>
        <w:suppressLineNumbers/>
        <w:spacing w:before="100" w:beforeAutospacing="1" w:line="360" w:lineRule="auto"/>
        <w:jc w:val="both"/>
        <w:rPr>
          <w:rFonts w:asciiTheme="minorHAnsi" w:hAnsiTheme="minorHAnsi" w:cstheme="minorHAnsi"/>
          <w:color w:val="000000"/>
          <w:sz w:val="22"/>
          <w:szCs w:val="22"/>
        </w:rPr>
      </w:pPr>
    </w:p>
    <w:p w14:paraId="207ED06E" w14:textId="2E95572F" w:rsidR="00E726A9" w:rsidRPr="00767D68" w:rsidRDefault="00E726A9" w:rsidP="00C55E68">
      <w:pPr>
        <w:pStyle w:val="Nivel01"/>
        <w:numPr>
          <w:ilvl w:val="0"/>
          <w:numId w:val="34"/>
        </w:numPr>
        <w:suppressLineNumbers/>
        <w:suppressAutoHyphens/>
        <w:spacing w:before="0" w:line="360" w:lineRule="auto"/>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3"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756A07E1"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Aplicar ao Contratado as sanções previstas na lei e neste Contrato;</w:t>
      </w:r>
    </w:p>
    <w:p w14:paraId="5AF7E39B"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67D57CF0"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315B33">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DF494DA"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FF3C85">
        <w:rPr>
          <w:rFonts w:asciiTheme="minorHAnsi" w:hAnsiTheme="minorHAnsi" w:cstheme="minorHAnsi"/>
          <w:b w:val="0"/>
          <w:bCs w:val="0"/>
          <w:sz w:val="22"/>
          <w:szCs w:val="22"/>
        </w:rPr>
        <w:t>30</w:t>
      </w:r>
      <w:r w:rsidR="00315B33">
        <w:rPr>
          <w:rFonts w:asciiTheme="minorHAnsi" w:hAnsiTheme="minorHAnsi" w:cstheme="minorHAnsi"/>
          <w:b w:val="0"/>
          <w:bCs w:val="0"/>
          <w:sz w:val="22"/>
          <w:szCs w:val="22"/>
        </w:rPr>
        <w:t xml:space="preserve"> (</w:t>
      </w:r>
      <w:r w:rsidR="00FF3C85">
        <w:rPr>
          <w:rFonts w:asciiTheme="minorHAnsi" w:hAnsiTheme="minorHAnsi" w:cstheme="minorHAnsi"/>
          <w:b w:val="0"/>
          <w:bCs w:val="0"/>
          <w:sz w:val="22"/>
          <w:szCs w:val="22"/>
        </w:rPr>
        <w:t>trinta</w:t>
      </w:r>
      <w:r w:rsidR="00315B33">
        <w:rPr>
          <w:rFonts w:asciiTheme="minorHAnsi" w:hAnsiTheme="minorHAnsi" w:cstheme="minorHAnsi"/>
          <w:b w:val="0"/>
          <w:bCs w:val="0"/>
          <w:sz w:val="22"/>
          <w:szCs w:val="22"/>
        </w:rPr>
        <w:t>)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o Contratado na hipótese de posterior alteração do projeto pelo Contratante, no caso do art. 93, §2º, da Lei nº 14.133, de 2021.</w:t>
      </w:r>
    </w:p>
    <w:p w14:paraId="56BDE391" w14:textId="00113DDA" w:rsidR="00767D68" w:rsidRPr="00767D68" w:rsidRDefault="00767D68" w:rsidP="00C55E68">
      <w:pPr>
        <w:pStyle w:val="Nivel01"/>
        <w:numPr>
          <w:ilvl w:val="1"/>
          <w:numId w:val="35"/>
        </w:numPr>
        <w:suppressLineNumbers/>
        <w:suppressAutoHyphens/>
        <w:spacing w:line="360" w:lineRule="auto"/>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C55E68">
      <w:pPr>
        <w:pStyle w:val="Nivel2"/>
        <w:keepNext/>
        <w:keepLines/>
        <w:numPr>
          <w:ilvl w:val="0"/>
          <w:numId w:val="0"/>
        </w:numPr>
        <w:suppressLineNumbers/>
        <w:suppressAutoHyphens/>
        <w:spacing w:before="0" w:afterLines="120" w:after="288" w:line="360" w:lineRule="auto"/>
        <w:ind w:left="567"/>
        <w:rPr>
          <w:rFonts w:asciiTheme="minorHAnsi" w:hAnsiTheme="minorHAnsi" w:cstheme="minorHAnsi"/>
          <w:sz w:val="22"/>
          <w:szCs w:val="22"/>
        </w:rPr>
      </w:pPr>
    </w:p>
    <w:p w14:paraId="4ABCC36B" w14:textId="40530113" w:rsidR="00E726A9" w:rsidRPr="00767D68" w:rsidRDefault="00E726A9" w:rsidP="00C55E68">
      <w:pPr>
        <w:pStyle w:val="Nivel01"/>
        <w:numPr>
          <w:ilvl w:val="0"/>
          <w:numId w:val="34"/>
        </w:numPr>
        <w:suppressLineNumbers/>
        <w:suppressAutoHyphens/>
        <w:spacing w:before="0" w:afterLines="120" w:after="288" w:line="360" w:lineRule="auto"/>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4"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30261170" w14:textId="77777777" w:rsidR="0082449B"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6C5F349F" w14:textId="77777777" w:rsidR="0082449B"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lastRenderedPageBreak/>
        <w:t>Entregar o objeto acompanhado do manual do usuário, com uma versão em português, e da relação da rede de assistência técnica autorizada;</w:t>
      </w:r>
    </w:p>
    <w:p w14:paraId="2909D213"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Responsabilizar-se pelos vícios e danos decorrentes do objeto, de acordo com o Código de Defesa do Consumidor (Lei nº 8.078, de 1990);</w:t>
      </w:r>
    </w:p>
    <w:p w14:paraId="38397AB5"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Comunicar ao contratante, no prazo máximo de 24 (vinte e quatro) horas que antecede a data da entrega, os motivos que impossibilitem o cumprimento do prazo previsto, com a devida comprovação;</w:t>
      </w:r>
    </w:p>
    <w:p w14:paraId="4908307B"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Atender às determinações regulares emitidas pelo fiscal ou gestor do contrato ou autoridade superior (art. 137, II, da Lei n.º 14.133, de 2021) e prestar todo esclarecimento ou informação por eles solicitados; 9.6. Reparar, corrigir, remover, reconstruir ou substituir, às suas expensas, no total ou em parte, no prazo fixado pelo fiscal do contrato, os bens nos quais se verificarem vícios, defeitos ou incorreções resultantes da execução ou dos materiais empregados;</w:t>
      </w:r>
    </w:p>
    <w:p w14:paraId="1D02CD2E"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ACF51F"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2C19A9B8"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5C74D66"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Comunicar ao Fiscal do contrato, no prazo de 24 (vinte e quatro) horas, qualquer ocorrência anormal ou acidente que se verifique no local da execução do objeto contratual.</w:t>
      </w:r>
    </w:p>
    <w:p w14:paraId="74527C98"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7F63E6E2"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Manter durante toda a vigência do contrato, em compatibilidade com as obrigações assumidas, todas as condições exigidas para habilitação na licitação;</w:t>
      </w:r>
    </w:p>
    <w:p w14:paraId="27BA7B9B"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51ADD094"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Comprovar a reserva de cargos a que se refere a cláusula acima, no prazo fixado pelo fiscal do contrato, com a indicação dos empregados que preencheram as referidas vagas (art. 116, parágrafo único, da Lei n.º 14.133, de 2021);</w:t>
      </w:r>
    </w:p>
    <w:p w14:paraId="3C3E0BC2"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Guardar sigilo sobre todas as informações obtidas em decorrência do cumprimento do contrato;</w:t>
      </w:r>
    </w:p>
    <w:p w14:paraId="18D91F76" w14:textId="77777777" w:rsidR="00A44B69"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508D3988" w14:textId="46BB41D3" w:rsidR="0082449B" w:rsidRPr="00C55E68" w:rsidRDefault="0082449B" w:rsidP="00C55E68">
      <w:pPr>
        <w:pStyle w:val="PargrafodaLista"/>
        <w:keepNext/>
        <w:keepLines/>
        <w:numPr>
          <w:ilvl w:val="1"/>
          <w:numId w:val="40"/>
        </w:numPr>
        <w:suppressAutoHyphens w:val="0"/>
        <w:spacing w:before="100" w:beforeAutospacing="1" w:after="100" w:afterAutospacing="1"/>
        <w:contextualSpacing w:val="0"/>
        <w:jc w:val="both"/>
        <w:rPr>
          <w:rFonts w:asciiTheme="minorHAnsi" w:eastAsiaTheme="majorEastAsia" w:hAnsiTheme="minorHAnsi" w:cstheme="minorHAnsi"/>
          <w:sz w:val="22"/>
          <w:szCs w:val="22"/>
        </w:rPr>
      </w:pPr>
      <w:r w:rsidRPr="00C55E68">
        <w:rPr>
          <w:rFonts w:asciiTheme="minorHAnsi" w:eastAsiaTheme="majorEastAsia" w:hAnsiTheme="minorHAnsi" w:cstheme="minorHAnsi"/>
          <w:sz w:val="22"/>
          <w:szCs w:val="22"/>
        </w:rPr>
        <w:t>Cumprir, além dos postulados legais vigentes de âmbito federal, estadual ou municipal, as normas de segurança do contratante;</w:t>
      </w:r>
    </w:p>
    <w:p w14:paraId="0C238EBC" w14:textId="3B1D662E" w:rsidR="00E726A9" w:rsidRPr="00767D68" w:rsidRDefault="00E726A9" w:rsidP="00C55E68">
      <w:pPr>
        <w:pStyle w:val="Nivel01"/>
        <w:numPr>
          <w:ilvl w:val="0"/>
          <w:numId w:val="40"/>
        </w:numPr>
        <w:suppressLineNumbers/>
        <w:suppressAutoHyphens/>
        <w:spacing w:before="0" w:afterLines="120" w:after="288" w:line="360" w:lineRule="auto"/>
        <w:rPr>
          <w:rFonts w:asciiTheme="minorHAnsi" w:hAnsiTheme="minorHAnsi" w:cstheme="minorHAnsi"/>
          <w:sz w:val="22"/>
          <w:szCs w:val="22"/>
        </w:rPr>
      </w:pPr>
      <w:r w:rsidRPr="00767D68">
        <w:rPr>
          <w:rFonts w:asciiTheme="minorHAnsi" w:hAnsiTheme="minorHAnsi" w:cstheme="minorHAnsi"/>
          <w:sz w:val="22"/>
          <w:szCs w:val="22"/>
        </w:rPr>
        <w:t>CLÁUSULA DÉCIMA – GARANTIA DE EXECUÇÃO (</w:t>
      </w:r>
      <w:hyperlink r:id="rId1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C55E68">
      <w:pPr>
        <w:pStyle w:val="Nivel2"/>
        <w:keepNext/>
        <w:keepLines/>
        <w:numPr>
          <w:ilvl w:val="1"/>
          <w:numId w:val="40"/>
        </w:numPr>
        <w:suppressLineNumbers/>
        <w:suppressAutoHyphens/>
        <w:spacing w:afterLines="120" w:after="288" w:line="360" w:lineRule="auto"/>
        <w:rPr>
          <w:rFonts w:asciiTheme="minorHAnsi" w:hAnsiTheme="minorHAnsi" w:cstheme="minorHAnsi"/>
          <w:sz w:val="22"/>
          <w:szCs w:val="22"/>
        </w:rPr>
      </w:pPr>
      <w:r w:rsidRPr="00767D68">
        <w:rPr>
          <w:rFonts w:asciiTheme="minorHAnsi" w:hAnsiTheme="minorHAnsi" w:cstheme="minorHAnsi"/>
          <w:sz w:val="22"/>
          <w:szCs w:val="22"/>
        </w:rPr>
        <w:t>Não haverá exigência de garantia contratual da execução.</w:t>
      </w:r>
    </w:p>
    <w:p w14:paraId="1B423BAB" w14:textId="29AFA20A" w:rsidR="00E726A9" w:rsidRPr="00767D68" w:rsidRDefault="00E726A9" w:rsidP="00C55E68">
      <w:pPr>
        <w:pStyle w:val="Nivel010"/>
        <w:numPr>
          <w:ilvl w:val="0"/>
          <w:numId w:val="40"/>
        </w:numPr>
        <w:suppressLineNumbers/>
        <w:suppressAutoHyphens/>
        <w:spacing w:before="0" w:afterLines="120" w:after="288" w:line="360" w:lineRule="auto"/>
        <w:rPr>
          <w:rFonts w:asciiTheme="minorHAnsi" w:hAnsiTheme="minorHAnsi" w:cstheme="minorHAnsi"/>
          <w:color w:val="FFFFFF" w:themeColor="background1"/>
          <w:sz w:val="22"/>
          <w:szCs w:val="22"/>
        </w:rPr>
      </w:pPr>
      <w:r w:rsidRPr="00767D68">
        <w:rPr>
          <w:rFonts w:asciiTheme="minorHAnsi" w:hAnsiTheme="minorHAnsi" w:cstheme="minorHAnsi"/>
          <w:sz w:val="22"/>
          <w:szCs w:val="22"/>
        </w:rPr>
        <w:lastRenderedPageBreak/>
        <w:t xml:space="preserve">CLÁUSULA DÉCIMA </w:t>
      </w:r>
      <w:r w:rsidR="00A44B69">
        <w:rPr>
          <w:rFonts w:asciiTheme="minorHAnsi" w:hAnsiTheme="minorHAnsi" w:cstheme="minorHAnsi"/>
          <w:sz w:val="22"/>
          <w:szCs w:val="22"/>
        </w:rPr>
        <w:t>PRIMEIRA</w:t>
      </w:r>
      <w:r w:rsidRPr="00767D68">
        <w:rPr>
          <w:rFonts w:asciiTheme="minorHAnsi" w:hAnsiTheme="minorHAnsi" w:cstheme="minorHAnsi"/>
          <w:sz w:val="22"/>
          <w:szCs w:val="22"/>
        </w:rPr>
        <w:t xml:space="preserve"> – INFRAÇÕES E SANÇÕES ADMINISTRATIVAS (</w:t>
      </w:r>
      <w:hyperlink r:id="rId16" w:anchor="art92" w:history="1">
        <w:r w:rsidRPr="00767D68">
          <w:rPr>
            <w:rStyle w:val="Hyperlink"/>
            <w:rFonts w:asciiTheme="minorHAnsi" w:hAnsiTheme="minorHAnsi" w:cstheme="minorHAnsi"/>
            <w:sz w:val="22"/>
            <w:szCs w:val="22"/>
          </w:rPr>
          <w:t>art. 92, XIV</w:t>
        </w:r>
      </w:hyperlink>
      <w:r w:rsidRPr="00767D68">
        <w:rPr>
          <w:rFonts w:asciiTheme="minorHAnsi" w:hAnsiTheme="minorHAnsi" w:cstheme="minorHAnsi"/>
          <w:sz w:val="22"/>
          <w:szCs w:val="22"/>
        </w:rPr>
        <w:t>)</w:t>
      </w:r>
    </w:p>
    <w:p w14:paraId="56F7D5A1"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1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praticar ato fraudulento na execução do contrato;</w:t>
      </w:r>
    </w:p>
    <w:p w14:paraId="1B8B9894"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C55E68">
      <w:pPr>
        <w:keepNext/>
        <w:keepLines/>
        <w:numPr>
          <w:ilvl w:val="2"/>
          <w:numId w:val="17"/>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1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C55E68">
      <w:pPr>
        <w:keepNext/>
        <w:keepLines/>
        <w:numPr>
          <w:ilvl w:val="2"/>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19" w:anchor="art156§2" w:history="1">
        <w:r w:rsidRPr="00767D68">
          <w:rPr>
            <w:rStyle w:val="Hyperlink"/>
            <w:rFonts w:asciiTheme="minorHAnsi" w:eastAsia="Arial" w:hAnsiTheme="minorHAnsi" w:cstheme="minorHAnsi"/>
            <w:sz w:val="22"/>
            <w:szCs w:val="22"/>
          </w:rPr>
          <w:t xml:space="preserve">art. 156, §2º, da </w:t>
        </w:r>
        <w:bookmarkStart w:id="0" w:name="_Hlk114504069"/>
        <w:r w:rsidRPr="00767D68">
          <w:rPr>
            <w:rStyle w:val="Hyperlink"/>
            <w:rFonts w:asciiTheme="minorHAnsi" w:eastAsia="Arial" w:hAnsiTheme="minorHAnsi" w:cstheme="minorHAnsi"/>
            <w:sz w:val="22"/>
            <w:szCs w:val="22"/>
          </w:rPr>
          <w:t>Lei nº 14.133, de 2021</w:t>
        </w:r>
        <w:bookmarkEnd w:id="0"/>
      </w:hyperlink>
      <w:r w:rsidRPr="00767D68">
        <w:rPr>
          <w:rFonts w:asciiTheme="minorHAnsi" w:eastAsia="Arial" w:hAnsiTheme="minorHAnsi" w:cstheme="minorHAnsi"/>
          <w:sz w:val="22"/>
          <w:szCs w:val="22"/>
        </w:rPr>
        <w:t>);</w:t>
      </w:r>
    </w:p>
    <w:p w14:paraId="6F505328" w14:textId="77777777" w:rsidR="00E726A9" w:rsidRPr="00767D68" w:rsidRDefault="00E726A9" w:rsidP="00C55E68">
      <w:pPr>
        <w:keepNext/>
        <w:keepLines/>
        <w:numPr>
          <w:ilvl w:val="2"/>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2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C55E68">
      <w:pPr>
        <w:keepNext/>
        <w:keepLines/>
        <w:numPr>
          <w:ilvl w:val="2"/>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2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C55E68">
      <w:pPr>
        <w:keepNext/>
        <w:keepLines/>
        <w:numPr>
          <w:ilvl w:val="2"/>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C55E68">
      <w:pPr>
        <w:keepNext/>
        <w:keepLines/>
        <w:numPr>
          <w:ilvl w:val="3"/>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C55E68">
      <w:pPr>
        <w:keepNext/>
        <w:keepLines/>
        <w:numPr>
          <w:ilvl w:val="7"/>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2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C55E68">
      <w:pPr>
        <w:keepNext/>
        <w:keepLines/>
        <w:numPr>
          <w:ilvl w:val="3"/>
          <w:numId w:val="18"/>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2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2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2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1" w:name="_Hlk78351618"/>
      <w:bookmarkEnd w:id="1"/>
    </w:p>
    <w:p w14:paraId="3437A351"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2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2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C55E68">
      <w:pPr>
        <w:keepNext/>
        <w:keepLines/>
        <w:numPr>
          <w:ilvl w:val="0"/>
          <w:numId w:val="15"/>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C55E68">
      <w:pPr>
        <w:keepNext/>
        <w:keepLines/>
        <w:numPr>
          <w:ilvl w:val="0"/>
          <w:numId w:val="15"/>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C55E68">
      <w:pPr>
        <w:keepNext/>
        <w:keepLines/>
        <w:numPr>
          <w:ilvl w:val="0"/>
          <w:numId w:val="15"/>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C55E68">
      <w:pPr>
        <w:keepNext/>
        <w:keepLines/>
        <w:numPr>
          <w:ilvl w:val="0"/>
          <w:numId w:val="15"/>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os danos que dela provierem para o Contratante;</w:t>
      </w:r>
    </w:p>
    <w:p w14:paraId="4763F694" w14:textId="77777777" w:rsidR="00E726A9" w:rsidRPr="00767D68" w:rsidRDefault="00E726A9" w:rsidP="00C55E68">
      <w:pPr>
        <w:keepNext/>
        <w:keepLines/>
        <w:numPr>
          <w:ilvl w:val="0"/>
          <w:numId w:val="15"/>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2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3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3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i/>
          <w:iCs/>
          <w:sz w:val="22"/>
          <w:szCs w:val="22"/>
        </w:rPr>
      </w:pPr>
      <w:r w:rsidRPr="00767D68">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3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3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6FB8989A" w:rsidR="00E726A9" w:rsidRPr="00767D68" w:rsidRDefault="00E726A9" w:rsidP="00C55E68">
      <w:pPr>
        <w:pStyle w:val="Nivel010"/>
        <w:numPr>
          <w:ilvl w:val="0"/>
          <w:numId w:val="40"/>
        </w:numPr>
        <w:suppressLineNumbers/>
        <w:suppressAutoHyphens/>
        <w:spacing w:before="0" w:afterLines="120" w:after="288" w:line="360" w:lineRule="auto"/>
        <w:rPr>
          <w:rFonts w:asciiTheme="minorHAnsi" w:hAnsiTheme="minorHAnsi" w:cstheme="minorHAnsi"/>
          <w:color w:val="FFFFFF" w:themeColor="background1"/>
          <w:sz w:val="22"/>
          <w:szCs w:val="22"/>
        </w:rPr>
      </w:pPr>
      <w:r w:rsidRPr="00767D68">
        <w:rPr>
          <w:rFonts w:asciiTheme="minorHAnsi" w:hAnsiTheme="minorHAnsi" w:cstheme="minorHAnsi"/>
          <w:sz w:val="22"/>
          <w:szCs w:val="22"/>
        </w:rPr>
        <w:t xml:space="preserve">CLÁUSULA DÉCIMA </w:t>
      </w:r>
      <w:r w:rsidR="00A44B69">
        <w:rPr>
          <w:rFonts w:asciiTheme="minorHAnsi" w:hAnsiTheme="minorHAnsi" w:cstheme="minorHAnsi"/>
          <w:sz w:val="22"/>
          <w:szCs w:val="22"/>
        </w:rPr>
        <w:t>SEGUNDA</w:t>
      </w:r>
      <w:r w:rsidRPr="00767D68">
        <w:rPr>
          <w:rFonts w:asciiTheme="minorHAnsi" w:hAnsiTheme="minorHAnsi" w:cstheme="minorHAnsi"/>
          <w:sz w:val="22"/>
          <w:szCs w:val="22"/>
        </w:rPr>
        <w:t>– DA EXTINÇÃO CONTRATUAL (</w:t>
      </w:r>
      <w:hyperlink r:id="rId3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lastRenderedPageBreak/>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C55E68">
      <w:pPr>
        <w:pStyle w:val="Nivel2"/>
        <w:keepNext/>
        <w:keepLines/>
        <w:numPr>
          <w:ilvl w:val="2"/>
          <w:numId w:val="23"/>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C55E68">
      <w:pPr>
        <w:pStyle w:val="Nivel2"/>
        <w:keepNext/>
        <w:keepLines/>
        <w:numPr>
          <w:ilvl w:val="2"/>
          <w:numId w:val="23"/>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3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3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C55E68">
      <w:pPr>
        <w:pStyle w:val="Nivel4"/>
        <w:keepNext/>
        <w:keepLines/>
        <w:numPr>
          <w:ilvl w:val="3"/>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C55E68">
      <w:pPr>
        <w:pStyle w:val="Nivel3"/>
        <w:keepNext/>
        <w:keepLines/>
        <w:numPr>
          <w:ilvl w:val="2"/>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 extinção do contrato não configura óbice para o reconhecimento do desequilíbrio econômico-financeiro, hipótese em que será concedida indenização por meio de termo indenizatório (</w:t>
      </w:r>
      <w:hyperlink r:id="rId3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3E2E572F" w14:textId="0570BD60" w:rsidR="00E726A9" w:rsidRPr="00767D68" w:rsidRDefault="00E726A9" w:rsidP="00C55E68">
      <w:pPr>
        <w:pStyle w:val="Nivel010"/>
        <w:numPr>
          <w:ilvl w:val="0"/>
          <w:numId w:val="40"/>
        </w:numPr>
        <w:suppressLineNumbers/>
        <w:suppressAutoHyphens/>
        <w:spacing w:before="0" w:afterLines="120" w:after="288" w:line="360" w:lineRule="auto"/>
        <w:rPr>
          <w:rFonts w:asciiTheme="minorHAnsi" w:hAnsiTheme="minorHAnsi" w:cstheme="minorHAnsi"/>
          <w:color w:val="FFFFFF" w:themeColor="background1"/>
          <w:sz w:val="22"/>
          <w:szCs w:val="22"/>
        </w:rPr>
      </w:pPr>
      <w:r w:rsidRPr="00767D68">
        <w:rPr>
          <w:rFonts w:asciiTheme="minorHAnsi" w:hAnsiTheme="minorHAnsi" w:cstheme="minorHAnsi"/>
          <w:sz w:val="22"/>
          <w:szCs w:val="22"/>
        </w:rPr>
        <w:t xml:space="preserve">CLÁUSULA DÉCIMA </w:t>
      </w:r>
      <w:r w:rsidR="00A44B69">
        <w:rPr>
          <w:rFonts w:asciiTheme="minorHAnsi" w:hAnsiTheme="minorHAnsi" w:cstheme="minorHAnsi"/>
          <w:sz w:val="22"/>
          <w:szCs w:val="22"/>
        </w:rPr>
        <w:t>TERCEIRA</w:t>
      </w:r>
      <w:r w:rsidRPr="00767D68">
        <w:rPr>
          <w:rFonts w:asciiTheme="minorHAnsi" w:hAnsiTheme="minorHAnsi" w:cstheme="minorHAnsi"/>
          <w:sz w:val="22"/>
          <w:szCs w:val="22"/>
        </w:rPr>
        <w:t xml:space="preserve"> – ALTERAÇÕES</w:t>
      </w:r>
    </w:p>
    <w:p w14:paraId="12D379D9"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lastRenderedPageBreak/>
        <w:t xml:space="preserve">Eventuais alterações contratuais reger-se-ão pela disciplina dos </w:t>
      </w:r>
      <w:hyperlink r:id="rId40" w:anchor="art124" w:history="1">
        <w:r w:rsidRPr="00767D68">
          <w:rPr>
            <w:rStyle w:val="Hyperlink"/>
            <w:rFonts w:asciiTheme="minorHAnsi" w:hAnsiTheme="minorHAnsi" w:cstheme="minorHAnsi"/>
            <w:sz w:val="22"/>
            <w:szCs w:val="22"/>
          </w:rPr>
          <w:t>arts.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C55E68">
      <w:pPr>
        <w:pStyle w:val="Nivel2"/>
        <w:keepNext/>
        <w:keepLines/>
        <w:numPr>
          <w:ilvl w:val="1"/>
          <w:numId w:val="40"/>
        </w:numPr>
        <w:suppressLineNumbers/>
        <w:suppressAutoHyphens/>
        <w:spacing w:before="0" w:after="0"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41"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42"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45D6659A" w:rsidR="00E726A9" w:rsidRPr="00767D68" w:rsidRDefault="00E726A9" w:rsidP="00C55E68">
      <w:pPr>
        <w:pStyle w:val="Nivel010"/>
        <w:numPr>
          <w:ilvl w:val="0"/>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CLÁUSULA DÉCIMA </w:t>
      </w:r>
      <w:r w:rsidR="00A44B69">
        <w:rPr>
          <w:rFonts w:asciiTheme="minorHAnsi" w:hAnsiTheme="minorHAnsi" w:cstheme="minorHAnsi"/>
          <w:sz w:val="22"/>
          <w:szCs w:val="22"/>
        </w:rPr>
        <w:t>QUART</w:t>
      </w:r>
      <w:r w:rsidRPr="00767D68">
        <w:rPr>
          <w:rFonts w:asciiTheme="minorHAnsi" w:hAnsiTheme="minorHAnsi" w:cstheme="minorHAnsi"/>
          <w:sz w:val="22"/>
          <w:szCs w:val="22"/>
        </w:rPr>
        <w:t>A – DOTAÇÃO ORÇAMENTÁRIA (</w:t>
      </w:r>
      <w:hyperlink r:id="rId43"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C55E68">
      <w:pPr>
        <w:keepNext/>
        <w:keepLines/>
        <w:numPr>
          <w:ilvl w:val="1"/>
          <w:numId w:val="16"/>
        </w:numPr>
        <w:suppressLineNumbers/>
        <w:spacing w:afterLines="120" w:after="288" w:line="360" w:lineRule="auto"/>
        <w:ind w:left="567" w:hanging="567"/>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C55E68">
      <w:pPr>
        <w:pStyle w:val="Nvel2-Red"/>
        <w:keepNext/>
        <w:keepLines/>
        <w:numPr>
          <w:ilvl w:val="1"/>
          <w:numId w:val="40"/>
        </w:numPr>
        <w:suppressLineNumbers/>
        <w:suppressAutoHyphens/>
        <w:spacing w:before="0" w:afterLines="120" w:after="288" w:line="360" w:lineRule="auto"/>
        <w:ind w:left="567" w:hanging="567"/>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63438576" w:rsidR="00E726A9" w:rsidRPr="00767D68" w:rsidRDefault="00E726A9" w:rsidP="00C55E68">
      <w:pPr>
        <w:pStyle w:val="Nivel010"/>
        <w:numPr>
          <w:ilvl w:val="0"/>
          <w:numId w:val="40"/>
        </w:numPr>
        <w:suppressLineNumbers/>
        <w:suppressAutoHyphens/>
        <w:spacing w:before="0" w:afterLines="120" w:after="288" w:line="360" w:lineRule="auto"/>
        <w:rPr>
          <w:rFonts w:asciiTheme="minorHAnsi" w:hAnsiTheme="minorHAnsi" w:cstheme="minorHAnsi"/>
          <w:color w:val="FFFFFF" w:themeColor="background1"/>
          <w:sz w:val="22"/>
          <w:szCs w:val="22"/>
        </w:rPr>
      </w:pPr>
      <w:r w:rsidRPr="00767D68">
        <w:rPr>
          <w:rFonts w:asciiTheme="minorHAnsi" w:hAnsiTheme="minorHAnsi" w:cstheme="minorHAnsi"/>
          <w:sz w:val="22"/>
          <w:szCs w:val="22"/>
        </w:rPr>
        <w:t xml:space="preserve">CLÁUSULA DÉCIMA </w:t>
      </w:r>
      <w:r w:rsidR="00A44B69">
        <w:rPr>
          <w:rFonts w:asciiTheme="minorHAnsi" w:hAnsiTheme="minorHAnsi" w:cstheme="minorHAnsi"/>
          <w:sz w:val="22"/>
          <w:szCs w:val="22"/>
        </w:rPr>
        <w:t>QUINT</w:t>
      </w:r>
      <w:r w:rsidRPr="00767D68">
        <w:rPr>
          <w:rFonts w:asciiTheme="minorHAnsi" w:hAnsiTheme="minorHAnsi" w:cstheme="minorHAnsi"/>
          <w:sz w:val="22"/>
          <w:szCs w:val="22"/>
        </w:rPr>
        <w:t>A – DOS CASOS OMISSOS (</w:t>
      </w:r>
      <w:hyperlink r:id="rId44"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lastRenderedPageBreak/>
        <w:t xml:space="preserve">Os casos omissos serão decididos pelo contratante, segundo as disposições contidas na </w:t>
      </w:r>
      <w:hyperlink r:id="rId45"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46"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FCBDDCB" w:rsidR="00E726A9" w:rsidRPr="00767D68" w:rsidRDefault="00E726A9" w:rsidP="00C55E68">
      <w:pPr>
        <w:pStyle w:val="Nivel010"/>
        <w:numPr>
          <w:ilvl w:val="0"/>
          <w:numId w:val="40"/>
        </w:numPr>
        <w:suppressLineNumbers/>
        <w:suppressAutoHyphens/>
        <w:spacing w:before="0" w:afterLines="120" w:after="288" w:line="360" w:lineRule="auto"/>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w:t>
      </w:r>
      <w:r w:rsidR="00A44B69">
        <w:rPr>
          <w:rFonts w:asciiTheme="minorHAnsi" w:hAnsiTheme="minorHAnsi" w:cstheme="minorHAnsi"/>
          <w:sz w:val="22"/>
          <w:szCs w:val="22"/>
        </w:rPr>
        <w:t>EXTA</w:t>
      </w:r>
      <w:r w:rsidRPr="00767D68">
        <w:rPr>
          <w:rFonts w:asciiTheme="minorHAnsi" w:hAnsiTheme="minorHAnsi" w:cstheme="minorHAnsi"/>
          <w:sz w:val="22"/>
          <w:szCs w:val="22"/>
        </w:rPr>
        <w:t xml:space="preserve"> – PUBLICAÇÃO</w:t>
      </w:r>
    </w:p>
    <w:p w14:paraId="1737AE43" w14:textId="3D179EB4" w:rsidR="00E43629" w:rsidRPr="00767D68" w:rsidRDefault="00E726A9" w:rsidP="00C55E68">
      <w:pPr>
        <w:pStyle w:val="Nivel2"/>
        <w:keepNext/>
        <w:keepLines/>
        <w:numPr>
          <w:ilvl w:val="1"/>
          <w:numId w:val="40"/>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47"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48"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49"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C55E68">
      <w:pPr>
        <w:pStyle w:val="Nivel2"/>
        <w:keepNext/>
        <w:keepLines/>
        <w:numPr>
          <w:ilvl w:val="0"/>
          <w:numId w:val="0"/>
        </w:numPr>
        <w:suppressLineNumbers/>
        <w:suppressAutoHyphens/>
        <w:spacing w:before="0" w:afterLines="120" w:after="288" w:line="360" w:lineRule="auto"/>
        <w:ind w:left="858" w:hanging="432"/>
        <w:rPr>
          <w:rFonts w:asciiTheme="minorHAnsi" w:hAnsiTheme="minorHAnsi" w:cstheme="minorHAnsi"/>
          <w:sz w:val="22"/>
          <w:szCs w:val="22"/>
        </w:rPr>
      </w:pPr>
    </w:p>
    <w:p w14:paraId="5C31E496" w14:textId="3A6FBF3F" w:rsidR="00B8510A" w:rsidRPr="00767D68" w:rsidRDefault="00B8510A" w:rsidP="00C55E68">
      <w:pPr>
        <w:pStyle w:val="Nivel2"/>
        <w:keepNext/>
        <w:keepLines/>
        <w:numPr>
          <w:ilvl w:val="0"/>
          <w:numId w:val="40"/>
        </w:numPr>
        <w:suppressLineNumbers/>
        <w:suppressAutoHyphens/>
        <w:spacing w:before="0" w:afterLines="120" w:after="288" w:line="360" w:lineRule="auto"/>
        <w:rPr>
          <w:rFonts w:asciiTheme="minorHAnsi" w:hAnsiTheme="minorHAnsi" w:cstheme="minorHAnsi"/>
          <w:b/>
          <w:bCs/>
          <w:sz w:val="22"/>
          <w:szCs w:val="22"/>
        </w:rPr>
      </w:pPr>
      <w:r w:rsidRPr="00767D68">
        <w:rPr>
          <w:rFonts w:asciiTheme="minorHAnsi" w:hAnsiTheme="minorHAnsi" w:cstheme="minorHAnsi"/>
          <w:b/>
          <w:bCs/>
          <w:sz w:val="22"/>
          <w:szCs w:val="22"/>
        </w:rPr>
        <w:t xml:space="preserve">CLÁUSULA DÉCIMA </w:t>
      </w:r>
      <w:r w:rsidR="00A44B69">
        <w:rPr>
          <w:rFonts w:asciiTheme="minorHAnsi" w:hAnsiTheme="minorHAnsi" w:cstheme="minorHAnsi"/>
          <w:b/>
          <w:bCs/>
          <w:sz w:val="22"/>
          <w:szCs w:val="22"/>
        </w:rPr>
        <w:t>SÉTIM</w:t>
      </w:r>
      <w:r w:rsidRPr="00767D68">
        <w:rPr>
          <w:rFonts w:asciiTheme="minorHAnsi" w:hAnsiTheme="minorHAnsi" w:cstheme="minorHAnsi"/>
          <w:b/>
          <w:bCs/>
          <w:sz w:val="22"/>
          <w:szCs w:val="22"/>
        </w:rPr>
        <w:t>A– FORO (</w:t>
      </w:r>
      <w:hyperlink r:id="rId50"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C55E68">
      <w:pPr>
        <w:pStyle w:val="Nivel2"/>
        <w:keepNext/>
        <w:keepLines/>
        <w:numPr>
          <w:ilvl w:val="1"/>
          <w:numId w:val="9"/>
        </w:numPr>
        <w:suppressLineNumbers/>
        <w:suppressAutoHyphens/>
        <w:spacing w:before="0" w:afterLines="120" w:after="288" w:line="360" w:lineRule="auto"/>
        <w:ind w:left="567" w:hanging="567"/>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51"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C55E68">
      <w:pPr>
        <w:pStyle w:val="Nivel2"/>
        <w:keepNext/>
        <w:keepLines/>
        <w:numPr>
          <w:ilvl w:val="0"/>
          <w:numId w:val="0"/>
        </w:numPr>
        <w:suppressLineNumbers/>
        <w:suppressAutoHyphens/>
        <w:spacing w:before="0" w:afterLines="120" w:after="288" w:line="360" w:lineRule="auto"/>
        <w:ind w:hanging="6"/>
        <w:rPr>
          <w:rFonts w:asciiTheme="minorHAnsi" w:hAnsiTheme="minorHAnsi" w:cstheme="minorHAnsi"/>
          <w:sz w:val="22"/>
          <w:szCs w:val="22"/>
        </w:rPr>
      </w:pPr>
    </w:p>
    <w:p w14:paraId="6EBD887F" w14:textId="38309EDE" w:rsidR="0058089D" w:rsidRPr="00767D68" w:rsidRDefault="0058089D" w:rsidP="00C55E68">
      <w:pPr>
        <w:pStyle w:val="Nivel2"/>
        <w:keepNext/>
        <w:keepLines/>
        <w:numPr>
          <w:ilvl w:val="0"/>
          <w:numId w:val="0"/>
        </w:numPr>
        <w:suppressLineNumbers/>
        <w:suppressAutoHyphens/>
        <w:spacing w:before="0" w:afterLines="120" w:after="288" w:line="360" w:lineRule="auto"/>
        <w:ind w:hanging="6"/>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C55E68">
      <w:pPr>
        <w:keepNext/>
        <w:keepLines/>
        <w:suppressLineNumbers/>
        <w:spacing w:after="120" w:line="276" w:lineRule="auto"/>
        <w:ind w:left="567" w:right="-15" w:hanging="567"/>
        <w:rPr>
          <w:rFonts w:asciiTheme="minorHAnsi" w:hAnsiTheme="minorHAnsi" w:cstheme="minorHAnsi"/>
          <w:b/>
          <w:bCs/>
          <w:sz w:val="22"/>
          <w:szCs w:val="22"/>
        </w:rPr>
      </w:pPr>
    </w:p>
    <w:sectPr w:rsidR="009271C3" w:rsidRPr="00B94120" w:rsidSect="00135BEF">
      <w:headerReference w:type="default" r:id="rId52"/>
      <w:footerReference w:type="default" r:id="rId53"/>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4241" w14:textId="77777777" w:rsidR="0027478F" w:rsidRDefault="0027478F" w:rsidP="00195787">
      <w:r>
        <w:separator/>
      </w:r>
    </w:p>
  </w:endnote>
  <w:endnote w:type="continuationSeparator" w:id="0">
    <w:p w14:paraId="780AB655" w14:textId="77777777" w:rsidR="0027478F" w:rsidRDefault="0027478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142E09FF" w14:textId="77777777" w:rsidR="004839EF" w:rsidRDefault="004839EF" w:rsidP="007A06DC">
    <w:pPr>
      <w:pStyle w:val="Rodap"/>
      <w:rPr>
        <w:rFonts w:asciiTheme="minorHAnsi" w:hAnsiTheme="minorHAnsi" w:cstheme="minorHAnsi"/>
        <w:color w:val="000000"/>
        <w:sz w:val="16"/>
        <w:szCs w:val="16"/>
      </w:rPr>
    </w:pPr>
    <w:r w:rsidRPr="004839EF">
      <w:rPr>
        <w:rFonts w:asciiTheme="minorHAnsi" w:hAnsiTheme="minorHAnsi" w:cstheme="minorHAnsi"/>
        <w:color w:val="000000"/>
        <w:sz w:val="16"/>
        <w:szCs w:val="16"/>
      </w:rPr>
      <w:t xml:space="preserve">Câmara Nacional de Modelos de Licitações e Contratos da Consultoria-Geral da União Atualização: maio/2023 </w:t>
    </w:r>
  </w:p>
  <w:p w14:paraId="179A7743" w14:textId="77777777" w:rsidR="004839EF" w:rsidRDefault="004839EF" w:rsidP="007A06DC">
    <w:pPr>
      <w:pStyle w:val="Rodap"/>
      <w:rPr>
        <w:rFonts w:asciiTheme="minorHAnsi" w:hAnsiTheme="minorHAnsi" w:cstheme="minorHAnsi"/>
        <w:color w:val="000000"/>
        <w:sz w:val="16"/>
        <w:szCs w:val="16"/>
      </w:rPr>
    </w:pPr>
    <w:r w:rsidRPr="004839EF">
      <w:rPr>
        <w:rFonts w:asciiTheme="minorHAnsi" w:hAnsiTheme="minorHAnsi" w:cstheme="minorHAnsi"/>
        <w:color w:val="000000"/>
        <w:sz w:val="16"/>
        <w:szCs w:val="16"/>
      </w:rPr>
      <w:t xml:space="preserve">Termo de contrato modelo para Pregão Eletrônico – Compras – Lei nº 14.133, de 2021. </w:t>
    </w:r>
  </w:p>
  <w:p w14:paraId="4312F900" w14:textId="1BDDFA9E" w:rsidR="000A58EF" w:rsidRPr="007D1C2C" w:rsidRDefault="004839EF" w:rsidP="007A06DC">
    <w:pPr>
      <w:pStyle w:val="Rodap"/>
      <w:rPr>
        <w:i/>
      </w:rPr>
    </w:pPr>
    <w:r w:rsidRPr="004839EF">
      <w:rPr>
        <w:rFonts w:asciiTheme="minorHAnsi" w:hAnsiTheme="minorHAnsi" w:cstheme="minorHAnsi"/>
        <w:color w:val="000000"/>
        <w:sz w:val="16"/>
        <w:szCs w:val="16"/>
      </w:rPr>
      <w:t>Aprovado pela Secretaria de Gestão e Inovação Identidade visual pela Secretaria de Gestão e Inovação</w:t>
    </w:r>
    <w:r w:rsidR="00E43629" w:rsidRPr="004839EF">
      <w:rPr>
        <w:rFonts w:asciiTheme="minorHAnsi" w:hAnsiTheme="minorHAnsi" w:cstheme="minorHAnsi"/>
        <w:sz w:val="16"/>
        <w:szCs w:val="16"/>
      </w:rPr>
      <w:t xml:space="preserve">       </w:t>
    </w:r>
    <w:r>
      <w:rPr>
        <w:rFonts w:asciiTheme="minorHAnsi" w:hAnsiTheme="minorHAnsi" w:cstheme="minorHAnsi"/>
        <w:sz w:val="16"/>
        <w:szCs w:val="16"/>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455B" w14:textId="77777777" w:rsidR="0027478F" w:rsidRDefault="0027478F" w:rsidP="00195787">
      <w:r>
        <w:separator/>
      </w:r>
    </w:p>
  </w:footnote>
  <w:footnote w:type="continuationSeparator" w:id="0">
    <w:p w14:paraId="11458FD9" w14:textId="77777777" w:rsidR="0027478F" w:rsidRDefault="0027478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455540"/>
    <w:multiLevelType w:val="hybridMultilevel"/>
    <w:tmpl w:val="64D6EA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15:restartNumberingAfterBreak="0">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A67E96"/>
    <w:multiLevelType w:val="multilevel"/>
    <w:tmpl w:val="46827ABC"/>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0"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1" w15:restartNumberingAfterBreak="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764E95"/>
    <w:multiLevelType w:val="hybridMultilevel"/>
    <w:tmpl w:val="F3E663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9"/>
  </w:num>
  <w:num w:numId="2" w16cid:durableId="1032851531">
    <w:abstractNumId w:val="47"/>
  </w:num>
  <w:num w:numId="3" w16cid:durableId="496651781">
    <w:abstractNumId w:val="48"/>
  </w:num>
  <w:num w:numId="4" w16cid:durableId="149248634">
    <w:abstractNumId w:val="35"/>
  </w:num>
  <w:num w:numId="5" w16cid:durableId="1410008166">
    <w:abstractNumId w:val="29"/>
  </w:num>
  <w:num w:numId="6" w16cid:durableId="1179275105">
    <w:abstractNumId w:val="49"/>
  </w:num>
  <w:num w:numId="7" w16cid:durableId="13254313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49"/>
  </w:num>
  <w:num w:numId="9" w16cid:durableId="5288769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867986">
    <w:abstractNumId w:val="28"/>
  </w:num>
  <w:num w:numId="11" w16cid:durableId="658114036">
    <w:abstractNumId w:val="37"/>
  </w:num>
  <w:num w:numId="12" w16cid:durableId="8148232">
    <w:abstractNumId w:val="34"/>
  </w:num>
  <w:num w:numId="13" w16cid:durableId="1598440172">
    <w:abstractNumId w:val="42"/>
  </w:num>
  <w:num w:numId="14" w16cid:durableId="452097199">
    <w:abstractNumId w:val="51"/>
  </w:num>
  <w:num w:numId="15" w16cid:durableId="1498226310">
    <w:abstractNumId w:val="20"/>
  </w:num>
  <w:num w:numId="16" w16cid:durableId="1104419495">
    <w:abstractNumId w:val="21"/>
  </w:num>
  <w:num w:numId="17" w16cid:durableId="990250137">
    <w:abstractNumId w:val="57"/>
  </w:num>
  <w:num w:numId="18" w16cid:durableId="92559950">
    <w:abstractNumId w:val="44"/>
  </w:num>
  <w:num w:numId="19" w16cid:durableId="989868447">
    <w:abstractNumId w:val="31"/>
  </w:num>
  <w:num w:numId="20" w16cid:durableId="1025517931">
    <w:abstractNumId w:val="43"/>
  </w:num>
  <w:num w:numId="21" w16cid:durableId="888301145">
    <w:abstractNumId w:val="53"/>
  </w:num>
  <w:num w:numId="22" w16cid:durableId="662050372">
    <w:abstractNumId w:val="33"/>
  </w:num>
  <w:num w:numId="23" w16cid:durableId="1822888278">
    <w:abstractNumId w:val="32"/>
  </w:num>
  <w:num w:numId="24" w16cid:durableId="1047030191">
    <w:abstractNumId w:val="54"/>
  </w:num>
  <w:num w:numId="25" w16cid:durableId="555817839">
    <w:abstractNumId w:val="40"/>
  </w:num>
  <w:num w:numId="26" w16cid:durableId="1799100776">
    <w:abstractNumId w:val="30"/>
  </w:num>
  <w:num w:numId="27" w16cid:durableId="164368978">
    <w:abstractNumId w:val="27"/>
  </w:num>
  <w:num w:numId="28" w16cid:durableId="2022198469">
    <w:abstractNumId w:val="22"/>
  </w:num>
  <w:num w:numId="29" w16cid:durableId="1384333005">
    <w:abstractNumId w:val="36"/>
  </w:num>
  <w:num w:numId="30" w16cid:durableId="2066250438">
    <w:abstractNumId w:val="45"/>
  </w:num>
  <w:num w:numId="31" w16cid:durableId="1002466337">
    <w:abstractNumId w:val="55"/>
  </w:num>
  <w:num w:numId="32" w16cid:durableId="1555967081">
    <w:abstractNumId w:val="50"/>
  </w:num>
  <w:num w:numId="33" w16cid:durableId="1187713782">
    <w:abstractNumId w:val="25"/>
  </w:num>
  <w:num w:numId="34" w16cid:durableId="283659692">
    <w:abstractNumId w:val="23"/>
  </w:num>
  <w:num w:numId="35" w16cid:durableId="1105807110">
    <w:abstractNumId w:val="24"/>
  </w:num>
  <w:num w:numId="36" w16cid:durableId="1443913069">
    <w:abstractNumId w:val="56"/>
  </w:num>
  <w:num w:numId="37" w16cid:durableId="800804455">
    <w:abstractNumId w:val="41"/>
  </w:num>
  <w:num w:numId="38" w16cid:durableId="1225214606">
    <w:abstractNumId w:val="52"/>
  </w:num>
  <w:num w:numId="39" w16cid:durableId="45840382">
    <w:abstractNumId w:val="26"/>
  </w:num>
  <w:num w:numId="40" w16cid:durableId="19055278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74805"/>
    <w:rsid w:val="000A58EF"/>
    <w:rsid w:val="000A5C63"/>
    <w:rsid w:val="000A62C8"/>
    <w:rsid w:val="000A7D2B"/>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1E6F"/>
    <w:rsid w:val="00194CFD"/>
    <w:rsid w:val="00195787"/>
    <w:rsid w:val="001A6554"/>
    <w:rsid w:val="001B3F02"/>
    <w:rsid w:val="001B63C0"/>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478F"/>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5B33"/>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39EF"/>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33DAF"/>
    <w:rsid w:val="00546ADF"/>
    <w:rsid w:val="00552B81"/>
    <w:rsid w:val="00553758"/>
    <w:rsid w:val="0055497D"/>
    <w:rsid w:val="00561155"/>
    <w:rsid w:val="005807EC"/>
    <w:rsid w:val="0058089D"/>
    <w:rsid w:val="005853CE"/>
    <w:rsid w:val="005A0B33"/>
    <w:rsid w:val="005A0C7A"/>
    <w:rsid w:val="005A51E8"/>
    <w:rsid w:val="005B345F"/>
    <w:rsid w:val="005B3CB4"/>
    <w:rsid w:val="005C41B6"/>
    <w:rsid w:val="005D7737"/>
    <w:rsid w:val="005F39EB"/>
    <w:rsid w:val="005F6D6E"/>
    <w:rsid w:val="00602349"/>
    <w:rsid w:val="0061397F"/>
    <w:rsid w:val="006146CF"/>
    <w:rsid w:val="006151BA"/>
    <w:rsid w:val="00617698"/>
    <w:rsid w:val="006314E9"/>
    <w:rsid w:val="00640955"/>
    <w:rsid w:val="0064196B"/>
    <w:rsid w:val="00642767"/>
    <w:rsid w:val="00645265"/>
    <w:rsid w:val="006466E1"/>
    <w:rsid w:val="0064716A"/>
    <w:rsid w:val="00647DA8"/>
    <w:rsid w:val="006506AE"/>
    <w:rsid w:val="00653782"/>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67D68"/>
    <w:rsid w:val="00772F28"/>
    <w:rsid w:val="00780E4D"/>
    <w:rsid w:val="00782642"/>
    <w:rsid w:val="007856B1"/>
    <w:rsid w:val="007861D9"/>
    <w:rsid w:val="00792C4F"/>
    <w:rsid w:val="00792EFD"/>
    <w:rsid w:val="00793F13"/>
    <w:rsid w:val="00793F3E"/>
    <w:rsid w:val="00796214"/>
    <w:rsid w:val="007A06DC"/>
    <w:rsid w:val="007A2E3B"/>
    <w:rsid w:val="007A512D"/>
    <w:rsid w:val="007A7DBA"/>
    <w:rsid w:val="007B50C0"/>
    <w:rsid w:val="007C0405"/>
    <w:rsid w:val="007D1562"/>
    <w:rsid w:val="007D4F40"/>
    <w:rsid w:val="007D5648"/>
    <w:rsid w:val="007D77AE"/>
    <w:rsid w:val="007E4F4D"/>
    <w:rsid w:val="007E50AD"/>
    <w:rsid w:val="00800F2B"/>
    <w:rsid w:val="008034B1"/>
    <w:rsid w:val="0080434E"/>
    <w:rsid w:val="008065EE"/>
    <w:rsid w:val="008078B0"/>
    <w:rsid w:val="00814931"/>
    <w:rsid w:val="008154F5"/>
    <w:rsid w:val="008227EC"/>
    <w:rsid w:val="0082449B"/>
    <w:rsid w:val="00824928"/>
    <w:rsid w:val="008540D8"/>
    <w:rsid w:val="008566DD"/>
    <w:rsid w:val="00892576"/>
    <w:rsid w:val="0089665C"/>
    <w:rsid w:val="008C23FF"/>
    <w:rsid w:val="008C54E4"/>
    <w:rsid w:val="008C63D1"/>
    <w:rsid w:val="008C6744"/>
    <w:rsid w:val="008D2CD5"/>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7601"/>
    <w:rsid w:val="00A21E8F"/>
    <w:rsid w:val="00A23D08"/>
    <w:rsid w:val="00A30A28"/>
    <w:rsid w:val="00A33729"/>
    <w:rsid w:val="00A44B69"/>
    <w:rsid w:val="00A45504"/>
    <w:rsid w:val="00A54D43"/>
    <w:rsid w:val="00A738FA"/>
    <w:rsid w:val="00A74E08"/>
    <w:rsid w:val="00A76B09"/>
    <w:rsid w:val="00A85110"/>
    <w:rsid w:val="00A87093"/>
    <w:rsid w:val="00A93E08"/>
    <w:rsid w:val="00A942C3"/>
    <w:rsid w:val="00AB336E"/>
    <w:rsid w:val="00AB700F"/>
    <w:rsid w:val="00AC3B53"/>
    <w:rsid w:val="00AD321A"/>
    <w:rsid w:val="00AE0A71"/>
    <w:rsid w:val="00AF32BC"/>
    <w:rsid w:val="00AF3581"/>
    <w:rsid w:val="00AF781E"/>
    <w:rsid w:val="00AF7DA7"/>
    <w:rsid w:val="00B00478"/>
    <w:rsid w:val="00B15476"/>
    <w:rsid w:val="00B17DC6"/>
    <w:rsid w:val="00B5046D"/>
    <w:rsid w:val="00B525B8"/>
    <w:rsid w:val="00B54C7E"/>
    <w:rsid w:val="00B558E1"/>
    <w:rsid w:val="00B66F19"/>
    <w:rsid w:val="00B67441"/>
    <w:rsid w:val="00B72EE9"/>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55E68"/>
    <w:rsid w:val="00C63DD4"/>
    <w:rsid w:val="00C754FF"/>
    <w:rsid w:val="00C7600F"/>
    <w:rsid w:val="00C804D0"/>
    <w:rsid w:val="00C9098A"/>
    <w:rsid w:val="00CA1C08"/>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54E79"/>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4D9C"/>
    <w:rsid w:val="00E578A6"/>
    <w:rsid w:val="00E67DCF"/>
    <w:rsid w:val="00E726A9"/>
    <w:rsid w:val="00EA06C5"/>
    <w:rsid w:val="00EA3E77"/>
    <w:rsid w:val="00EB556D"/>
    <w:rsid w:val="00EB6AF5"/>
    <w:rsid w:val="00EB7F69"/>
    <w:rsid w:val="00ED4EB4"/>
    <w:rsid w:val="00ED7983"/>
    <w:rsid w:val="00F05A38"/>
    <w:rsid w:val="00F12161"/>
    <w:rsid w:val="00F12A88"/>
    <w:rsid w:val="00F12E0D"/>
    <w:rsid w:val="00F147BA"/>
    <w:rsid w:val="00F16FA0"/>
    <w:rsid w:val="00F233BA"/>
    <w:rsid w:val="00F34184"/>
    <w:rsid w:val="00F35B8E"/>
    <w:rsid w:val="00F40D1C"/>
    <w:rsid w:val="00F41C6D"/>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C725B"/>
    <w:rsid w:val="00FD242D"/>
    <w:rsid w:val="00FE7935"/>
    <w:rsid w:val="00FF3C8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uiPriority w:val="9"/>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67"/>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link w:val="Ttulo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Citao"/>
    <w:link w:val="NotaexplicativaChar"/>
    <w:qFormat/>
    <w:rsid w:val="00E726A9"/>
    <w:pPr>
      <w:suppressAutoHyphens w:val="0"/>
    </w:pPr>
    <w:rPr>
      <w:rFonts w:ascii="Arial" w:hAnsi="Arial" w:cs="Tahoma"/>
    </w:rPr>
  </w:style>
  <w:style w:type="character" w:customStyle="1" w:styleId="NotaexplicativaChar">
    <w:name w:val="Nota explicativa Char"/>
    <w:basedOn w:val="CitaoChar"/>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tuloChar">
    <w:name w:val="Título Char"/>
    <w:basedOn w:val="Fontepargpadro"/>
    <w:link w:val="Ttulo"/>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E726A9"/>
  </w:style>
  <w:style w:type="character" w:customStyle="1" w:styleId="eop">
    <w:name w:val="eop"/>
    <w:basedOn w:val="Fontepargpadro"/>
    <w:rsid w:val="00E726A9"/>
  </w:style>
  <w:style w:type="character" w:customStyle="1" w:styleId="spellingerror">
    <w:name w:val="spellingerror"/>
    <w:basedOn w:val="Fontepargpadro"/>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Fontepargpadro"/>
    <w:link w:val="Nvel2Opcional"/>
    <w:rsid w:val="00E726A9"/>
    <w:rPr>
      <w:rFonts w:ascii="Arial" w:hAnsi="Arial" w:cs="Arial"/>
      <w:i/>
      <w:noProof/>
      <w:color w:val="FF0000"/>
    </w:rPr>
  </w:style>
  <w:style w:type="character" w:customStyle="1" w:styleId="Nvel3OpcionalChar">
    <w:name w:val="Nível 3 Opcional Char"/>
    <w:basedOn w:val="Fontepargpadro"/>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Fontepargpadro"/>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Fontepargpadro"/>
    <w:uiPriority w:val="99"/>
    <w:semiHidden/>
    <w:unhideWhenUsed/>
    <w:rsid w:val="00E726A9"/>
    <w:rPr>
      <w:color w:val="605E5C"/>
      <w:shd w:val="clear" w:color="auto" w:fill="E1DFDD"/>
    </w:rPr>
  </w:style>
  <w:style w:type="character" w:customStyle="1" w:styleId="MenoPendente4">
    <w:name w:val="Menção Pendente4"/>
    <w:basedOn w:val="Fontepargpadro"/>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Fontepargpadro"/>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3374741">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1963074213">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1-2014/2013/lei/l128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1-2014/2013/lei/l12846.htm" TargetMode="External"/><Relationship Id="rId35" Type="http://schemas.openxmlformats.org/officeDocument/2006/relationships/hyperlink" Target="https://www.gov.br/compras/pt-br/acesso-a-informacao/legislacao/instrucoes-normativas/instrucao-normativa-seges-me-no-26-de-13-de-abril-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1/lei/l12527.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4205</Words>
  <Characters>22711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Juliana Borsoi</cp:lastModifiedBy>
  <cp:revision>17</cp:revision>
  <cp:lastPrinted>2023-07-28T14:36:00Z</cp:lastPrinted>
  <dcterms:created xsi:type="dcterms:W3CDTF">2023-05-21T04:52:00Z</dcterms:created>
  <dcterms:modified xsi:type="dcterms:W3CDTF">2023-07-28T14:37:00Z</dcterms:modified>
  <dc:language>pt-BR</dc:language>
</cp:coreProperties>
</file>