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58089D" w:rsidRDefault="00317E71" w:rsidP="00CC2F53">
      <w:pPr>
        <w:pStyle w:val="Ttulo1"/>
        <w:spacing w:line="276" w:lineRule="auto"/>
        <w:ind w:left="567" w:hanging="567"/>
        <w:jc w:val="both"/>
        <w:rPr>
          <w:rFonts w:asciiTheme="minorHAnsi" w:hAnsiTheme="minorHAnsi" w:cstheme="minorHAnsi"/>
          <w:color w:val="auto"/>
          <w:sz w:val="22"/>
          <w:szCs w:val="22"/>
        </w:rPr>
      </w:pPr>
      <w:r w:rsidRPr="0058089D">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58089D">
        <w:rPr>
          <w:rFonts w:asciiTheme="minorHAnsi" w:hAnsiTheme="minorHAnsi" w:cstheme="minorHAnsi"/>
          <w:color w:val="auto"/>
          <w:sz w:val="22"/>
          <w:szCs w:val="22"/>
        </w:rPr>
        <w:tab/>
      </w:r>
    </w:p>
    <w:p w14:paraId="72D20E5C" w14:textId="77777777" w:rsidR="006E4496" w:rsidRPr="0058089D" w:rsidRDefault="006E4496" w:rsidP="00CC2F53">
      <w:pPr>
        <w:tabs>
          <w:tab w:val="left" w:pos="6284"/>
        </w:tabs>
        <w:ind w:left="567" w:hanging="567"/>
        <w:jc w:val="center"/>
        <w:rPr>
          <w:rFonts w:asciiTheme="minorHAnsi" w:hAnsiTheme="minorHAnsi" w:cstheme="minorHAnsi"/>
          <w:b/>
          <w:bCs/>
          <w:sz w:val="22"/>
          <w:szCs w:val="22"/>
        </w:rPr>
      </w:pPr>
      <w:r w:rsidRPr="0058089D">
        <w:rPr>
          <w:rFonts w:asciiTheme="minorHAnsi" w:hAnsiTheme="minorHAnsi" w:cstheme="minorHAnsi"/>
          <w:b/>
          <w:bCs/>
          <w:sz w:val="22"/>
          <w:szCs w:val="22"/>
        </w:rPr>
        <w:t>MINISTÉRIO DA EDUCAÇÃO</w:t>
      </w:r>
    </w:p>
    <w:p w14:paraId="7F7DC745" w14:textId="77777777" w:rsidR="006E4496" w:rsidRPr="0058089D" w:rsidRDefault="006E4496" w:rsidP="00CC2F53">
      <w:pPr>
        <w:pStyle w:val="Ttulo1"/>
        <w:spacing w:before="0"/>
        <w:ind w:left="567" w:hanging="567"/>
        <w:jc w:val="center"/>
        <w:rPr>
          <w:rFonts w:asciiTheme="minorHAnsi" w:hAnsiTheme="minorHAnsi" w:cstheme="minorHAnsi"/>
          <w:b/>
          <w:color w:val="auto"/>
          <w:sz w:val="22"/>
          <w:szCs w:val="22"/>
        </w:rPr>
      </w:pPr>
      <w:r w:rsidRPr="0058089D">
        <w:rPr>
          <w:rFonts w:asciiTheme="minorHAnsi" w:hAnsiTheme="minorHAnsi" w:cstheme="minorHAnsi"/>
          <w:b/>
          <w:color w:val="auto"/>
          <w:sz w:val="22"/>
          <w:szCs w:val="22"/>
        </w:rPr>
        <w:t>UNIVERSIDADE FEDERAL FLUMINENSE</w:t>
      </w:r>
    </w:p>
    <w:p w14:paraId="175298FB" w14:textId="77777777" w:rsidR="006E4496" w:rsidRPr="0058089D" w:rsidRDefault="00E23909" w:rsidP="00CC2F53">
      <w:pPr>
        <w:ind w:left="567" w:hanging="567"/>
        <w:jc w:val="center"/>
        <w:rPr>
          <w:rFonts w:asciiTheme="minorHAnsi" w:hAnsiTheme="minorHAnsi" w:cstheme="minorHAnsi"/>
          <w:b/>
          <w:sz w:val="22"/>
          <w:szCs w:val="22"/>
        </w:rPr>
      </w:pPr>
      <w:r w:rsidRPr="0058089D">
        <w:rPr>
          <w:rFonts w:asciiTheme="minorHAnsi" w:hAnsiTheme="minorHAnsi" w:cstheme="minorHAnsi"/>
          <w:b/>
          <w:sz w:val="22"/>
          <w:szCs w:val="22"/>
        </w:rPr>
        <w:t>PRO REITORIA DE ADMINISTRAÇÃO</w:t>
      </w:r>
    </w:p>
    <w:p w14:paraId="56C392D9" w14:textId="7430C112" w:rsidR="006E4496" w:rsidRPr="0058089D" w:rsidRDefault="006E4496" w:rsidP="00CC2F53">
      <w:pPr>
        <w:spacing w:after="120" w:line="276" w:lineRule="auto"/>
        <w:ind w:left="567" w:right="-15" w:hanging="567"/>
        <w:jc w:val="center"/>
        <w:rPr>
          <w:rFonts w:asciiTheme="minorHAnsi" w:hAnsiTheme="minorHAnsi" w:cstheme="minorHAnsi"/>
          <w:b/>
          <w:bCs/>
          <w:sz w:val="22"/>
          <w:szCs w:val="22"/>
        </w:rPr>
      </w:pPr>
    </w:p>
    <w:p w14:paraId="653E43E2" w14:textId="77777777" w:rsidR="009271C3" w:rsidRPr="0058089D" w:rsidRDefault="009271C3" w:rsidP="00CC2F53">
      <w:pPr>
        <w:pStyle w:val="Pr-formataoHTML"/>
        <w:ind w:left="567" w:hanging="567"/>
        <w:jc w:val="center"/>
        <w:rPr>
          <w:rFonts w:asciiTheme="minorHAnsi" w:hAnsiTheme="minorHAnsi" w:cstheme="minorHAnsi"/>
          <w:b/>
          <w:bCs/>
          <w:sz w:val="22"/>
          <w:szCs w:val="22"/>
        </w:rPr>
      </w:pPr>
    </w:p>
    <w:p w14:paraId="46AFE12B" w14:textId="0ECB2D83" w:rsidR="00B8510A" w:rsidRPr="0058089D" w:rsidRDefault="00B8510A" w:rsidP="00CC2F53">
      <w:pPr>
        <w:spacing w:before="120" w:afterLines="120" w:after="288" w:line="312" w:lineRule="auto"/>
        <w:ind w:left="567" w:hanging="567"/>
        <w:jc w:val="center"/>
        <w:rPr>
          <w:rFonts w:asciiTheme="minorHAnsi" w:hAnsiTheme="minorHAnsi" w:cstheme="minorHAnsi"/>
          <w:b/>
          <w:bCs/>
          <w:color w:val="FF0000"/>
          <w:sz w:val="22"/>
          <w:szCs w:val="22"/>
        </w:rPr>
      </w:pPr>
      <w:r w:rsidRPr="0058089D">
        <w:rPr>
          <w:rFonts w:asciiTheme="minorHAnsi" w:hAnsiTheme="minorHAnsi" w:cstheme="minorHAnsi"/>
          <w:b/>
          <w:bCs/>
          <w:color w:val="FF0000"/>
          <w:sz w:val="22"/>
          <w:szCs w:val="22"/>
        </w:rPr>
        <w:t xml:space="preserve">ANEXO </w:t>
      </w:r>
      <w:r w:rsidR="002434F3">
        <w:rPr>
          <w:rFonts w:asciiTheme="minorHAnsi" w:hAnsiTheme="minorHAnsi" w:cstheme="minorHAnsi"/>
          <w:b/>
          <w:bCs/>
          <w:color w:val="FF0000"/>
          <w:sz w:val="22"/>
          <w:szCs w:val="22"/>
        </w:rPr>
        <w:t>V</w:t>
      </w:r>
      <w:r w:rsidR="000458D9">
        <w:rPr>
          <w:rFonts w:asciiTheme="minorHAnsi" w:hAnsiTheme="minorHAnsi" w:cstheme="minorHAnsi"/>
          <w:b/>
          <w:bCs/>
          <w:color w:val="FF0000"/>
          <w:sz w:val="22"/>
          <w:szCs w:val="22"/>
        </w:rPr>
        <w:t>I</w:t>
      </w:r>
      <w:r w:rsidRPr="0058089D">
        <w:rPr>
          <w:rFonts w:asciiTheme="minorHAnsi" w:hAnsiTheme="minorHAnsi" w:cstheme="minorHAnsi"/>
          <w:b/>
          <w:bCs/>
          <w:color w:val="FF0000"/>
          <w:sz w:val="22"/>
          <w:szCs w:val="22"/>
        </w:rPr>
        <w:t xml:space="preserve"> – PE</w:t>
      </w:r>
      <w:r w:rsidR="00000AC9">
        <w:rPr>
          <w:rFonts w:asciiTheme="minorHAnsi" w:hAnsiTheme="minorHAnsi" w:cstheme="minorHAnsi"/>
          <w:b/>
          <w:bCs/>
          <w:color w:val="FF0000"/>
          <w:sz w:val="22"/>
          <w:szCs w:val="22"/>
        </w:rPr>
        <w:t xml:space="preserve"> Nº 20</w:t>
      </w:r>
      <w:r w:rsidRPr="0058089D">
        <w:rPr>
          <w:rFonts w:asciiTheme="minorHAnsi" w:hAnsiTheme="minorHAnsi" w:cstheme="minorHAnsi"/>
          <w:b/>
          <w:bCs/>
          <w:color w:val="FF0000"/>
          <w:sz w:val="22"/>
          <w:szCs w:val="22"/>
        </w:rPr>
        <w:t>/2023 – MINUTA DO TERMO DE CONTRATO</w:t>
      </w:r>
    </w:p>
    <w:p w14:paraId="0183C6AD" w14:textId="28005FD2" w:rsidR="00B8510A" w:rsidRPr="0058089D" w:rsidRDefault="00B8510A" w:rsidP="00CC2F53">
      <w:pPr>
        <w:spacing w:before="120" w:afterLines="120" w:after="288" w:line="312" w:lineRule="auto"/>
        <w:ind w:left="567" w:hanging="567"/>
        <w:jc w:val="center"/>
        <w:rPr>
          <w:rFonts w:asciiTheme="minorHAnsi" w:hAnsiTheme="minorHAnsi" w:cstheme="minorHAnsi"/>
          <w:bCs/>
          <w:sz w:val="22"/>
          <w:szCs w:val="22"/>
        </w:rPr>
      </w:pPr>
      <w:r w:rsidRPr="0058089D">
        <w:rPr>
          <w:rFonts w:asciiTheme="minorHAnsi" w:hAnsiTheme="minorHAnsi" w:cstheme="minorHAnsi"/>
          <w:sz w:val="22"/>
          <w:szCs w:val="22"/>
        </w:rPr>
        <w:t>(Processo Administrativo n</w:t>
      </w:r>
      <w:r w:rsidRPr="0058089D">
        <w:rPr>
          <w:rFonts w:asciiTheme="minorHAnsi" w:hAnsiTheme="minorHAnsi" w:cstheme="minorHAnsi"/>
          <w:bCs/>
          <w:sz w:val="22"/>
          <w:szCs w:val="22"/>
        </w:rPr>
        <w:t>°</w:t>
      </w:r>
      <w:r w:rsidR="00CC2F53" w:rsidRPr="00CC2F53">
        <w:t xml:space="preserve"> </w:t>
      </w:r>
      <w:r w:rsidR="00326B1F" w:rsidRPr="00326B1F">
        <w:rPr>
          <w:rFonts w:asciiTheme="minorHAnsi" w:hAnsiTheme="minorHAnsi" w:cstheme="minorHAnsi"/>
          <w:bCs/>
          <w:sz w:val="22"/>
          <w:szCs w:val="22"/>
        </w:rPr>
        <w:t>23069.154299/2023-27</w:t>
      </w:r>
      <w:r w:rsidRPr="0058089D">
        <w:rPr>
          <w:rFonts w:asciiTheme="minorHAnsi" w:hAnsiTheme="minorHAnsi" w:cstheme="minorHAnsi"/>
          <w:bCs/>
          <w:sz w:val="22"/>
          <w:szCs w:val="22"/>
        </w:rPr>
        <w:t>)</w:t>
      </w:r>
    </w:p>
    <w:p w14:paraId="37698BDA" w14:textId="69891046" w:rsidR="00B8510A" w:rsidRPr="0058089D" w:rsidRDefault="00B8510A" w:rsidP="00CC2F53">
      <w:pPr>
        <w:pStyle w:val="Prembulo"/>
        <w:spacing w:afterLines="120" w:after="288" w:line="312" w:lineRule="auto"/>
        <w:ind w:left="5670" w:hanging="6"/>
        <w:rPr>
          <w:rFonts w:asciiTheme="minorHAnsi" w:hAnsiTheme="minorHAnsi" w:cstheme="minorHAnsi"/>
          <w:bCs w:val="0"/>
          <w:sz w:val="22"/>
          <w:szCs w:val="22"/>
        </w:rPr>
      </w:pPr>
      <w:r w:rsidRPr="0058089D">
        <w:rPr>
          <w:rFonts w:asciiTheme="minorHAnsi" w:hAnsiTheme="minorHAnsi" w:cstheme="minorHAnsi"/>
          <w:bCs w:val="0"/>
          <w:sz w:val="22"/>
          <w:szCs w:val="22"/>
        </w:rPr>
        <w:t xml:space="preserve">MINUTA DO CONTRATO ADMINISTRATIVO Nº ......../...., QUE FAZEM ENTRE SI A UNIÃO, POR INTERMÉDIO DA UNIVERSIDADE FEDERAL FLUMINENSE E ............................................................. </w:t>
      </w:r>
    </w:p>
    <w:p w14:paraId="6726FC17" w14:textId="7919DA57" w:rsidR="00B8510A" w:rsidRPr="0058089D" w:rsidRDefault="00F16FA0" w:rsidP="00CC2F53">
      <w:pPr>
        <w:spacing w:before="120" w:afterLines="120" w:after="288" w:line="312" w:lineRule="auto"/>
        <w:ind w:left="284"/>
        <w:jc w:val="both"/>
        <w:rPr>
          <w:rFonts w:asciiTheme="minorHAnsi" w:eastAsia="Arial" w:hAnsiTheme="minorHAnsi" w:cstheme="minorHAnsi"/>
          <w:sz w:val="22"/>
          <w:szCs w:val="22"/>
        </w:rPr>
      </w:pPr>
      <w:r w:rsidRPr="0058089D">
        <w:rPr>
          <w:rFonts w:asciiTheme="minorHAnsi" w:hAnsiTheme="minorHAnsi" w:cstheme="minorHAnsi"/>
          <w:sz w:val="22"/>
          <w:szCs w:val="22"/>
        </w:rPr>
        <w:t>A </w:t>
      </w:r>
      <w:r w:rsidRPr="0058089D">
        <w:rPr>
          <w:rStyle w:val="Forte"/>
          <w:rFonts w:asciiTheme="minorHAnsi" w:hAnsiTheme="minorHAnsi" w:cstheme="minorHAnsi"/>
          <w:sz w:val="22"/>
          <w:szCs w:val="22"/>
        </w:rPr>
        <w:t>UNIVERSIDADE FEDERAL FLUMINENSE</w:t>
      </w:r>
      <w:r w:rsidRPr="0058089D">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58089D">
        <w:rPr>
          <w:rStyle w:val="Forte"/>
          <w:rFonts w:asciiTheme="minorHAnsi" w:hAnsiTheme="minorHAnsi" w:cstheme="minorHAnsi"/>
          <w:sz w:val="22"/>
          <w:szCs w:val="22"/>
        </w:rPr>
        <w:t>28.523.215/0001-06</w:t>
      </w:r>
      <w:r w:rsidRPr="0058089D">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58089D">
        <w:rPr>
          <w:rFonts w:asciiTheme="minorHAnsi" w:eastAsia="Arial" w:hAnsiTheme="minorHAnsi" w:cstheme="minorHAnsi"/>
          <w:sz w:val="22"/>
          <w:szCs w:val="22"/>
        </w:rPr>
        <w:t xml:space="preserve">portador da Matrícula Funcional nº </w:t>
      </w:r>
      <w:r w:rsidRPr="0058089D">
        <w:rPr>
          <w:rFonts w:asciiTheme="minorHAnsi" w:hAnsiTheme="minorHAnsi" w:cstheme="minorHAnsi"/>
          <w:sz w:val="22"/>
          <w:szCs w:val="22"/>
          <w:shd w:val="clear" w:color="auto" w:fill="F5F5F5"/>
        </w:rPr>
        <w:t>6310674</w:t>
      </w:r>
      <w:r w:rsidR="00B8510A" w:rsidRPr="0058089D">
        <w:rPr>
          <w:rFonts w:asciiTheme="minorHAnsi" w:eastAsia="Arial" w:hAnsiTheme="minorHAnsi" w:cstheme="minorHAnsi"/>
          <w:sz w:val="22"/>
          <w:szCs w:val="22"/>
        </w:rPr>
        <w:t xml:space="preserve">, doravante denominado CONTRATANTE, e o(a) .............................., </w:t>
      </w:r>
      <w:r w:rsidR="00B8510A" w:rsidRPr="0058089D">
        <w:rPr>
          <w:rFonts w:asciiTheme="minorHAnsi" w:eastAsia="Arial" w:hAnsiTheme="minorHAnsi" w:cstheme="minorHAnsi"/>
          <w:i/>
          <w:iCs/>
          <w:sz w:val="22"/>
          <w:szCs w:val="22"/>
        </w:rPr>
        <w:t>inscrito(a) no CNPJ/MF sob o nº ............................, sediado(a) na</w:t>
      </w:r>
      <w:r w:rsidR="00B8510A" w:rsidRPr="0058089D">
        <w:rPr>
          <w:rFonts w:asciiTheme="minorHAnsi" w:eastAsia="Arial" w:hAnsiTheme="minorHAnsi" w:cstheme="minorHAnsi"/>
          <w:sz w:val="22"/>
          <w:szCs w:val="22"/>
        </w:rPr>
        <w:t xml:space="preserve"> ..................................., </w:t>
      </w:r>
      <w:r w:rsidR="00B8510A" w:rsidRPr="0058089D">
        <w:rPr>
          <w:rFonts w:asciiTheme="minorHAnsi" w:eastAsia="Arial" w:hAnsiTheme="minorHAnsi" w:cstheme="minorHAnsi"/>
          <w:i/>
          <w:iCs/>
          <w:sz w:val="22"/>
          <w:szCs w:val="22"/>
        </w:rPr>
        <w:t>em</w:t>
      </w:r>
      <w:r w:rsidR="00B8510A" w:rsidRPr="0058089D">
        <w:rPr>
          <w:rFonts w:asciiTheme="minorHAnsi" w:eastAsia="Arial" w:hAnsiTheme="minorHAnsi" w:cstheme="minorHAnsi"/>
          <w:sz w:val="22"/>
          <w:szCs w:val="22"/>
        </w:rPr>
        <w:t xml:space="preserve"> ............................. doravante designado CONTRATADO, </w:t>
      </w:r>
      <w:r w:rsidR="00B8510A" w:rsidRPr="0058089D">
        <w:rPr>
          <w:rFonts w:asciiTheme="minorHAnsi" w:eastAsia="Arial" w:hAnsiTheme="minorHAnsi" w:cstheme="minorHAnsi"/>
          <w:i/>
          <w:iCs/>
          <w:sz w:val="22"/>
          <w:szCs w:val="22"/>
        </w:rPr>
        <w:t>neste ato representado(a) por</w:t>
      </w:r>
      <w:r w:rsidR="00B8510A" w:rsidRPr="0058089D">
        <w:rPr>
          <w:rFonts w:asciiTheme="minorHAnsi" w:eastAsia="Arial" w:hAnsiTheme="minorHAnsi" w:cstheme="minorHAnsi"/>
          <w:sz w:val="22"/>
          <w:szCs w:val="22"/>
        </w:rPr>
        <w:t xml:space="preserve"> .................................. (nome e função no contratado), </w:t>
      </w:r>
      <w:r w:rsidR="00B8510A" w:rsidRPr="0058089D">
        <w:rPr>
          <w:rFonts w:asciiTheme="minorHAnsi" w:eastAsia="Arial" w:hAnsiTheme="minorHAnsi" w:cstheme="minorHAnsi"/>
          <w:i/>
          <w:iCs/>
          <w:sz w:val="22"/>
          <w:szCs w:val="22"/>
        </w:rPr>
        <w:t xml:space="preserve">conforme atos constitutivos da empresa </w:t>
      </w:r>
      <w:r w:rsidR="00B8510A" w:rsidRPr="0058089D">
        <w:rPr>
          <w:rFonts w:asciiTheme="minorHAnsi" w:eastAsia="Arial" w:hAnsiTheme="minorHAnsi" w:cstheme="minorHAnsi"/>
          <w:b/>
          <w:bCs/>
          <w:i/>
          <w:iCs/>
          <w:sz w:val="22"/>
          <w:szCs w:val="22"/>
        </w:rPr>
        <w:t>OU</w:t>
      </w:r>
      <w:r w:rsidR="00B8510A" w:rsidRPr="0058089D">
        <w:rPr>
          <w:rFonts w:asciiTheme="minorHAnsi" w:eastAsia="Arial" w:hAnsiTheme="minorHAnsi" w:cstheme="minorHAnsi"/>
          <w:i/>
          <w:iCs/>
          <w:sz w:val="22"/>
          <w:szCs w:val="22"/>
        </w:rPr>
        <w:t xml:space="preserve"> procuração apresentada nos autos, </w:t>
      </w:r>
      <w:r w:rsidR="00B8510A" w:rsidRPr="0058089D">
        <w:rPr>
          <w:rFonts w:asciiTheme="minorHAnsi" w:eastAsia="Arial" w:hAnsiTheme="minorHAnsi" w:cstheme="minorHAnsi"/>
          <w:sz w:val="22"/>
          <w:szCs w:val="22"/>
        </w:rPr>
        <w:t xml:space="preserve">tendo em vista o que consta no Processo nº </w:t>
      </w:r>
      <w:r w:rsidR="00326B1F" w:rsidRPr="00326B1F">
        <w:rPr>
          <w:rFonts w:asciiTheme="minorHAnsi" w:eastAsia="Arial" w:hAnsiTheme="minorHAnsi" w:cstheme="minorHAnsi"/>
          <w:sz w:val="22"/>
          <w:szCs w:val="22"/>
        </w:rPr>
        <w:t>23069.154299/2023-27</w:t>
      </w:r>
      <w:r w:rsidR="00326B1F">
        <w:rPr>
          <w:rFonts w:asciiTheme="minorHAnsi" w:eastAsia="Arial" w:hAnsiTheme="minorHAnsi" w:cstheme="minorHAnsi"/>
          <w:sz w:val="22"/>
          <w:szCs w:val="22"/>
        </w:rPr>
        <w:t xml:space="preserve"> </w:t>
      </w:r>
      <w:r w:rsidR="00B8510A" w:rsidRPr="0058089D">
        <w:rPr>
          <w:rFonts w:asciiTheme="minorHAnsi" w:eastAsia="Arial" w:hAnsiTheme="minorHAnsi" w:cstheme="minorHAnsi"/>
          <w:sz w:val="22"/>
          <w:szCs w:val="22"/>
        </w:rPr>
        <w:t xml:space="preserve">e em observância às disposições da Lei nº 14.133, de 1º de abril de 2021, e demais legislação aplicável, resolvem celebrar o presente Termo de Contrato, decorrente </w:t>
      </w:r>
      <w:r w:rsidR="00B8510A" w:rsidRPr="0058089D">
        <w:rPr>
          <w:rFonts w:asciiTheme="minorHAnsi" w:eastAsia="Arial" w:hAnsiTheme="minorHAnsi" w:cstheme="minorHAnsi"/>
          <w:i/>
          <w:iCs/>
          <w:sz w:val="22"/>
          <w:szCs w:val="22"/>
        </w:rPr>
        <w:t>do Pregão Eletrônico n. .../</w:t>
      </w:r>
      <w:r w:rsidR="00CC2F53">
        <w:rPr>
          <w:rFonts w:asciiTheme="minorHAnsi" w:eastAsia="Arial" w:hAnsiTheme="minorHAnsi" w:cstheme="minorHAnsi"/>
          <w:i/>
          <w:iCs/>
          <w:sz w:val="22"/>
          <w:szCs w:val="22"/>
        </w:rPr>
        <w:t>2023</w:t>
      </w:r>
      <w:r w:rsidR="00B8510A" w:rsidRPr="0058089D">
        <w:rPr>
          <w:rFonts w:asciiTheme="minorHAnsi" w:eastAsia="Arial" w:hAnsiTheme="minorHAnsi" w:cstheme="minorHAnsi"/>
          <w:sz w:val="22"/>
          <w:szCs w:val="22"/>
        </w:rPr>
        <w:t>, mediante as cláusulas e condições a seguir enunciadas.</w:t>
      </w:r>
    </w:p>
    <w:p w14:paraId="5DA1F81D" w14:textId="77777777" w:rsidR="00B8510A" w:rsidRPr="0058089D" w:rsidRDefault="00B8510A" w:rsidP="00CC2F53">
      <w:pPr>
        <w:pStyle w:val="Nivel010"/>
        <w:numPr>
          <w:ilvl w:val="0"/>
          <w:numId w:val="18"/>
        </w:numPr>
        <w:tabs>
          <w:tab w:val="num" w:pos="1492"/>
        </w:tabs>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PRIMEIRA – OBJETO (</w:t>
      </w:r>
      <w:hyperlink r:id="rId9" w:anchor="art92" w:history="1">
        <w:r w:rsidRPr="0058089D">
          <w:rPr>
            <w:rStyle w:val="Hyperlink"/>
            <w:rFonts w:asciiTheme="minorHAnsi" w:hAnsiTheme="minorHAnsi" w:cstheme="minorHAnsi"/>
            <w:color w:val="auto"/>
            <w:sz w:val="22"/>
            <w:szCs w:val="22"/>
          </w:rPr>
          <w:t>art. 92, I e II</w:t>
        </w:r>
      </w:hyperlink>
      <w:r w:rsidRPr="0058089D">
        <w:rPr>
          <w:rFonts w:asciiTheme="minorHAnsi" w:hAnsiTheme="minorHAnsi" w:cstheme="minorHAnsi"/>
          <w:sz w:val="22"/>
          <w:szCs w:val="22"/>
        </w:rPr>
        <w:t>)</w:t>
      </w:r>
    </w:p>
    <w:p w14:paraId="29B850BF" w14:textId="5C8FF19A" w:rsidR="00B8510A" w:rsidRPr="00326B1F" w:rsidRDefault="00B8510A" w:rsidP="00DB6A5F">
      <w:pPr>
        <w:pStyle w:val="Default"/>
        <w:numPr>
          <w:ilvl w:val="1"/>
          <w:numId w:val="17"/>
        </w:numPr>
        <w:autoSpaceDE w:val="0"/>
        <w:autoSpaceDN w:val="0"/>
        <w:adjustRightInd w:val="0"/>
        <w:spacing w:afterLines="120" w:after="288" w:line="312" w:lineRule="auto"/>
        <w:ind w:left="567" w:hanging="567"/>
        <w:jc w:val="both"/>
        <w:rPr>
          <w:rFonts w:asciiTheme="minorHAnsi" w:hAnsiTheme="minorHAnsi" w:cstheme="minorHAnsi"/>
          <w:sz w:val="22"/>
          <w:szCs w:val="22"/>
        </w:rPr>
      </w:pPr>
      <w:r w:rsidRPr="00DB6A5F">
        <w:rPr>
          <w:rFonts w:asciiTheme="minorHAnsi" w:hAnsiTheme="minorHAnsi" w:cstheme="minorHAnsi"/>
          <w:sz w:val="22"/>
          <w:szCs w:val="22"/>
        </w:rPr>
        <w:t xml:space="preserve">O objeto do </w:t>
      </w:r>
      <w:r w:rsidRPr="00326B1F">
        <w:rPr>
          <w:rFonts w:asciiTheme="minorHAnsi" w:hAnsiTheme="minorHAnsi" w:cstheme="minorHAnsi"/>
          <w:sz w:val="22"/>
          <w:szCs w:val="22"/>
        </w:rPr>
        <w:t xml:space="preserve">presente instrumento é a </w:t>
      </w:r>
      <w:r w:rsidR="00326B1F" w:rsidRPr="00326B1F">
        <w:rPr>
          <w:rFonts w:ascii="Calibri" w:hAnsi="Calibri" w:cs="Calibri"/>
          <w:sz w:val="22"/>
          <w:szCs w:val="22"/>
        </w:rPr>
        <w:t>Contratação de serviços de despacho aduaneiro, bem como o desembaraço alfandegário de mercadorias importadas de diversos países, inclusive aquelas recebidas em doação, em caráter definitivo ou não, com ou sem cobertura cambial e mercadorias exportadas em caráter não definitivo (exportação temporária) a diversos países para fins de manutenção e calibração, atuando em consonância com as disposições estabelecidas na legislação relativa a serviços de despachante aduaneiro, com a finalidade de viabilizar a execução de importações e exportações diretas pela UFF</w:t>
      </w:r>
      <w:r w:rsidR="00F16FA0" w:rsidRPr="00326B1F">
        <w:rPr>
          <w:rFonts w:asciiTheme="minorHAnsi" w:hAnsiTheme="minorHAnsi" w:cstheme="minorHAnsi"/>
          <w:sz w:val="22"/>
          <w:szCs w:val="22"/>
        </w:rPr>
        <w:t>, conforme relação abaixo</w:t>
      </w:r>
      <w:r w:rsidRPr="00326B1F">
        <w:rPr>
          <w:rFonts w:asciiTheme="minorHAnsi" w:hAnsiTheme="minorHAnsi" w:cstheme="minorHAnsi"/>
          <w:sz w:val="22"/>
          <w:szCs w:val="22"/>
        </w:rPr>
        <w:t>, nas condições estabelecidas no Termo de Referência.</w:t>
      </w:r>
    </w:p>
    <w:p w14:paraId="1EFE6B8E" w14:textId="5B2D3A6A" w:rsidR="00B8510A"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Objeto da contratação:</w:t>
      </w:r>
    </w:p>
    <w:p w14:paraId="35BB19E3" w14:textId="52778977" w:rsidR="003434AB" w:rsidRPr="003434AB" w:rsidRDefault="003434AB" w:rsidP="003434AB">
      <w:pPr>
        <w:suppressAutoHyphens w:val="0"/>
        <w:spacing w:before="120" w:after="120"/>
        <w:ind w:right="120"/>
        <w:jc w:val="both"/>
        <w:rPr>
          <w:rFonts w:ascii="Calibri" w:hAnsi="Calibri" w:cs="Calibri"/>
          <w:color w:val="000000"/>
          <w:sz w:val="27"/>
          <w:szCs w:val="27"/>
        </w:rPr>
      </w:pPr>
    </w:p>
    <w:tbl>
      <w:tblPr>
        <w:tblW w:w="10057" w:type="dxa"/>
        <w:tblBorders>
          <w:top w:val="outset" w:sz="6" w:space="0" w:color="646464"/>
          <w:left w:val="outset" w:sz="6" w:space="0" w:color="646464"/>
          <w:bottom w:val="outset" w:sz="6" w:space="0" w:color="646464"/>
          <w:right w:val="outset" w:sz="6" w:space="0" w:color="646464"/>
        </w:tblBorders>
        <w:tblCellMar>
          <w:left w:w="0" w:type="dxa"/>
          <w:right w:w="0" w:type="dxa"/>
        </w:tblCellMar>
        <w:tblLook w:val="04A0" w:firstRow="1" w:lastRow="0" w:firstColumn="1" w:lastColumn="0" w:noHBand="0" w:noVBand="1"/>
      </w:tblPr>
      <w:tblGrid>
        <w:gridCol w:w="603"/>
        <w:gridCol w:w="4067"/>
        <w:gridCol w:w="1134"/>
        <w:gridCol w:w="1418"/>
        <w:gridCol w:w="1417"/>
        <w:gridCol w:w="1418"/>
      </w:tblGrid>
      <w:tr w:rsidR="003434AB" w:rsidRPr="003434AB" w14:paraId="667A9F82" w14:textId="77777777" w:rsidTr="003434AB">
        <w:trPr>
          <w:tblHeader/>
        </w:trPr>
        <w:tc>
          <w:tcPr>
            <w:tcW w:w="10057" w:type="dxa"/>
            <w:gridSpan w:val="6"/>
            <w:tcBorders>
              <w:top w:val="outset" w:sz="6" w:space="0" w:color="auto"/>
              <w:left w:val="outset" w:sz="6" w:space="0" w:color="auto"/>
              <w:bottom w:val="outset" w:sz="6" w:space="0" w:color="auto"/>
              <w:right w:val="outset" w:sz="6" w:space="0" w:color="auto"/>
            </w:tcBorders>
            <w:shd w:val="clear" w:color="auto" w:fill="DDDDDD"/>
            <w:vAlign w:val="center"/>
            <w:hideMark/>
          </w:tcPr>
          <w:p w14:paraId="65DCE644" w14:textId="77777777" w:rsidR="003434AB" w:rsidRPr="003434AB" w:rsidRDefault="003434AB" w:rsidP="003434AB">
            <w:pPr>
              <w:suppressAutoHyphens w:val="0"/>
              <w:spacing w:before="120" w:after="120"/>
              <w:ind w:left="120" w:right="120"/>
              <w:jc w:val="center"/>
              <w:rPr>
                <w:rFonts w:ascii="Calibri" w:hAnsi="Calibri" w:cs="Calibri"/>
                <w:color w:val="000000"/>
                <w:sz w:val="24"/>
              </w:rPr>
            </w:pPr>
            <w:r w:rsidRPr="003434AB">
              <w:rPr>
                <w:rFonts w:ascii="Calibri" w:hAnsi="Calibri" w:cs="Calibri"/>
                <w:b/>
                <w:bCs/>
                <w:color w:val="000000"/>
                <w:sz w:val="24"/>
              </w:rPr>
              <w:t>GRUPO 1</w:t>
            </w:r>
          </w:p>
        </w:tc>
      </w:tr>
      <w:tr w:rsidR="003434AB" w:rsidRPr="003434AB" w14:paraId="6E204B18" w14:textId="77777777" w:rsidTr="003434AB">
        <w:tc>
          <w:tcPr>
            <w:tcW w:w="0" w:type="auto"/>
            <w:tcBorders>
              <w:top w:val="outset" w:sz="6" w:space="0" w:color="auto"/>
              <w:left w:val="outset" w:sz="6" w:space="0" w:color="auto"/>
              <w:bottom w:val="outset" w:sz="6" w:space="0" w:color="auto"/>
              <w:right w:val="outset" w:sz="6" w:space="0" w:color="auto"/>
            </w:tcBorders>
            <w:vAlign w:val="center"/>
            <w:hideMark/>
          </w:tcPr>
          <w:p w14:paraId="09463225"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 </w:t>
            </w:r>
          </w:p>
          <w:p w14:paraId="64FE68D7"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ITEM</w:t>
            </w:r>
          </w:p>
        </w:tc>
        <w:tc>
          <w:tcPr>
            <w:tcW w:w="4067" w:type="dxa"/>
            <w:tcBorders>
              <w:top w:val="outset" w:sz="6" w:space="0" w:color="auto"/>
              <w:left w:val="outset" w:sz="6" w:space="0" w:color="auto"/>
              <w:bottom w:val="outset" w:sz="6" w:space="0" w:color="auto"/>
              <w:right w:val="outset" w:sz="6" w:space="0" w:color="auto"/>
            </w:tcBorders>
            <w:vAlign w:val="center"/>
            <w:hideMark/>
          </w:tcPr>
          <w:p w14:paraId="0F08F12D"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color w:val="000000"/>
                <w:sz w:val="22"/>
                <w:szCs w:val="22"/>
              </w:rPr>
              <w:t> </w:t>
            </w:r>
          </w:p>
          <w:p w14:paraId="6519027E"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DESCRIÇÃO/ ESPECIFICAÇÃO</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B818FFE"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color w:val="000000"/>
                <w:sz w:val="22"/>
                <w:szCs w:val="22"/>
              </w:rPr>
              <w:t> </w:t>
            </w:r>
          </w:p>
          <w:p w14:paraId="047DAC30"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UNIDADE DE MEDIDA</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44367A8"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color w:val="000000"/>
                <w:sz w:val="22"/>
                <w:szCs w:val="22"/>
              </w:rPr>
              <w:t> </w:t>
            </w:r>
          </w:p>
          <w:p w14:paraId="08EC770B"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QUANTIDADE</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29FA0C2"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VALOR UNITÁRIO MÁXIMO ACEITÁVEL</w:t>
            </w:r>
          </w:p>
        </w:tc>
        <w:tc>
          <w:tcPr>
            <w:tcW w:w="1418" w:type="dxa"/>
            <w:tcBorders>
              <w:top w:val="outset" w:sz="6" w:space="0" w:color="auto"/>
              <w:left w:val="outset" w:sz="6" w:space="0" w:color="auto"/>
              <w:bottom w:val="outset" w:sz="6" w:space="0" w:color="auto"/>
              <w:right w:val="outset" w:sz="6" w:space="0" w:color="auto"/>
            </w:tcBorders>
            <w:vAlign w:val="center"/>
            <w:hideMark/>
          </w:tcPr>
          <w:p w14:paraId="70E7226B"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VALOR TOTAL MÁXIMO ACEITÁVEL</w:t>
            </w:r>
          </w:p>
        </w:tc>
      </w:tr>
      <w:tr w:rsidR="003434AB" w:rsidRPr="003434AB" w14:paraId="658E06A1" w14:textId="77777777" w:rsidTr="003434AB">
        <w:tc>
          <w:tcPr>
            <w:tcW w:w="0" w:type="auto"/>
            <w:tcBorders>
              <w:top w:val="outset" w:sz="6" w:space="0" w:color="auto"/>
              <w:left w:val="outset" w:sz="6" w:space="0" w:color="auto"/>
              <w:bottom w:val="outset" w:sz="6" w:space="0" w:color="auto"/>
              <w:right w:val="outset" w:sz="6" w:space="0" w:color="auto"/>
            </w:tcBorders>
            <w:vAlign w:val="center"/>
            <w:hideMark/>
          </w:tcPr>
          <w:p w14:paraId="67EDCB08"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 1</w:t>
            </w:r>
          </w:p>
        </w:tc>
        <w:tc>
          <w:tcPr>
            <w:tcW w:w="4067" w:type="dxa"/>
            <w:tcBorders>
              <w:top w:val="outset" w:sz="6" w:space="0" w:color="auto"/>
              <w:left w:val="outset" w:sz="6" w:space="0" w:color="auto"/>
              <w:bottom w:val="outset" w:sz="6" w:space="0" w:color="auto"/>
              <w:right w:val="outset" w:sz="6" w:space="0" w:color="auto"/>
            </w:tcBorders>
            <w:vAlign w:val="center"/>
            <w:hideMark/>
          </w:tcPr>
          <w:p w14:paraId="2892E0BA" w14:textId="7C1189F1" w:rsidR="003434AB" w:rsidRPr="003434AB" w:rsidRDefault="003434AB" w:rsidP="003434AB">
            <w:pPr>
              <w:suppressAutoHyphens w:val="0"/>
              <w:ind w:left="60" w:right="60"/>
              <w:jc w:val="both"/>
              <w:rPr>
                <w:rFonts w:ascii="Calibri" w:hAnsi="Calibri" w:cs="Calibri"/>
                <w:color w:val="000000"/>
                <w:sz w:val="22"/>
                <w:szCs w:val="22"/>
              </w:rPr>
            </w:pPr>
            <w:r w:rsidRPr="003434AB">
              <w:rPr>
                <w:rFonts w:ascii="Calibri" w:hAnsi="Calibri" w:cs="Calibri"/>
                <w:color w:val="000000"/>
                <w:sz w:val="22"/>
                <w:szCs w:val="22"/>
              </w:rPr>
              <w:t>Serviço de despacho aduaneiro, bem como o desembaraço alfandegário de</w:t>
            </w:r>
            <w:r>
              <w:rPr>
                <w:rFonts w:ascii="Calibri" w:hAnsi="Calibri" w:cs="Calibri"/>
                <w:color w:val="000000"/>
                <w:sz w:val="22"/>
                <w:szCs w:val="22"/>
              </w:rPr>
              <w:t xml:space="preserve"> m</w:t>
            </w:r>
            <w:r w:rsidRPr="003434AB">
              <w:rPr>
                <w:rFonts w:ascii="Calibri" w:hAnsi="Calibri" w:cs="Calibri"/>
                <w:color w:val="000000"/>
                <w:sz w:val="22"/>
                <w:szCs w:val="22"/>
              </w:rPr>
              <w:t>ercadorias importadas, inclusive aquelas recebidas em doação, em caráter definitivo ou não, com ou sem cobertura cambial, e de mercadorias exportadas em caráter não definitivo (exportação temporária) a diversos países para fins de  manutenção e calibração, composto por: honorários e taxa sindical.</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5C40BD9"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color w:val="000000"/>
                <w:sz w:val="22"/>
                <w:szCs w:val="22"/>
              </w:rPr>
              <w:t>SERVIÇO</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D075A39" w14:textId="77777777" w:rsidR="003434AB" w:rsidRPr="003434AB" w:rsidRDefault="003434AB" w:rsidP="003434AB">
            <w:pPr>
              <w:suppressAutoHyphens w:val="0"/>
              <w:ind w:left="60" w:right="60"/>
              <w:jc w:val="center"/>
              <w:rPr>
                <w:rFonts w:ascii="Calibri" w:hAnsi="Calibri" w:cs="Calibri"/>
                <w:color w:val="000000"/>
                <w:sz w:val="22"/>
                <w:szCs w:val="22"/>
              </w:rPr>
            </w:pPr>
            <w:r w:rsidRPr="003434AB">
              <w:rPr>
                <w:rFonts w:ascii="Calibri" w:hAnsi="Calibri" w:cs="Calibri"/>
                <w:color w:val="000000"/>
                <w:sz w:val="22"/>
                <w:szCs w:val="22"/>
              </w:rPr>
              <w:t>50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E1D271B" w14:textId="77777777" w:rsidR="003434AB" w:rsidRPr="003434AB" w:rsidRDefault="003434AB" w:rsidP="003434AB">
            <w:pPr>
              <w:suppressAutoHyphens w:val="0"/>
              <w:ind w:left="60" w:right="60"/>
              <w:jc w:val="center"/>
              <w:rPr>
                <w:rFonts w:ascii="Calibri" w:hAnsi="Calibri" w:cs="Calibri"/>
                <w:color w:val="000000"/>
                <w:sz w:val="22"/>
                <w:szCs w:val="22"/>
              </w:rPr>
            </w:pPr>
            <w:r w:rsidRPr="003434AB">
              <w:rPr>
                <w:rFonts w:ascii="Calibri" w:hAnsi="Calibri" w:cs="Calibri"/>
                <w:color w:val="000000"/>
                <w:sz w:val="22"/>
                <w:szCs w:val="22"/>
              </w:rPr>
              <w:t>R$1.625,00</w:t>
            </w:r>
            <w:r w:rsidRPr="003434AB">
              <w:rPr>
                <w:rFonts w:ascii="Calibri" w:hAnsi="Calibri" w:cs="Calibri"/>
                <w:b/>
                <w:bCs/>
                <w:color w:val="000000"/>
                <w:sz w:val="22"/>
                <w:szCs w:val="22"/>
              </w:rPr>
              <w:t> </w:t>
            </w:r>
          </w:p>
        </w:tc>
        <w:tc>
          <w:tcPr>
            <w:tcW w:w="1418" w:type="dxa"/>
            <w:tcBorders>
              <w:top w:val="outset" w:sz="6" w:space="0" w:color="auto"/>
              <w:left w:val="outset" w:sz="6" w:space="0" w:color="auto"/>
              <w:bottom w:val="outset" w:sz="6" w:space="0" w:color="auto"/>
              <w:right w:val="outset" w:sz="6" w:space="0" w:color="auto"/>
            </w:tcBorders>
            <w:vAlign w:val="center"/>
            <w:hideMark/>
          </w:tcPr>
          <w:p w14:paraId="4F720DF3" w14:textId="77777777" w:rsidR="003434AB" w:rsidRPr="003434AB" w:rsidRDefault="003434AB" w:rsidP="003434AB">
            <w:pPr>
              <w:suppressAutoHyphens w:val="0"/>
              <w:ind w:left="60" w:right="60"/>
              <w:jc w:val="center"/>
              <w:rPr>
                <w:rFonts w:ascii="Calibri" w:hAnsi="Calibri" w:cs="Calibri"/>
                <w:color w:val="000000"/>
                <w:sz w:val="22"/>
                <w:szCs w:val="22"/>
              </w:rPr>
            </w:pPr>
            <w:r w:rsidRPr="003434AB">
              <w:rPr>
                <w:rFonts w:ascii="Calibri" w:hAnsi="Calibri" w:cs="Calibri"/>
                <w:b/>
                <w:bCs/>
                <w:color w:val="000000"/>
                <w:sz w:val="22"/>
                <w:szCs w:val="22"/>
              </w:rPr>
              <w:t>R$81.250,00</w:t>
            </w:r>
          </w:p>
        </w:tc>
      </w:tr>
      <w:tr w:rsidR="003434AB" w:rsidRPr="003434AB" w14:paraId="197BDBF9" w14:textId="77777777" w:rsidTr="003434AB">
        <w:tc>
          <w:tcPr>
            <w:tcW w:w="0" w:type="auto"/>
            <w:tcBorders>
              <w:top w:val="outset" w:sz="6" w:space="0" w:color="auto"/>
              <w:left w:val="outset" w:sz="6" w:space="0" w:color="auto"/>
              <w:bottom w:val="outset" w:sz="6" w:space="0" w:color="auto"/>
              <w:right w:val="outset" w:sz="6" w:space="0" w:color="auto"/>
            </w:tcBorders>
            <w:vAlign w:val="center"/>
            <w:hideMark/>
          </w:tcPr>
          <w:p w14:paraId="14A14926"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b/>
                <w:bCs/>
                <w:color w:val="000000"/>
                <w:sz w:val="22"/>
                <w:szCs w:val="22"/>
              </w:rPr>
              <w:t> 2</w:t>
            </w:r>
          </w:p>
        </w:tc>
        <w:tc>
          <w:tcPr>
            <w:tcW w:w="4067" w:type="dxa"/>
            <w:tcBorders>
              <w:top w:val="outset" w:sz="6" w:space="0" w:color="auto"/>
              <w:left w:val="outset" w:sz="6" w:space="0" w:color="auto"/>
              <w:bottom w:val="outset" w:sz="6" w:space="0" w:color="auto"/>
              <w:right w:val="outset" w:sz="6" w:space="0" w:color="auto"/>
            </w:tcBorders>
            <w:vAlign w:val="center"/>
            <w:hideMark/>
          </w:tcPr>
          <w:p w14:paraId="0A7FF78C" w14:textId="77777777" w:rsidR="003434AB" w:rsidRPr="003434AB" w:rsidRDefault="003434AB" w:rsidP="003434AB">
            <w:pPr>
              <w:suppressAutoHyphens w:val="0"/>
              <w:ind w:left="60" w:right="60"/>
              <w:jc w:val="both"/>
              <w:rPr>
                <w:rFonts w:ascii="Calibri" w:hAnsi="Calibri" w:cs="Calibri"/>
                <w:color w:val="000000"/>
                <w:sz w:val="22"/>
                <w:szCs w:val="22"/>
              </w:rPr>
            </w:pPr>
            <w:r w:rsidRPr="003434AB">
              <w:rPr>
                <w:rFonts w:ascii="Calibri" w:hAnsi="Calibri" w:cs="Calibri"/>
                <w:color w:val="000000"/>
                <w:sz w:val="22"/>
                <w:szCs w:val="22"/>
              </w:rPr>
              <w:t>Despesas       estimativas envolvendo taxas acessórias, tais como: frete internacional; frete interno; agentes de carga  nacional e internacional; seguros; taxas de armazenamento;     Siscomex; órgãos anuentes; capatazia; reposição de gelo seco; embalagem; paletização; fumigação e demais despesas necessárias para o completo desembaraço e entrega da mercadoria em perfeitas condições ao  destinatário </w:t>
            </w:r>
            <w:r w:rsidRPr="003434AB">
              <w:rPr>
                <w:rFonts w:ascii="Calibri" w:hAnsi="Calibri" w:cs="Calibri"/>
                <w:b/>
                <w:bCs/>
                <w:color w:val="FF0000"/>
                <w:sz w:val="22"/>
                <w:szCs w:val="22"/>
              </w:rPr>
              <w:t>ITEM FECHADO PARA LANCES.</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A4866EF"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color w:val="000000"/>
                <w:sz w:val="22"/>
                <w:szCs w:val="22"/>
              </w:rPr>
              <w:t>SERVIÇO</w:t>
            </w:r>
          </w:p>
        </w:tc>
        <w:tc>
          <w:tcPr>
            <w:tcW w:w="1418" w:type="dxa"/>
            <w:tcBorders>
              <w:top w:val="outset" w:sz="6" w:space="0" w:color="auto"/>
              <w:left w:val="outset" w:sz="6" w:space="0" w:color="auto"/>
              <w:bottom w:val="outset" w:sz="6" w:space="0" w:color="auto"/>
              <w:right w:val="outset" w:sz="6" w:space="0" w:color="auto"/>
            </w:tcBorders>
            <w:vAlign w:val="center"/>
            <w:hideMark/>
          </w:tcPr>
          <w:p w14:paraId="76A1DE0D"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color w:val="000000"/>
                <w:sz w:val="22"/>
                <w:szCs w:val="22"/>
              </w:rPr>
              <w:t>800.000,00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AD082E6" w14:textId="77777777"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color w:val="000000"/>
                <w:sz w:val="22"/>
                <w:szCs w:val="22"/>
              </w:rPr>
              <w:t>R$ 1,00 </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C3A73DD" w14:textId="26FAB009" w:rsidR="003434AB" w:rsidRPr="003434AB" w:rsidRDefault="003434AB" w:rsidP="003434AB">
            <w:pPr>
              <w:suppressAutoHyphens w:val="0"/>
              <w:ind w:left="60" w:right="60"/>
              <w:rPr>
                <w:rFonts w:ascii="Calibri" w:hAnsi="Calibri" w:cs="Calibri"/>
                <w:color w:val="000000"/>
                <w:sz w:val="22"/>
                <w:szCs w:val="22"/>
              </w:rPr>
            </w:pPr>
            <w:r w:rsidRPr="003434AB">
              <w:rPr>
                <w:rFonts w:ascii="Calibri" w:hAnsi="Calibri" w:cs="Calibri"/>
                <w:color w:val="000000"/>
                <w:sz w:val="22"/>
                <w:szCs w:val="22"/>
              </w:rPr>
              <w:t>R$800.000,00</w:t>
            </w:r>
          </w:p>
        </w:tc>
      </w:tr>
    </w:tbl>
    <w:p w14:paraId="7B5FECF6"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lang w:val="x-none"/>
        </w:rPr>
      </w:pPr>
      <w:r w:rsidRPr="0058089D">
        <w:rPr>
          <w:rFonts w:asciiTheme="minorHAnsi" w:hAnsiTheme="minorHAnsi" w:cstheme="minorHAnsi"/>
          <w:sz w:val="22"/>
          <w:szCs w:val="22"/>
        </w:rPr>
        <w:t>Vinculam esta contratação, independentemente de transcrição:</w:t>
      </w:r>
    </w:p>
    <w:p w14:paraId="377F287E" w14:textId="77777777" w:rsidR="000458D9" w:rsidRPr="000458D9" w:rsidRDefault="00B8510A" w:rsidP="002D6F56">
      <w:pPr>
        <w:pStyle w:val="Nivel3"/>
        <w:numPr>
          <w:ilvl w:val="2"/>
          <w:numId w:val="17"/>
        </w:numPr>
        <w:spacing w:before="0" w:afterLines="120" w:after="288" w:line="240" w:lineRule="auto"/>
        <w:ind w:left="567" w:hanging="567"/>
        <w:rPr>
          <w:rFonts w:asciiTheme="minorHAnsi" w:hAnsiTheme="minorHAnsi" w:cstheme="minorHAnsi"/>
          <w:color w:val="auto"/>
          <w:sz w:val="22"/>
          <w:szCs w:val="22"/>
          <w:lang w:val="x-none"/>
        </w:rPr>
      </w:pPr>
      <w:r w:rsidRPr="000458D9">
        <w:rPr>
          <w:rFonts w:asciiTheme="minorHAnsi" w:hAnsiTheme="minorHAnsi" w:cstheme="minorHAnsi"/>
          <w:color w:val="auto"/>
          <w:sz w:val="22"/>
          <w:szCs w:val="22"/>
        </w:rPr>
        <w:t>O Termo de Referência;</w:t>
      </w:r>
    </w:p>
    <w:p w14:paraId="2834F95B" w14:textId="39BA348F" w:rsidR="00B8510A" w:rsidRPr="000458D9" w:rsidRDefault="00B8510A" w:rsidP="002D6F56">
      <w:pPr>
        <w:pStyle w:val="Nivel3"/>
        <w:numPr>
          <w:ilvl w:val="2"/>
          <w:numId w:val="17"/>
        </w:numPr>
        <w:spacing w:before="0" w:afterLines="120" w:after="288" w:line="240" w:lineRule="auto"/>
        <w:ind w:left="567" w:hanging="567"/>
        <w:rPr>
          <w:rFonts w:asciiTheme="minorHAnsi" w:hAnsiTheme="minorHAnsi" w:cstheme="minorHAnsi"/>
          <w:color w:val="auto"/>
          <w:sz w:val="22"/>
          <w:szCs w:val="22"/>
          <w:lang w:val="x-none"/>
        </w:rPr>
      </w:pPr>
      <w:r w:rsidRPr="000458D9">
        <w:rPr>
          <w:rFonts w:asciiTheme="minorHAnsi" w:hAnsiTheme="minorHAnsi" w:cstheme="minorHAnsi"/>
          <w:color w:val="auto"/>
          <w:sz w:val="22"/>
          <w:szCs w:val="22"/>
        </w:rPr>
        <w:t>O Edital da Licitação;</w:t>
      </w:r>
    </w:p>
    <w:p w14:paraId="134EEF6E" w14:textId="77777777" w:rsidR="00B8510A" w:rsidRPr="0058089D" w:rsidRDefault="00B8510A" w:rsidP="000458D9">
      <w:pPr>
        <w:pStyle w:val="Nivel3"/>
        <w:numPr>
          <w:ilvl w:val="2"/>
          <w:numId w:val="17"/>
        </w:numPr>
        <w:spacing w:before="0" w:afterLines="120" w:after="288" w:line="240"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A Proposta do contratado;</w:t>
      </w:r>
    </w:p>
    <w:p w14:paraId="5643FA7E" w14:textId="77777777" w:rsidR="00B8510A" w:rsidRPr="0058089D" w:rsidRDefault="00B8510A" w:rsidP="000458D9">
      <w:pPr>
        <w:pStyle w:val="Nivel3"/>
        <w:numPr>
          <w:ilvl w:val="2"/>
          <w:numId w:val="17"/>
        </w:numPr>
        <w:spacing w:before="0" w:afterLines="120" w:after="288" w:line="240" w:lineRule="auto"/>
        <w:ind w:left="567" w:hanging="567"/>
        <w:rPr>
          <w:rFonts w:asciiTheme="minorHAnsi" w:hAnsiTheme="minorHAnsi" w:cstheme="minorHAnsi"/>
          <w:color w:val="auto"/>
          <w:sz w:val="22"/>
          <w:szCs w:val="22"/>
          <w:lang w:val="x-none"/>
        </w:rPr>
      </w:pPr>
      <w:r w:rsidRPr="0058089D">
        <w:rPr>
          <w:rFonts w:asciiTheme="minorHAnsi" w:hAnsiTheme="minorHAnsi" w:cstheme="minorHAnsi"/>
          <w:color w:val="auto"/>
          <w:sz w:val="22"/>
          <w:szCs w:val="22"/>
        </w:rPr>
        <w:t>Eventuais anexos dos documentos supracitados.</w:t>
      </w:r>
    </w:p>
    <w:p w14:paraId="08EDA212"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SEGUNDA – VIGÊNCIA E PRORROGAÇÃO</w:t>
      </w:r>
    </w:p>
    <w:p w14:paraId="49E4C29C" w14:textId="20792C54"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 xml:space="preserve">O prazo de vigência da contratação é </w:t>
      </w:r>
      <w:r w:rsidRPr="0058089D">
        <w:rPr>
          <w:rFonts w:asciiTheme="minorHAnsi" w:hAnsiTheme="minorHAnsi" w:cstheme="minorHAnsi"/>
          <w:b/>
          <w:bCs/>
          <w:iCs/>
          <w:sz w:val="22"/>
          <w:szCs w:val="22"/>
        </w:rPr>
        <w:t xml:space="preserve">de </w:t>
      </w:r>
      <w:r w:rsidR="00BB2C3E" w:rsidRPr="0058089D">
        <w:rPr>
          <w:rFonts w:asciiTheme="minorHAnsi" w:hAnsiTheme="minorHAnsi" w:cstheme="minorHAnsi"/>
          <w:b/>
          <w:bCs/>
          <w:iCs/>
          <w:sz w:val="22"/>
          <w:szCs w:val="22"/>
        </w:rPr>
        <w:t>30 meses</w:t>
      </w:r>
      <w:r w:rsidR="00BB2C3E" w:rsidRPr="0058089D">
        <w:rPr>
          <w:rFonts w:asciiTheme="minorHAnsi" w:hAnsiTheme="minorHAnsi" w:cstheme="minorHAnsi"/>
          <w:iCs/>
          <w:sz w:val="22"/>
          <w:szCs w:val="22"/>
        </w:rPr>
        <w:t>, contados da assinatura do contrato pelas partes</w:t>
      </w:r>
      <w:r w:rsidRPr="0058089D">
        <w:rPr>
          <w:rFonts w:asciiTheme="minorHAnsi" w:hAnsiTheme="minorHAnsi" w:cstheme="minorHAnsi"/>
          <w:iCs/>
          <w:sz w:val="22"/>
          <w:szCs w:val="22"/>
        </w:rPr>
        <w:t xml:space="preserve">, prorrogável por até 10 anos, na forma dos </w:t>
      </w:r>
      <w:hyperlink r:id="rId10" w:anchor="art106" w:history="1">
        <w:r w:rsidRPr="0058089D">
          <w:rPr>
            <w:rStyle w:val="Hyperlink"/>
            <w:rFonts w:asciiTheme="minorHAnsi" w:hAnsiTheme="minorHAnsi" w:cstheme="minorHAnsi"/>
            <w:iCs/>
            <w:color w:val="auto"/>
            <w:sz w:val="22"/>
            <w:szCs w:val="22"/>
          </w:rPr>
          <w:t>artigos 106 e 107 da Lei n° 14.133, de 2021.</w:t>
        </w:r>
      </w:hyperlink>
    </w:p>
    <w:p w14:paraId="680AB4C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Cs/>
          <w:sz w:val="22"/>
          <w:szCs w:val="22"/>
        </w:rPr>
      </w:pPr>
      <w:r w:rsidRPr="0058089D">
        <w:rPr>
          <w:rFonts w:asciiTheme="minorHAnsi" w:hAnsiTheme="minorHAnsi" w:cstheme="minorHAnsi"/>
          <w:iCs/>
          <w:sz w:val="22"/>
          <w:szCs w:val="22"/>
        </w:rPr>
        <w:t>A prorrogação de que trata este item é condicionada ao ateste, pela autoridade competente, de que as condições e os preços permanecem vantajosos para a Administração, permitida a negociação com o contratado.</w:t>
      </w:r>
    </w:p>
    <w:p w14:paraId="7DC756BE"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bookmarkStart w:id="0" w:name="_Hlk114497577"/>
      <w:bookmarkStart w:id="1" w:name="_Hlk114497502"/>
      <w:bookmarkEnd w:id="0"/>
      <w:bookmarkEnd w:id="1"/>
      <w:r w:rsidRPr="0058089D">
        <w:rPr>
          <w:rFonts w:asciiTheme="minorHAnsi" w:hAnsiTheme="minorHAnsi" w:cstheme="minorHAnsi"/>
          <w:sz w:val="22"/>
          <w:szCs w:val="22"/>
        </w:rPr>
        <w:lastRenderedPageBreak/>
        <w:t>CLÁUSULA TERCEIRA – MODELOS DE EXECUÇÃO E GESTÃO CONTRATUAIS (</w:t>
      </w:r>
      <w:hyperlink r:id="rId11" w:anchor="art92" w:history="1">
        <w:r w:rsidRPr="0058089D">
          <w:rPr>
            <w:rStyle w:val="Hyperlink"/>
            <w:rFonts w:asciiTheme="minorHAnsi" w:hAnsiTheme="minorHAnsi" w:cstheme="minorHAnsi"/>
            <w:color w:val="auto"/>
            <w:sz w:val="22"/>
            <w:szCs w:val="22"/>
          </w:rPr>
          <w:t>art. 92, IV, VII e XVIII)</w:t>
        </w:r>
      </w:hyperlink>
    </w:p>
    <w:p w14:paraId="6357A64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14:paraId="34935B0C"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QUARTA – SUBCONTRATAÇÃO</w:t>
      </w:r>
    </w:p>
    <w:p w14:paraId="60DC5EA3" w14:textId="77777777" w:rsid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O serviço previsto no Item 1 não poderá ser subcontratado.</w:t>
      </w:r>
    </w:p>
    <w:p w14:paraId="6BE4EAAE" w14:textId="77777777" w:rsid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É permitida a subcontratação parcial do objeto, desde que trate-se de serviço considerado acessório, como: locação de empilhadeiras, guindastes, transporte, escolta, entrega ou coleta de documentos, dentre outros relacionados ao Item 2 da Contratação.</w:t>
      </w:r>
    </w:p>
    <w:p w14:paraId="37B6E5A6" w14:textId="77777777" w:rsid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É vedada a subcontratação completa ou da parcela principal da obrigação;</w:t>
      </w:r>
    </w:p>
    <w:p w14:paraId="5C52FF8F" w14:textId="77777777" w:rsid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14591D9" w14:textId="77777777" w:rsid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a empresa contratada será responsável pela padronização, pela compatibilidade, pelo gerenciamento centralizado e pela qualidade da subcontratação.</w:t>
      </w:r>
    </w:p>
    <w:p w14:paraId="488A6CBE" w14:textId="77777777" w:rsid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É permitida a subcontratação parcial do objeto, desde que trate-se de serviço considerado acessório, como: locação de empilhadeiras, guindastes, transporte, escolta, entrega ou coleta de documentos, dentre outros relacionados ao Item 2 da Contratação.</w:t>
      </w:r>
    </w:p>
    <w:p w14:paraId="6C33FBBB" w14:textId="77777777" w:rsid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É vedada a subcontratação completa ou da parcela principal da obrigação;</w:t>
      </w:r>
    </w:p>
    <w:p w14:paraId="48A04660" w14:textId="53E3FB7E" w:rsidR="003434AB" w:rsidRPr="003434AB" w:rsidRDefault="003434AB" w:rsidP="003434AB">
      <w:pPr>
        <w:pStyle w:val="textojustificado"/>
        <w:numPr>
          <w:ilvl w:val="1"/>
          <w:numId w:val="17"/>
        </w:numPr>
        <w:spacing w:before="120" w:beforeAutospacing="0" w:after="120" w:afterAutospacing="0"/>
        <w:ind w:left="426" w:right="120"/>
        <w:jc w:val="both"/>
        <w:rPr>
          <w:rFonts w:ascii="Calibri" w:hAnsi="Calibri" w:cs="Calibri"/>
          <w:color w:val="000000"/>
          <w:sz w:val="22"/>
          <w:szCs w:val="22"/>
        </w:rPr>
      </w:pPr>
      <w:r w:rsidRPr="003434AB">
        <w:rPr>
          <w:rFonts w:ascii="Calibri" w:hAnsi="Calibri" w:cs="Calibri"/>
          <w:color w:val="000000"/>
          <w:sz w:val="22"/>
          <w:szCs w:val="22"/>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44240A84"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QUINTA - PREÇO</w:t>
      </w:r>
    </w:p>
    <w:p w14:paraId="35B439E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lang w:eastAsia="en-US"/>
        </w:rPr>
        <w:t xml:space="preserve">O valor mensal da </w:t>
      </w:r>
      <w:r w:rsidRPr="0058089D">
        <w:rPr>
          <w:rFonts w:asciiTheme="minorHAnsi" w:hAnsiTheme="minorHAnsi" w:cstheme="minorHAnsi"/>
          <w:i/>
          <w:sz w:val="22"/>
          <w:szCs w:val="22"/>
        </w:rPr>
        <w:t>contratação</w:t>
      </w:r>
      <w:r w:rsidRPr="0058089D">
        <w:rPr>
          <w:rFonts w:asciiTheme="minorHAnsi" w:hAnsiTheme="minorHAnsi" w:cstheme="minorHAnsi"/>
          <w:i/>
          <w:sz w:val="22"/>
          <w:szCs w:val="22"/>
          <w:lang w:eastAsia="en-US"/>
        </w:rPr>
        <w:t xml:space="preserve"> é de R$ .......... (.....), perfazendo o valor total de R$ ....... (....).</w:t>
      </w:r>
    </w:p>
    <w:p w14:paraId="68A0CBC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BB747B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i/>
          <w:sz w:val="22"/>
          <w:szCs w:val="22"/>
        </w:rPr>
        <w:t>O valor acima é meramente estimativo, de forma que os pagamentos devidos ao contratado dependerão dos quantitativos efetivamente fornecidos.</w:t>
      </w:r>
    </w:p>
    <w:p w14:paraId="41474C4A"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SEXTA - PAGAMENTO (</w:t>
      </w:r>
      <w:hyperlink r:id="rId12" w:anchor="art92" w:history="1">
        <w:r w:rsidRPr="0058089D">
          <w:rPr>
            <w:rStyle w:val="Hyperlink"/>
            <w:rFonts w:asciiTheme="minorHAnsi" w:hAnsiTheme="minorHAnsi" w:cstheme="minorHAnsi"/>
            <w:color w:val="auto"/>
            <w:sz w:val="22"/>
            <w:szCs w:val="22"/>
          </w:rPr>
          <w:t>art. 92, V e VI</w:t>
        </w:r>
      </w:hyperlink>
      <w:r w:rsidRPr="0058089D">
        <w:rPr>
          <w:rFonts w:asciiTheme="minorHAnsi" w:hAnsiTheme="minorHAnsi" w:cstheme="minorHAnsi"/>
          <w:sz w:val="22"/>
          <w:szCs w:val="22"/>
        </w:rPr>
        <w:t>)</w:t>
      </w:r>
    </w:p>
    <w:p w14:paraId="674682D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 prazo para pagamento </w:t>
      </w:r>
      <w:r w:rsidRPr="0058089D">
        <w:rPr>
          <w:rFonts w:asciiTheme="minorHAnsi" w:hAnsiTheme="minorHAnsi" w:cstheme="minorHAnsi"/>
          <w:sz w:val="22"/>
          <w:szCs w:val="22"/>
          <w:lang w:eastAsia="en-US"/>
        </w:rPr>
        <w:t>ao contratado</w:t>
      </w:r>
      <w:r w:rsidRPr="0058089D">
        <w:rPr>
          <w:rFonts w:asciiTheme="minorHAnsi" w:hAnsiTheme="minorHAnsi" w:cstheme="minorHAnsi"/>
          <w:sz w:val="22"/>
          <w:szCs w:val="22"/>
        </w:rPr>
        <w:t xml:space="preserve"> e demais condições a ele referentes encontram-se definidos no Termo de Referência, anexo a este Contrato.</w:t>
      </w:r>
    </w:p>
    <w:p w14:paraId="1715F7F4"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CLÁUSULA SÉTIMA - REAJUSTE (</w:t>
      </w:r>
      <w:hyperlink r:id="rId13" w:anchor="art92" w:history="1">
        <w:r w:rsidRPr="0058089D">
          <w:rPr>
            <w:rStyle w:val="Hyperlink"/>
            <w:rFonts w:asciiTheme="minorHAnsi" w:hAnsiTheme="minorHAnsi" w:cstheme="minorHAnsi"/>
            <w:color w:val="auto"/>
            <w:sz w:val="22"/>
            <w:szCs w:val="22"/>
          </w:rPr>
          <w:t>art. 92, V</w:t>
        </w:r>
      </w:hyperlink>
      <w:r w:rsidRPr="0058089D">
        <w:rPr>
          <w:rFonts w:asciiTheme="minorHAnsi" w:hAnsiTheme="minorHAnsi" w:cstheme="minorHAnsi"/>
          <w:sz w:val="22"/>
          <w:szCs w:val="22"/>
        </w:rPr>
        <w:t>)</w:t>
      </w:r>
    </w:p>
    <w:p w14:paraId="40D6058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preços inicialmente contratados são fixos e irreajustáveis no prazo de um ano contado da data do orçamento estimado, em </w:t>
      </w:r>
      <w:r w:rsidRPr="0058089D">
        <w:rPr>
          <w:rFonts w:asciiTheme="minorHAnsi" w:hAnsiTheme="minorHAnsi" w:cstheme="minorHAnsi"/>
          <w:i/>
          <w:iCs/>
          <w:sz w:val="22"/>
          <w:szCs w:val="22"/>
        </w:rPr>
        <w:t>__/__/__ (DD/MM/AAAA)</w:t>
      </w:r>
      <w:r w:rsidRPr="0058089D">
        <w:rPr>
          <w:rFonts w:asciiTheme="minorHAnsi" w:hAnsiTheme="minorHAnsi" w:cstheme="minorHAnsi"/>
          <w:sz w:val="22"/>
          <w:szCs w:val="22"/>
        </w:rPr>
        <w:t>.</w:t>
      </w:r>
    </w:p>
    <w:p w14:paraId="6DA02872" w14:textId="36A6F9E5"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Após o interregno de um ano, e independentemente de pedido do contratado, os preços iniciais serão reajustados, mediante a aplicação, pelo contratante, do índice </w:t>
      </w:r>
      <w:r w:rsidR="00BB2C3E" w:rsidRPr="0058089D">
        <w:rPr>
          <w:rFonts w:asciiTheme="minorHAnsi" w:hAnsiTheme="minorHAnsi" w:cstheme="minorHAnsi"/>
          <w:sz w:val="22"/>
          <w:szCs w:val="22"/>
        </w:rPr>
        <w:t>IPCA</w:t>
      </w:r>
      <w:r w:rsidRPr="0058089D">
        <w:rPr>
          <w:rFonts w:asciiTheme="minorHAnsi" w:hAnsiTheme="minorHAnsi" w:cstheme="minorHAnsi"/>
          <w:i/>
          <w:iCs/>
          <w:sz w:val="22"/>
          <w:szCs w:val="22"/>
        </w:rPr>
        <w:t>,</w:t>
      </w:r>
      <w:r w:rsidRPr="0058089D">
        <w:rPr>
          <w:rFonts w:asciiTheme="minorHAnsi" w:hAnsiTheme="minorHAnsi" w:cstheme="minorHAnsi"/>
          <w:sz w:val="22"/>
          <w:szCs w:val="22"/>
        </w:rPr>
        <w:t xml:space="preserve"> exclusivamente para as obrigações iniciadas e concluídas após a ocorrência da anualidade.</w:t>
      </w:r>
    </w:p>
    <w:p w14:paraId="343C940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Nos reajustes subsequentes ao primeiro, o interregno mínimo de um ano será contado a partir dos efeitos financeiros do último reajuste.</w:t>
      </w:r>
    </w:p>
    <w:p w14:paraId="130798B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2579E1C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Nas aferições finais, o(s) índice(s) utilizado(s) para reajuste será(ão), obrigatoriamente, o(s) definitivo(s).</w:t>
      </w:r>
    </w:p>
    <w:p w14:paraId="4FD80F9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Caso o(s) índice(s) estabelecido(s) para reajustamento venha(m) a ser extinto(s) ou de qualquer forma não possa(m) mais ser utilizado(s), será(ão) adotado(s), em substituição, o(s) que vier(em) a ser determinado(s) pela legislação então em vigor.</w:t>
      </w:r>
    </w:p>
    <w:p w14:paraId="2EDC2FA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Na ausência de previsão legal quanto ao índice substituto, as partes elegerão novo índice oficial, para reajustamento do preço do valor remanescente, por meio de termo aditivo. </w:t>
      </w:r>
    </w:p>
    <w:p w14:paraId="501D4B9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reajuste será realizado por apostilamento.</w:t>
      </w:r>
    </w:p>
    <w:p w14:paraId="0EEAFBD1"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CLÁUSULA OITAVA - OBRIGAÇÕES DO CONTRATANTE </w:t>
      </w:r>
      <w:hyperlink r:id="rId14" w:anchor="art92" w:history="1">
        <w:r w:rsidRPr="0058089D">
          <w:rPr>
            <w:rStyle w:val="Hyperlink"/>
            <w:rFonts w:asciiTheme="minorHAnsi" w:hAnsiTheme="minorHAnsi" w:cstheme="minorHAnsi"/>
            <w:color w:val="auto"/>
            <w:sz w:val="22"/>
            <w:szCs w:val="22"/>
          </w:rPr>
          <w:t>(art. 92, X, XI e XIV</w:t>
        </w:r>
      </w:hyperlink>
      <w:r w:rsidRPr="0058089D">
        <w:rPr>
          <w:rFonts w:asciiTheme="minorHAnsi" w:hAnsiTheme="minorHAnsi" w:cstheme="minorHAnsi"/>
          <w:sz w:val="22"/>
          <w:szCs w:val="22"/>
        </w:rPr>
        <w:t>)</w:t>
      </w:r>
    </w:p>
    <w:p w14:paraId="67CB275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b/>
          <w:bCs/>
          <w:sz w:val="22"/>
          <w:szCs w:val="22"/>
        </w:rPr>
      </w:pPr>
      <w:r w:rsidRPr="0058089D">
        <w:rPr>
          <w:rFonts w:asciiTheme="minorHAnsi" w:hAnsiTheme="minorHAnsi" w:cstheme="minorHAnsi"/>
          <w:sz w:val="22"/>
          <w:szCs w:val="22"/>
        </w:rPr>
        <w:t>São obrigações do Contratante:</w:t>
      </w:r>
    </w:p>
    <w:p w14:paraId="77B1FB9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Exigir o cumprimento de todas as obrigações assumidas pelo Contratado, de acordo com o contrato e seus anexos;</w:t>
      </w:r>
    </w:p>
    <w:p w14:paraId="020DC3C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Receber o objeto no prazo e condições estabelecidas no Termo de Referência;</w:t>
      </w:r>
    </w:p>
    <w:p w14:paraId="651C366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Notificar o Contratado, por escrito, sobre vícios, defeitos ou incorreções verificadas no objeto fornecido, para que seja por ele substituído, reparado ou corrigido, no total ou em parte, às suas expensas;</w:t>
      </w:r>
    </w:p>
    <w:p w14:paraId="0660057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Acompanhar e fiscalizar a execução do contrato e o cumprimento das obrigações pelo Contratado;</w:t>
      </w:r>
    </w:p>
    <w:p w14:paraId="2CBE238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156603EE"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Efetuar o pagamento ao Contratado do valor correspondente à execução do objeto, no prazo, forma e condições estabelecidos no presente Contrato e no Termo de Referência;</w:t>
      </w:r>
    </w:p>
    <w:p w14:paraId="05B18E0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Aplicar ao Contratado as sanções previstas na lei e neste Contrato; </w:t>
      </w:r>
    </w:p>
    <w:p w14:paraId="07A2E18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14:paraId="0EB31EB0"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ACF838" w14:textId="3C5EE4DE"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b/>
          <w:bCs/>
          <w:color w:val="auto"/>
          <w:sz w:val="22"/>
          <w:szCs w:val="22"/>
        </w:rPr>
      </w:pPr>
      <w:r w:rsidRPr="0058089D">
        <w:rPr>
          <w:rFonts w:asciiTheme="minorHAnsi" w:hAnsiTheme="minorHAnsi" w:cstheme="minorHAnsi"/>
          <w:color w:val="auto"/>
          <w:sz w:val="22"/>
          <w:szCs w:val="22"/>
        </w:rPr>
        <w:t xml:space="preserve"> A Administração terá o prazo de</w:t>
      </w:r>
      <w:r w:rsidRPr="0058089D">
        <w:rPr>
          <w:rFonts w:asciiTheme="minorHAnsi" w:hAnsiTheme="minorHAnsi" w:cstheme="minorHAnsi"/>
          <w:i/>
          <w:iCs/>
          <w:color w:val="auto"/>
          <w:sz w:val="22"/>
          <w:szCs w:val="22"/>
        </w:rPr>
        <w:t xml:space="preserve"> </w:t>
      </w:r>
      <w:r w:rsidR="00BB2C3E" w:rsidRPr="0058089D">
        <w:rPr>
          <w:rFonts w:asciiTheme="minorHAnsi" w:hAnsiTheme="minorHAnsi" w:cstheme="minorHAnsi"/>
          <w:i/>
          <w:iCs/>
          <w:color w:val="auto"/>
          <w:sz w:val="22"/>
          <w:szCs w:val="22"/>
        </w:rPr>
        <w:t>30 dias</w:t>
      </w:r>
      <w:r w:rsidRPr="0058089D">
        <w:rPr>
          <w:rFonts w:asciiTheme="minorHAnsi" w:hAnsiTheme="minorHAnsi" w:cstheme="minorHAnsi"/>
          <w:color w:val="auto"/>
          <w:sz w:val="22"/>
          <w:szCs w:val="22"/>
        </w:rPr>
        <w:t xml:space="preserve">, a contar da data do protocolo do requerimento para decidir, admitida a prorrogação motivada, por igual período. </w:t>
      </w:r>
    </w:p>
    <w:p w14:paraId="6EBB2B3F" w14:textId="344B1A32"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Responder eventuais pedidos de reestabelecimento do equilíbrio econômico-financeiro feitos pelo contratado no prazo máximo de </w:t>
      </w:r>
      <w:r w:rsidR="00BB2C3E" w:rsidRPr="0058089D">
        <w:rPr>
          <w:rFonts w:asciiTheme="minorHAnsi" w:hAnsiTheme="minorHAnsi" w:cstheme="minorHAnsi"/>
          <w:sz w:val="22"/>
          <w:szCs w:val="22"/>
        </w:rPr>
        <w:t>30 dias</w:t>
      </w:r>
      <w:r w:rsidRPr="0058089D">
        <w:rPr>
          <w:rFonts w:asciiTheme="minorHAnsi" w:hAnsiTheme="minorHAnsi" w:cstheme="minorHAnsi"/>
          <w:sz w:val="22"/>
          <w:szCs w:val="22"/>
        </w:rPr>
        <w:t>.</w:t>
      </w:r>
    </w:p>
    <w:p w14:paraId="1D7704D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bookmarkStart w:id="2" w:name="_Hlk114499841"/>
      <w:bookmarkEnd w:id="2"/>
      <w:r w:rsidRPr="0058089D">
        <w:rPr>
          <w:rFonts w:asciiTheme="minorHAnsi" w:hAnsiTheme="minorHAnsi" w:cstheme="minorHAnsi"/>
          <w:color w:val="auto"/>
          <w:sz w:val="22"/>
          <w:szCs w:val="22"/>
        </w:rPr>
        <w:t>Notificar os emitentes das garantias quanto ao início de processo administrativo para apuração de descumprimento de cláusulas contratuais.</w:t>
      </w:r>
    </w:p>
    <w:p w14:paraId="7A01E77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Comunicar o Contratado na hipótese de posterior alteração do projeto pelo Contratante, no caso </w:t>
      </w:r>
      <w:hyperlink r:id="rId15" w:anchor="art93§2" w:history="1">
        <w:r w:rsidRPr="0058089D">
          <w:rPr>
            <w:rStyle w:val="Hyperlink"/>
            <w:rFonts w:asciiTheme="minorHAnsi" w:hAnsiTheme="minorHAnsi" w:cstheme="minorHAnsi"/>
            <w:color w:val="auto"/>
            <w:sz w:val="22"/>
            <w:szCs w:val="22"/>
          </w:rPr>
          <w:t>do art. 93, §2º, da Lei nº 14.133, de 2021</w:t>
        </w:r>
      </w:hyperlink>
      <w:r w:rsidRPr="0058089D">
        <w:rPr>
          <w:rFonts w:asciiTheme="minorHAnsi" w:hAnsiTheme="minorHAnsi" w:cstheme="minorHAnsi"/>
          <w:sz w:val="22"/>
          <w:szCs w:val="22"/>
        </w:rPr>
        <w:t>.</w:t>
      </w:r>
    </w:p>
    <w:p w14:paraId="361AFE3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496EF86"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NONA - OBRIGAÇÕES DO CONTRATADO (</w:t>
      </w:r>
      <w:hyperlink r:id="rId16" w:anchor="art92" w:history="1">
        <w:r w:rsidRPr="0058089D">
          <w:rPr>
            <w:rStyle w:val="Hyperlink"/>
            <w:rFonts w:asciiTheme="minorHAnsi" w:hAnsiTheme="minorHAnsi" w:cstheme="minorHAnsi"/>
            <w:color w:val="auto"/>
            <w:sz w:val="22"/>
            <w:szCs w:val="22"/>
          </w:rPr>
          <w:t>art. 92, XIV, XVI e XVII</w:t>
        </w:r>
      </w:hyperlink>
      <w:r w:rsidRPr="0058089D">
        <w:rPr>
          <w:rFonts w:asciiTheme="minorHAnsi" w:hAnsiTheme="minorHAnsi" w:cstheme="minorHAnsi"/>
          <w:sz w:val="22"/>
          <w:szCs w:val="22"/>
        </w:rPr>
        <w:t>)</w:t>
      </w:r>
    </w:p>
    <w:p w14:paraId="6D6FD15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BE61B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Manter preposto aceito pela Administração no local da obra ou do serviço para representá-lo na execução do contrato.</w:t>
      </w:r>
    </w:p>
    <w:p w14:paraId="23B6F64E"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lastRenderedPageBreak/>
        <w:t>A indicação ou a manutenção do preposto da empresa poderá ser recusada pelo órgão ou entidade, desde que devidamente justificada, devendo a empresa designar outro para o exercício da atividade.</w:t>
      </w:r>
    </w:p>
    <w:p w14:paraId="3D13E5E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Atender às determinações regulares emitidas pelo fiscal do contrato ou autoridade superior (</w:t>
      </w:r>
      <w:hyperlink r:id="rId17" w:anchor="art137" w:history="1">
        <w:r w:rsidRPr="0058089D">
          <w:rPr>
            <w:rStyle w:val="Hyperlink"/>
            <w:rFonts w:asciiTheme="minorHAnsi" w:hAnsiTheme="minorHAnsi" w:cstheme="minorHAnsi"/>
            <w:color w:val="auto"/>
            <w:sz w:val="22"/>
            <w:szCs w:val="22"/>
          </w:rPr>
          <w:t>art. 137, II</w:t>
        </w:r>
      </w:hyperlink>
      <w:r w:rsidRPr="0058089D">
        <w:rPr>
          <w:rFonts w:asciiTheme="minorHAnsi" w:hAnsiTheme="minorHAnsi" w:cstheme="minorHAnsi"/>
          <w:sz w:val="22"/>
          <w:szCs w:val="22"/>
        </w:rPr>
        <w:t>);</w:t>
      </w:r>
    </w:p>
    <w:p w14:paraId="3F689BE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2B31A87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2B19866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Responsabilizar-se pelos vícios e danos decorrentes da execução do objeto, de acordo com o </w:t>
      </w:r>
      <w:hyperlink r:id="rId18" w:history="1">
        <w:r w:rsidRPr="0058089D">
          <w:rPr>
            <w:rStyle w:val="Hyperlink"/>
            <w:rFonts w:asciiTheme="minorHAnsi" w:hAnsiTheme="minorHAnsi" w:cstheme="minorHAnsi"/>
            <w:color w:val="auto"/>
            <w:sz w:val="22"/>
            <w:szCs w:val="22"/>
          </w:rPr>
          <w:t>Código de Defesa do Consumidor (Lei nº 8.078, de 1990</w:t>
        </w:r>
      </w:hyperlink>
      <w:r w:rsidRPr="0058089D">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0D45B95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do fiscal ou gestor do contrato, nos termos do </w:t>
      </w:r>
      <w:hyperlink r:id="rId19" w:anchor="art48" w:history="1">
        <w:r w:rsidRPr="0058089D">
          <w:rPr>
            <w:rStyle w:val="Hyperlink"/>
            <w:rFonts w:asciiTheme="minorHAnsi" w:hAnsiTheme="minorHAnsi" w:cstheme="minorHAnsi"/>
            <w:color w:val="auto"/>
            <w:sz w:val="22"/>
            <w:szCs w:val="22"/>
          </w:rPr>
          <w:t>artigo 48, parágrafo único, da Lei nº 14.133, de 2021</w:t>
        </w:r>
      </w:hyperlink>
      <w:r w:rsidRPr="0058089D">
        <w:rPr>
          <w:rFonts w:asciiTheme="minorHAnsi" w:hAnsiTheme="minorHAnsi" w:cstheme="minorHAnsi"/>
          <w:sz w:val="22"/>
          <w:szCs w:val="22"/>
        </w:rPr>
        <w:t>;</w:t>
      </w:r>
    </w:p>
    <w:p w14:paraId="46E51B7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5E5BC00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0E1D86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Comunicar ao Fiscal do contrato, no prazo de 24 (vinte e quatro) horas, qualquer ocorrência anormal ou acidente que se verifique no local dos serviços.</w:t>
      </w:r>
    </w:p>
    <w:p w14:paraId="7337D2C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Prestar todo esclarecimento ou informação solicitada pelo Contratante ou por seus prepostos, garantindo-lhes o acesso, a qualquer tempo, ao local dos trabalhos, bem como aos documentos relativos à execução do empreendimento.</w:t>
      </w:r>
    </w:p>
    <w:p w14:paraId="3F9E746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3CE3D9A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0C218D6D"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7E3B331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4023BE7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364DBAC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14:paraId="5F04752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b/>
          <w:bCs/>
          <w:sz w:val="22"/>
          <w:szCs w:val="22"/>
        </w:rPr>
      </w:pPr>
      <w:r w:rsidRPr="0058089D">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20" w:anchor="art116" w:history="1">
        <w:r w:rsidRPr="0058089D">
          <w:rPr>
            <w:rStyle w:val="Hyperlink"/>
            <w:rFonts w:asciiTheme="minorHAnsi" w:hAnsiTheme="minorHAnsi" w:cstheme="minorHAnsi"/>
            <w:color w:val="auto"/>
            <w:sz w:val="22"/>
            <w:szCs w:val="22"/>
          </w:rPr>
          <w:t>art. 116</w:t>
        </w:r>
      </w:hyperlink>
      <w:r w:rsidRPr="0058089D">
        <w:rPr>
          <w:rFonts w:asciiTheme="minorHAnsi" w:hAnsiTheme="minorHAnsi" w:cstheme="minorHAnsi"/>
          <w:sz w:val="22"/>
          <w:szCs w:val="22"/>
        </w:rPr>
        <w:t>);</w:t>
      </w:r>
    </w:p>
    <w:p w14:paraId="490F773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21" w:anchor="art116" w:history="1">
        <w:r w:rsidRPr="0058089D">
          <w:rPr>
            <w:rStyle w:val="Hyperlink"/>
            <w:rFonts w:asciiTheme="minorHAnsi" w:hAnsiTheme="minorHAnsi" w:cstheme="minorHAnsi"/>
            <w:color w:val="auto"/>
            <w:sz w:val="22"/>
            <w:szCs w:val="22"/>
          </w:rPr>
          <w:t>art. 116, parágrafo único</w:t>
        </w:r>
      </w:hyperlink>
      <w:r w:rsidRPr="0058089D">
        <w:rPr>
          <w:rFonts w:asciiTheme="minorHAnsi" w:hAnsiTheme="minorHAnsi" w:cstheme="minorHAnsi"/>
          <w:sz w:val="22"/>
          <w:szCs w:val="22"/>
        </w:rPr>
        <w:t>);</w:t>
      </w:r>
    </w:p>
    <w:p w14:paraId="715C6FB6"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Guardar sigilo sobre todas as informações obtidas em decorrência do cumprimento do contrato;</w:t>
      </w:r>
    </w:p>
    <w:p w14:paraId="02367BF4"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2" w:anchor="art124" w:history="1">
        <w:r w:rsidRPr="0058089D">
          <w:rPr>
            <w:rStyle w:val="Hyperlink"/>
            <w:rFonts w:asciiTheme="minorHAnsi" w:hAnsiTheme="minorHAnsi" w:cstheme="minorHAnsi"/>
            <w:color w:val="auto"/>
            <w:sz w:val="22"/>
            <w:szCs w:val="22"/>
          </w:rPr>
          <w:t>art. 124, II, d, da Lei nº 14.133, de 2021</w:t>
        </w:r>
      </w:hyperlink>
      <w:r w:rsidRPr="0058089D">
        <w:rPr>
          <w:rFonts w:asciiTheme="minorHAnsi" w:hAnsiTheme="minorHAnsi" w:cstheme="minorHAnsi"/>
          <w:sz w:val="22"/>
          <w:szCs w:val="22"/>
        </w:rPr>
        <w:t>;</w:t>
      </w:r>
    </w:p>
    <w:p w14:paraId="7F3DE33A"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Cumprir, além dos postulados legais vigentes de âmbito federal, estadual ou municipal, as normas de segurança do Contratante;</w:t>
      </w:r>
    </w:p>
    <w:p w14:paraId="31522315"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lastRenderedPageBreak/>
        <w:t>CLÁUSULA DÉCIMA- OBRIGAÇÕES PERTINENTES À LGPD</w:t>
      </w:r>
    </w:p>
    <w:p w14:paraId="3718AC5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As partes deverão cumprir a </w:t>
      </w:r>
      <w:hyperlink r:id="rId23" w:history="1">
        <w:r w:rsidRPr="0058089D">
          <w:rPr>
            <w:rStyle w:val="Hyperlink"/>
            <w:rFonts w:asciiTheme="minorHAnsi" w:eastAsia="MS Gothic" w:hAnsiTheme="minorHAnsi" w:cstheme="minorHAnsi"/>
            <w:color w:val="auto"/>
            <w:sz w:val="22"/>
            <w:szCs w:val="22"/>
          </w:rPr>
          <w:t>Lei nº 13.709, de 14 de agosto de 2018 (LGPD)</w:t>
        </w:r>
      </w:hyperlink>
      <w:r w:rsidRPr="0058089D">
        <w:rPr>
          <w:rFonts w:asciiTheme="minorHAnsi" w:hAnsiTheme="minorHAnsi" w:cstheme="minorHAnsi"/>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898DCB9"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Os dados obtidos somente poderão ser utilizados para as finalidades que justificaram seu acesso e de acordo com a boa-fé e com os princípios do </w:t>
      </w:r>
      <w:hyperlink r:id="rId24" w:anchor="art6" w:history="1">
        <w:r w:rsidRPr="0058089D">
          <w:rPr>
            <w:rStyle w:val="Hyperlink"/>
            <w:rFonts w:asciiTheme="minorHAnsi" w:eastAsia="MS Gothic" w:hAnsiTheme="minorHAnsi" w:cstheme="minorHAnsi"/>
            <w:color w:val="auto"/>
            <w:sz w:val="22"/>
            <w:szCs w:val="22"/>
          </w:rPr>
          <w:t>art. 6º da LGPD</w:t>
        </w:r>
      </w:hyperlink>
      <w:r w:rsidRPr="0058089D">
        <w:rPr>
          <w:rFonts w:asciiTheme="minorHAnsi" w:hAnsiTheme="minorHAnsi" w:cstheme="minorHAnsi"/>
          <w:color w:val="auto"/>
          <w:sz w:val="22"/>
          <w:szCs w:val="22"/>
        </w:rPr>
        <w:t xml:space="preserve">. </w:t>
      </w:r>
    </w:p>
    <w:p w14:paraId="2B5891DB"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É vedado o compartilhamento com terceiros dos dados obtidos fora das hipóteses permitidas em Lei.</w:t>
      </w:r>
    </w:p>
    <w:p w14:paraId="7FE0409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A Administração deverá ser informada no prazo de 5 (cinco) dias úteis sobre todos os contratos de suboperação firmados ou que venham a ser celebrados pelo Contratado. </w:t>
      </w:r>
    </w:p>
    <w:p w14:paraId="5919FBD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Terminado o tratamento dos dados nos termos do </w:t>
      </w:r>
      <w:hyperlink r:id="rId25" w:anchor="art15" w:history="1">
        <w:r w:rsidRPr="0058089D">
          <w:rPr>
            <w:rStyle w:val="Hyperlink"/>
            <w:rFonts w:asciiTheme="minorHAnsi" w:eastAsia="MS Gothic" w:hAnsiTheme="minorHAnsi" w:cstheme="minorHAnsi"/>
            <w:color w:val="auto"/>
            <w:sz w:val="22"/>
            <w:szCs w:val="22"/>
          </w:rPr>
          <w:t>art. 15 da LGPD</w:t>
        </w:r>
      </w:hyperlink>
      <w:r w:rsidRPr="0058089D">
        <w:rPr>
          <w:rFonts w:asciiTheme="minorHAnsi" w:hAnsiTheme="minorHAnsi" w:cstheme="minorHAnsi"/>
          <w:color w:val="auto"/>
          <w:sz w:val="22"/>
          <w:szCs w:val="22"/>
        </w:rPr>
        <w:t xml:space="preserve">, é dever do contratado eliminá-los, com exceção das hipóteses do </w:t>
      </w:r>
      <w:hyperlink r:id="rId26" w:anchor="art16" w:history="1">
        <w:r w:rsidRPr="0058089D">
          <w:rPr>
            <w:rStyle w:val="Hyperlink"/>
            <w:rFonts w:asciiTheme="minorHAnsi" w:eastAsia="MS Gothic" w:hAnsiTheme="minorHAnsi" w:cstheme="minorHAnsi"/>
            <w:color w:val="auto"/>
            <w:sz w:val="22"/>
            <w:szCs w:val="22"/>
          </w:rPr>
          <w:t>art. 16 da LGPD</w:t>
        </w:r>
      </w:hyperlink>
      <w:r w:rsidRPr="0058089D">
        <w:rPr>
          <w:rFonts w:asciiTheme="minorHAnsi" w:hAnsiTheme="minorHAnsi" w:cstheme="minorHAnsi"/>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54DFB9BA"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É dever do contratado orientar e treinar seus empregados sobre os deveres, requisitos e responsabilidades decorrentes da LGPD. </w:t>
      </w:r>
    </w:p>
    <w:p w14:paraId="25E5051D"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O Contratado deverá exigir de suboperadores e subcontratados o cumprimento dos deveres da presente cláusula, permanecendo integralmente responsável por garantir sua observância.</w:t>
      </w:r>
    </w:p>
    <w:p w14:paraId="5E01FCA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 Contratante poderá realizar diligência para aferir o cumprimento dessa cláusula, devendo o Contratado atender prontamente eventuais pedidos de comprovação formulados. </w:t>
      </w:r>
    </w:p>
    <w:p w14:paraId="0D459731"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41C5D917"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27" w:history="1">
        <w:r w:rsidRPr="0058089D">
          <w:rPr>
            <w:rStyle w:val="Hyperlink"/>
            <w:rFonts w:asciiTheme="minorHAnsi" w:eastAsia="MS Gothic" w:hAnsiTheme="minorHAnsi" w:cstheme="minorHAnsi"/>
            <w:color w:val="auto"/>
            <w:sz w:val="22"/>
            <w:szCs w:val="22"/>
          </w:rPr>
          <w:t>LGPD, art. 37</w:t>
        </w:r>
      </w:hyperlink>
      <w:r w:rsidRPr="0058089D">
        <w:rPr>
          <w:rFonts w:asciiTheme="minorHAnsi" w:hAnsiTheme="minorHAnsi" w:cstheme="minorHAnsi"/>
          <w:color w:val="auto"/>
          <w:sz w:val="22"/>
          <w:szCs w:val="22"/>
        </w:rPr>
        <w:t>), com cada acesso, data, horário e registro da finalidade, para efeito de responsabilização, em caso de eventuais omissões, desvios ou abusos.</w:t>
      </w:r>
    </w:p>
    <w:p w14:paraId="5E261A3A" w14:textId="77777777" w:rsidR="00B8510A" w:rsidRPr="0058089D" w:rsidRDefault="00B8510A" w:rsidP="00CC2F53">
      <w:pPr>
        <w:pStyle w:val="Nvel3-R"/>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Os referidos bancos de dados devem ser desenvolvidos em formato interoperável, a fim de garantir a reutilização desses dados pela Administração nas hipóteses previstas na LGPD.</w:t>
      </w:r>
    </w:p>
    <w:p w14:paraId="76C8F8DC"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lastRenderedPageBreak/>
        <w:t>O contrato está sujeito a ser alterado nos procedimentos pertinentes ao tratamento de dados pessoais, quando indicado pela autoridade competente, em especial a ANPD por meio de opiniões técnicas ou recomendações, editadas na forma da LGPD.</w:t>
      </w:r>
    </w:p>
    <w:p w14:paraId="17000F4E" w14:textId="77777777" w:rsidR="00B8510A" w:rsidRPr="0058089D" w:rsidRDefault="00B8510A" w:rsidP="00CC2F53">
      <w:pPr>
        <w:pStyle w:val="Nvel2-Red"/>
        <w:numPr>
          <w:ilvl w:val="1"/>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Os contratos e convênios de que trata o </w:t>
      </w:r>
      <w:hyperlink r:id="rId28" w:anchor="art26§1" w:history="1">
        <w:r w:rsidRPr="0058089D">
          <w:rPr>
            <w:rStyle w:val="Hyperlink"/>
            <w:rFonts w:asciiTheme="minorHAnsi" w:eastAsia="MS Gothic" w:hAnsiTheme="minorHAnsi" w:cstheme="minorHAnsi"/>
            <w:color w:val="auto"/>
            <w:sz w:val="22"/>
            <w:szCs w:val="22"/>
          </w:rPr>
          <w:t>§ 1º do art. 26 da LGPD</w:t>
        </w:r>
      </w:hyperlink>
      <w:r w:rsidRPr="0058089D">
        <w:rPr>
          <w:rFonts w:asciiTheme="minorHAnsi" w:hAnsiTheme="minorHAnsi" w:cstheme="minorHAnsi"/>
          <w:color w:val="auto"/>
          <w:sz w:val="22"/>
          <w:szCs w:val="22"/>
        </w:rPr>
        <w:t xml:space="preserve"> deverão ser comunicados à autoridade nacional.</w:t>
      </w:r>
    </w:p>
    <w:p w14:paraId="7857CEB7"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PRIMEIRA – GARANTIA DE EXECUÇÃO (</w:t>
      </w:r>
      <w:hyperlink r:id="rId29" w:anchor="art92" w:history="1">
        <w:r w:rsidRPr="0058089D">
          <w:rPr>
            <w:rStyle w:val="Hyperlink"/>
            <w:rFonts w:asciiTheme="minorHAnsi" w:hAnsiTheme="minorHAnsi" w:cstheme="minorHAnsi"/>
            <w:color w:val="auto"/>
            <w:sz w:val="22"/>
            <w:szCs w:val="22"/>
          </w:rPr>
          <w:t>art. 92, XII e XIII</w:t>
        </w:r>
      </w:hyperlink>
      <w:r w:rsidRPr="0058089D">
        <w:rPr>
          <w:rFonts w:asciiTheme="minorHAnsi" w:hAnsiTheme="minorHAnsi" w:cstheme="minorHAnsi"/>
          <w:sz w:val="22"/>
          <w:szCs w:val="22"/>
        </w:rPr>
        <w:t>)</w:t>
      </w:r>
    </w:p>
    <w:p w14:paraId="2FA38745" w14:textId="77777777" w:rsidR="003434AB" w:rsidRPr="003434AB" w:rsidRDefault="003434AB" w:rsidP="003434AB">
      <w:pPr>
        <w:pStyle w:val="Nivel010"/>
        <w:numPr>
          <w:ilvl w:val="1"/>
          <w:numId w:val="17"/>
        </w:numPr>
        <w:spacing w:before="120" w:afterLines="120" w:after="288" w:line="312" w:lineRule="auto"/>
        <w:ind w:left="567"/>
        <w:rPr>
          <w:rFonts w:asciiTheme="minorHAnsi" w:hAnsiTheme="minorHAnsi" w:cstheme="minorHAnsi"/>
          <w:b w:val="0"/>
          <w:bCs w:val="0"/>
          <w:sz w:val="22"/>
          <w:szCs w:val="22"/>
        </w:rPr>
      </w:pPr>
      <w:r w:rsidRPr="003434AB">
        <w:rPr>
          <w:rFonts w:asciiTheme="minorHAnsi" w:hAnsiTheme="minorHAnsi" w:cstheme="minorHAnsi"/>
          <w:b w:val="0"/>
          <w:bCs w:val="0"/>
          <w:color w:val="000000"/>
          <w:sz w:val="22"/>
          <w:szCs w:val="22"/>
        </w:rPr>
        <w:t>Não haverá exigência de garantia contratual da execução.</w:t>
      </w:r>
    </w:p>
    <w:p w14:paraId="33CD38E1" w14:textId="39BA001F"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SEGUNDA – INFRAÇÕES E SANÇÕES ADMINISTRATIVAS (</w:t>
      </w:r>
      <w:hyperlink r:id="rId30" w:anchor="art92" w:history="1">
        <w:r w:rsidRPr="0058089D">
          <w:rPr>
            <w:rStyle w:val="Hyperlink"/>
            <w:rFonts w:asciiTheme="minorHAnsi" w:hAnsiTheme="minorHAnsi" w:cstheme="minorHAnsi"/>
            <w:color w:val="auto"/>
            <w:sz w:val="22"/>
            <w:szCs w:val="22"/>
          </w:rPr>
          <w:t>art. 92, XIV</w:t>
        </w:r>
      </w:hyperlink>
      <w:r w:rsidRPr="0058089D">
        <w:rPr>
          <w:rFonts w:asciiTheme="minorHAnsi" w:hAnsiTheme="minorHAnsi" w:cstheme="minorHAnsi"/>
          <w:sz w:val="22"/>
          <w:szCs w:val="22"/>
        </w:rPr>
        <w:t>)</w:t>
      </w:r>
    </w:p>
    <w:p w14:paraId="630BEBD3"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Comete infração administrativa, nos termos da </w:t>
      </w:r>
      <w:hyperlink r:id="rId31"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o contratado que:</w:t>
      </w:r>
    </w:p>
    <w:p w14:paraId="5B62E08E"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parcial do contrato;</w:t>
      </w:r>
    </w:p>
    <w:p w14:paraId="7B4D9ECB"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BD1D192"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der causa à inexecução total do contrato;</w:t>
      </w:r>
    </w:p>
    <w:p w14:paraId="6B61C9BE"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ensejar o retardamento da execução ou da entrega do objeto da contratação sem motivo justificado;</w:t>
      </w:r>
    </w:p>
    <w:p w14:paraId="21857A08"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apresentar documentação falsa ou prestar declaração falsa durante a execução do contrato;</w:t>
      </w:r>
    </w:p>
    <w:p w14:paraId="18A75010"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praticar ato fraudulento na execução do contrato;</w:t>
      </w:r>
    </w:p>
    <w:p w14:paraId="65B73068"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comportar-se de modo inidôneo ou cometer fraude de qualquer natureza;</w:t>
      </w:r>
    </w:p>
    <w:p w14:paraId="3FC8E145" w14:textId="77777777" w:rsidR="00B8510A" w:rsidRPr="0058089D" w:rsidRDefault="00B8510A" w:rsidP="00CC2F53">
      <w:pPr>
        <w:numPr>
          <w:ilvl w:val="2"/>
          <w:numId w:val="21"/>
        </w:numPr>
        <w:spacing w:before="120" w:afterLines="120" w:after="288"/>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praticar ato lesivo previsto no art. 5º da Lei nº 12.846, de 1º de agosto de 2013.</w:t>
      </w:r>
    </w:p>
    <w:p w14:paraId="1876E597"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t>Serão aplicadas ao contratado que incorrer nas infrações acima descritas as seguintes sanções:</w:t>
      </w:r>
    </w:p>
    <w:p w14:paraId="24529D4F" w14:textId="77777777" w:rsidR="00B8510A" w:rsidRPr="0058089D" w:rsidRDefault="00B8510A" w:rsidP="00CC2F53">
      <w:pPr>
        <w:numPr>
          <w:ilvl w:val="2"/>
          <w:numId w:val="22"/>
        </w:numPr>
        <w:spacing w:afterLines="120" w:after="288"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Advertência</w:t>
      </w:r>
      <w:r w:rsidRPr="0058089D">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32" w:anchor="art156§2" w:history="1">
        <w:r w:rsidRPr="0058089D">
          <w:rPr>
            <w:rStyle w:val="Hyperlink"/>
            <w:rFonts w:asciiTheme="minorHAnsi" w:eastAsia="Arial" w:hAnsiTheme="minorHAnsi" w:cstheme="minorHAnsi"/>
            <w:color w:val="auto"/>
            <w:sz w:val="22"/>
            <w:szCs w:val="22"/>
          </w:rPr>
          <w:t xml:space="preserve">art. 156, §2º, da </w:t>
        </w:r>
        <w:bookmarkStart w:id="3" w:name="_Hlk114504069"/>
        <w:r w:rsidRPr="0058089D">
          <w:rPr>
            <w:rStyle w:val="Hyperlink"/>
            <w:rFonts w:asciiTheme="minorHAnsi" w:eastAsia="Arial" w:hAnsiTheme="minorHAnsi" w:cstheme="minorHAnsi"/>
            <w:color w:val="auto"/>
            <w:sz w:val="22"/>
            <w:szCs w:val="22"/>
          </w:rPr>
          <w:t>Lei nº 14.133, de 2021</w:t>
        </w:r>
        <w:bookmarkEnd w:id="3"/>
      </w:hyperlink>
      <w:r w:rsidRPr="0058089D">
        <w:rPr>
          <w:rFonts w:asciiTheme="minorHAnsi" w:eastAsia="Arial" w:hAnsiTheme="minorHAnsi" w:cstheme="minorHAnsi"/>
          <w:sz w:val="22"/>
          <w:szCs w:val="22"/>
        </w:rPr>
        <w:t>);</w:t>
      </w:r>
    </w:p>
    <w:p w14:paraId="1069B62B"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Impedimento de licitar e contratar</w:t>
      </w:r>
      <w:r w:rsidRPr="0058089D">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33" w:anchor="art156§4" w:history="1">
        <w:r w:rsidRPr="0058089D">
          <w:rPr>
            <w:rStyle w:val="Hyperlink"/>
            <w:rFonts w:asciiTheme="minorHAnsi" w:eastAsia="Arial" w:hAnsiTheme="minorHAnsi" w:cstheme="minorHAnsi"/>
            <w:color w:val="auto"/>
            <w:sz w:val="22"/>
            <w:szCs w:val="22"/>
          </w:rPr>
          <w:t>art. 156, § 4º, da Lei nº 14.133, de 2021</w:t>
        </w:r>
      </w:hyperlink>
      <w:r w:rsidRPr="0058089D">
        <w:rPr>
          <w:rFonts w:asciiTheme="minorHAnsi" w:eastAsia="Arial" w:hAnsiTheme="minorHAnsi" w:cstheme="minorHAnsi"/>
          <w:sz w:val="22"/>
          <w:szCs w:val="22"/>
        </w:rPr>
        <w:t>);</w:t>
      </w:r>
    </w:p>
    <w:p w14:paraId="427E5AA0"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Declaração de inidoneidade para licitar e contratar</w:t>
      </w:r>
      <w:r w:rsidRPr="0058089D">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34" w:anchor="art156§5" w:history="1">
        <w:r w:rsidRPr="0058089D">
          <w:rPr>
            <w:rStyle w:val="Hyperlink"/>
            <w:rFonts w:asciiTheme="minorHAnsi" w:eastAsia="Arial" w:hAnsiTheme="minorHAnsi" w:cstheme="minorHAnsi"/>
            <w:color w:val="auto"/>
            <w:sz w:val="22"/>
            <w:szCs w:val="22"/>
          </w:rPr>
          <w:t>art. 156, §5º, da Lei nº 14.133, de 2021</w:t>
        </w:r>
      </w:hyperlink>
      <w:r w:rsidRPr="0058089D">
        <w:rPr>
          <w:rFonts w:asciiTheme="minorHAnsi" w:eastAsia="Arial" w:hAnsiTheme="minorHAnsi" w:cstheme="minorHAnsi"/>
          <w:sz w:val="22"/>
          <w:szCs w:val="22"/>
        </w:rPr>
        <w:t>).</w:t>
      </w:r>
    </w:p>
    <w:p w14:paraId="04677F26" w14:textId="77777777" w:rsidR="00B8510A" w:rsidRPr="0058089D" w:rsidRDefault="00B8510A" w:rsidP="00CC2F53">
      <w:pPr>
        <w:numPr>
          <w:ilvl w:val="2"/>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b/>
          <w:bCs/>
          <w:sz w:val="22"/>
          <w:szCs w:val="22"/>
        </w:rPr>
        <w:t>Multa:</w:t>
      </w:r>
    </w:p>
    <w:p w14:paraId="1185922D" w14:textId="6ECA3396" w:rsidR="00B8510A" w:rsidRPr="0058089D" w:rsidRDefault="00B8510A" w:rsidP="00CC2F53">
      <w:pPr>
        <w:numPr>
          <w:ilvl w:val="3"/>
          <w:numId w:val="22"/>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lastRenderedPageBreak/>
        <w:t xml:space="preserve">moratória de </w:t>
      </w:r>
      <w:r w:rsidR="00BB2C3E" w:rsidRPr="0058089D">
        <w:rPr>
          <w:rFonts w:asciiTheme="minorHAnsi" w:eastAsia="Arial" w:hAnsiTheme="minorHAnsi" w:cstheme="minorHAnsi"/>
          <w:sz w:val="22"/>
          <w:szCs w:val="22"/>
        </w:rPr>
        <w:t>0,5</w:t>
      </w:r>
      <w:r w:rsidRPr="0058089D">
        <w:rPr>
          <w:rFonts w:asciiTheme="minorHAnsi" w:eastAsia="Arial" w:hAnsiTheme="minorHAnsi" w:cstheme="minorHAnsi"/>
          <w:sz w:val="22"/>
          <w:szCs w:val="22"/>
        </w:rPr>
        <w:t>% (</w:t>
      </w:r>
      <w:r w:rsidR="00BB2C3E" w:rsidRPr="0058089D">
        <w:rPr>
          <w:rFonts w:asciiTheme="minorHAnsi" w:eastAsia="Arial" w:hAnsiTheme="minorHAnsi" w:cstheme="minorHAnsi"/>
          <w:sz w:val="22"/>
          <w:szCs w:val="22"/>
        </w:rPr>
        <w:t>meio</w:t>
      </w:r>
      <w:r w:rsidRPr="0058089D">
        <w:rPr>
          <w:rFonts w:asciiTheme="minorHAnsi" w:eastAsia="Arial" w:hAnsiTheme="minorHAnsi" w:cstheme="minorHAnsi"/>
          <w:sz w:val="22"/>
          <w:szCs w:val="22"/>
        </w:rPr>
        <w:t xml:space="preserve"> por cento) por dia de atraso injustificado sobre o valor da parcela inadimplida, até o limite de </w:t>
      </w:r>
      <w:r w:rsidR="00BB2C3E" w:rsidRPr="0058089D">
        <w:rPr>
          <w:rFonts w:asciiTheme="minorHAnsi" w:eastAsia="Arial" w:hAnsiTheme="minorHAnsi" w:cstheme="minorHAnsi"/>
          <w:sz w:val="22"/>
          <w:szCs w:val="22"/>
        </w:rPr>
        <w:t>30</w:t>
      </w:r>
      <w:r w:rsidRPr="0058089D">
        <w:rPr>
          <w:rFonts w:asciiTheme="minorHAnsi" w:eastAsia="Arial" w:hAnsiTheme="minorHAnsi" w:cstheme="minorHAnsi"/>
          <w:sz w:val="22"/>
          <w:szCs w:val="22"/>
        </w:rPr>
        <w:t xml:space="preserve"> (</w:t>
      </w:r>
      <w:r w:rsidR="00BB2C3E" w:rsidRPr="0058089D">
        <w:rPr>
          <w:rFonts w:asciiTheme="minorHAnsi" w:eastAsia="Arial" w:hAnsiTheme="minorHAnsi" w:cstheme="minorHAnsi"/>
          <w:sz w:val="22"/>
          <w:szCs w:val="22"/>
        </w:rPr>
        <w:t>trinta</w:t>
      </w:r>
      <w:r w:rsidRPr="0058089D">
        <w:rPr>
          <w:rFonts w:asciiTheme="minorHAnsi" w:eastAsia="Arial" w:hAnsiTheme="minorHAnsi" w:cstheme="minorHAnsi"/>
          <w:sz w:val="22"/>
          <w:szCs w:val="22"/>
        </w:rPr>
        <w:t>) dias;</w:t>
      </w:r>
    </w:p>
    <w:p w14:paraId="1F504EFA" w14:textId="59F032CD" w:rsidR="00B8510A" w:rsidRPr="0058089D" w:rsidRDefault="00B8510A" w:rsidP="00CC2F53">
      <w:pPr>
        <w:numPr>
          <w:ilvl w:val="7"/>
          <w:numId w:val="22"/>
        </w:numPr>
        <w:spacing w:line="312" w:lineRule="auto"/>
        <w:ind w:left="567" w:hanging="567"/>
        <w:contextualSpacing/>
        <w:jc w:val="both"/>
        <w:rPr>
          <w:rFonts w:asciiTheme="minorHAnsi" w:eastAsia="Arial" w:hAnsiTheme="minorHAnsi" w:cstheme="minorHAnsi"/>
          <w:i/>
          <w:iCs/>
          <w:sz w:val="22"/>
          <w:szCs w:val="22"/>
        </w:rPr>
      </w:pPr>
      <w:r w:rsidRPr="0058089D">
        <w:rPr>
          <w:rFonts w:asciiTheme="minorHAnsi" w:eastAsia="Arial" w:hAnsiTheme="minorHAnsi" w:cstheme="minorHAnsi"/>
          <w:i/>
          <w:iCs/>
          <w:sz w:val="22"/>
          <w:szCs w:val="22"/>
        </w:rPr>
        <w:t xml:space="preserve">O atraso superior a </w:t>
      </w:r>
      <w:r w:rsidR="00BB2C3E" w:rsidRPr="0058089D">
        <w:rPr>
          <w:rFonts w:asciiTheme="minorHAnsi" w:eastAsia="Arial" w:hAnsiTheme="minorHAnsi" w:cstheme="minorHAnsi"/>
          <w:i/>
          <w:iCs/>
          <w:sz w:val="22"/>
          <w:szCs w:val="22"/>
        </w:rPr>
        <w:t>40</w:t>
      </w:r>
      <w:r w:rsidRPr="0058089D">
        <w:rPr>
          <w:rFonts w:asciiTheme="minorHAnsi" w:eastAsia="Arial" w:hAnsiTheme="minorHAnsi" w:cstheme="minorHAnsi"/>
          <w:i/>
          <w:iCs/>
          <w:sz w:val="22"/>
          <w:szCs w:val="22"/>
        </w:rPr>
        <w:t xml:space="preserve"> dias autoriza a Administração a promover a extinção do contrato por descumprimento ou cumprimento irregular de suas cláusulas, conforme dispõe o </w:t>
      </w:r>
      <w:hyperlink r:id="rId35" w:anchor="art137" w:history="1">
        <w:r w:rsidRPr="0058089D">
          <w:rPr>
            <w:rStyle w:val="Hyperlink"/>
            <w:rFonts w:asciiTheme="minorHAnsi" w:eastAsia="Arial" w:hAnsiTheme="minorHAnsi" w:cstheme="minorHAnsi"/>
            <w:i/>
            <w:iCs/>
            <w:color w:val="auto"/>
            <w:sz w:val="22"/>
            <w:szCs w:val="22"/>
          </w:rPr>
          <w:t>inciso I do art. 137 da Lei n. 14.133, de 2021</w:t>
        </w:r>
      </w:hyperlink>
      <w:r w:rsidRPr="0058089D">
        <w:rPr>
          <w:rFonts w:asciiTheme="minorHAnsi" w:eastAsia="Arial" w:hAnsiTheme="minorHAnsi" w:cstheme="minorHAnsi"/>
          <w:i/>
          <w:iCs/>
          <w:sz w:val="22"/>
          <w:szCs w:val="22"/>
        </w:rPr>
        <w:t xml:space="preserve">. </w:t>
      </w:r>
    </w:p>
    <w:p w14:paraId="66F27FC5" w14:textId="2EA7CCC0" w:rsidR="00B8510A" w:rsidRPr="0058089D" w:rsidRDefault="00B8510A" w:rsidP="00CC2F53">
      <w:pPr>
        <w:numPr>
          <w:ilvl w:val="3"/>
          <w:numId w:val="22"/>
        </w:numPr>
        <w:spacing w:before="120"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compensatória de </w:t>
      </w:r>
      <w:r w:rsidR="00BB2C3E" w:rsidRPr="0058089D">
        <w:rPr>
          <w:rFonts w:asciiTheme="minorHAnsi" w:eastAsia="Arial" w:hAnsiTheme="minorHAnsi" w:cstheme="minorHAnsi"/>
          <w:sz w:val="22"/>
          <w:szCs w:val="22"/>
        </w:rPr>
        <w:t>10</w:t>
      </w:r>
      <w:r w:rsidRPr="0058089D">
        <w:rPr>
          <w:rFonts w:asciiTheme="minorHAnsi" w:eastAsia="Arial" w:hAnsiTheme="minorHAnsi" w:cstheme="minorHAnsi"/>
          <w:sz w:val="22"/>
          <w:szCs w:val="22"/>
        </w:rPr>
        <w:t>% (</w:t>
      </w:r>
      <w:r w:rsidR="00BB2C3E" w:rsidRPr="0058089D">
        <w:rPr>
          <w:rFonts w:asciiTheme="minorHAnsi" w:eastAsia="Arial" w:hAnsiTheme="minorHAnsi" w:cstheme="minorHAnsi"/>
          <w:sz w:val="22"/>
          <w:szCs w:val="22"/>
        </w:rPr>
        <w:t>dez</w:t>
      </w:r>
      <w:r w:rsidRPr="0058089D">
        <w:rPr>
          <w:rFonts w:asciiTheme="minorHAnsi" w:eastAsia="Arial" w:hAnsiTheme="minorHAnsi" w:cstheme="minorHAnsi"/>
          <w:sz w:val="22"/>
          <w:szCs w:val="22"/>
        </w:rPr>
        <w:t xml:space="preserve"> por cento) sobre o valor total do contrato, no caso de inexecução total do objeto;</w:t>
      </w:r>
    </w:p>
    <w:p w14:paraId="001C9631"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36" w:anchor="art156§9" w:history="1">
        <w:r w:rsidRPr="0058089D">
          <w:rPr>
            <w:rStyle w:val="Hyperlink"/>
            <w:rFonts w:asciiTheme="minorHAnsi" w:hAnsiTheme="minorHAnsi" w:cstheme="minorHAnsi"/>
            <w:color w:val="auto"/>
            <w:sz w:val="22"/>
            <w:szCs w:val="22"/>
          </w:rPr>
          <w:t>art. 156, §9º, da Lei nº 14.133, de 2021</w:t>
        </w:r>
      </w:hyperlink>
      <w:r w:rsidRPr="0058089D">
        <w:rPr>
          <w:rFonts w:asciiTheme="minorHAnsi" w:hAnsiTheme="minorHAnsi" w:cstheme="minorHAnsi"/>
          <w:sz w:val="22"/>
          <w:szCs w:val="22"/>
        </w:rPr>
        <w:t>)</w:t>
      </w:r>
    </w:p>
    <w:p w14:paraId="63BA7F4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Todas as sanções previstas neste Contrato poderão ser aplicadas cumulativamente com a multa (</w:t>
      </w:r>
      <w:hyperlink r:id="rId37" w:anchor="art156§7" w:history="1">
        <w:r w:rsidRPr="0058089D">
          <w:rPr>
            <w:rStyle w:val="Hyperlink"/>
            <w:rFonts w:asciiTheme="minorHAnsi" w:hAnsiTheme="minorHAnsi" w:cstheme="minorHAnsi"/>
            <w:color w:val="auto"/>
            <w:sz w:val="22"/>
            <w:szCs w:val="22"/>
          </w:rPr>
          <w:t>art. 156, §7º, da Lei nº 14.133, de 2021</w:t>
        </w:r>
      </w:hyperlink>
      <w:r w:rsidRPr="0058089D">
        <w:rPr>
          <w:rFonts w:asciiTheme="minorHAnsi" w:hAnsiTheme="minorHAnsi" w:cstheme="minorHAnsi"/>
          <w:sz w:val="22"/>
          <w:szCs w:val="22"/>
        </w:rPr>
        <w:t>).</w:t>
      </w:r>
    </w:p>
    <w:p w14:paraId="04B2EBAC"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Antes da aplicação da multa será facultada a defesa do interessado no prazo de 15 (quinze) dias úteis, contado da data de sua intimação (</w:t>
      </w:r>
      <w:hyperlink r:id="rId38" w:anchor="art157" w:history="1">
        <w:r w:rsidRPr="0058089D">
          <w:rPr>
            <w:rStyle w:val="Hyperlink"/>
            <w:rFonts w:asciiTheme="minorHAnsi" w:hAnsiTheme="minorHAnsi" w:cstheme="minorHAnsi"/>
            <w:color w:val="auto"/>
            <w:sz w:val="22"/>
            <w:szCs w:val="22"/>
          </w:rPr>
          <w:t>art. 157, da Lei nº 14.133, de 2021</w:t>
        </w:r>
      </w:hyperlink>
      <w:r w:rsidRPr="0058089D">
        <w:rPr>
          <w:rFonts w:asciiTheme="minorHAnsi" w:hAnsiTheme="minorHAnsi" w:cstheme="minorHAnsi"/>
          <w:color w:val="auto"/>
          <w:sz w:val="22"/>
          <w:szCs w:val="22"/>
        </w:rPr>
        <w:t>)</w:t>
      </w:r>
    </w:p>
    <w:p w14:paraId="5F07CB8C" w14:textId="77777777"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9" w:anchor="art156§8" w:history="1">
        <w:r w:rsidRPr="0058089D">
          <w:rPr>
            <w:rStyle w:val="Hyperlink"/>
            <w:rFonts w:asciiTheme="minorHAnsi" w:hAnsiTheme="minorHAnsi" w:cstheme="minorHAnsi"/>
            <w:color w:val="auto"/>
            <w:sz w:val="22"/>
            <w:szCs w:val="22"/>
          </w:rPr>
          <w:t>art. 156, §8º, da Lei nº 14.133, de 2021</w:t>
        </w:r>
      </w:hyperlink>
      <w:r w:rsidRPr="0058089D">
        <w:rPr>
          <w:rFonts w:asciiTheme="minorHAnsi" w:hAnsiTheme="minorHAnsi" w:cstheme="minorHAnsi"/>
          <w:color w:val="auto"/>
          <w:sz w:val="22"/>
          <w:szCs w:val="22"/>
        </w:rPr>
        <w:t>).</w:t>
      </w:r>
    </w:p>
    <w:p w14:paraId="49189E30" w14:textId="4A56F133" w:rsidR="00B8510A" w:rsidRPr="0058089D" w:rsidRDefault="00B8510A" w:rsidP="00CC2F53">
      <w:pPr>
        <w:pStyle w:val="Nivel3"/>
        <w:numPr>
          <w:ilvl w:val="2"/>
          <w:numId w:val="17"/>
        </w:numPr>
        <w:spacing w:afterLines="120" w:after="288" w:line="312" w:lineRule="auto"/>
        <w:ind w:left="567" w:hanging="567"/>
        <w:rPr>
          <w:rFonts w:asciiTheme="minorHAnsi" w:hAnsiTheme="minorHAnsi" w:cstheme="minorHAnsi"/>
          <w:color w:val="auto"/>
          <w:sz w:val="22"/>
          <w:szCs w:val="22"/>
        </w:rPr>
      </w:pPr>
      <w:r w:rsidRPr="0058089D">
        <w:rPr>
          <w:rFonts w:asciiTheme="minorHAnsi" w:hAnsiTheme="minorHAnsi" w:cstheme="minorHAnsi"/>
          <w:color w:val="auto"/>
          <w:sz w:val="22"/>
          <w:szCs w:val="22"/>
        </w:rPr>
        <w:t xml:space="preserve">Previamente ao encaminhamento à cobrança judicial, a multa poderá ser recolhida administrativamente no prazo máximo de </w:t>
      </w:r>
      <w:r w:rsidR="00BB2C3E" w:rsidRPr="0058089D">
        <w:rPr>
          <w:rFonts w:asciiTheme="minorHAnsi" w:hAnsiTheme="minorHAnsi" w:cstheme="minorHAnsi"/>
          <w:i/>
          <w:iCs/>
          <w:color w:val="auto"/>
          <w:sz w:val="22"/>
          <w:szCs w:val="22"/>
        </w:rPr>
        <w:t>5</w:t>
      </w:r>
      <w:r w:rsidRPr="0058089D">
        <w:rPr>
          <w:rFonts w:asciiTheme="minorHAnsi" w:hAnsiTheme="minorHAnsi" w:cstheme="minorHAnsi"/>
          <w:i/>
          <w:iCs/>
          <w:color w:val="auto"/>
          <w:sz w:val="22"/>
          <w:szCs w:val="22"/>
        </w:rPr>
        <w:t xml:space="preserve"> (</w:t>
      </w:r>
      <w:r w:rsidR="00BB2C3E" w:rsidRPr="0058089D">
        <w:rPr>
          <w:rFonts w:asciiTheme="minorHAnsi" w:hAnsiTheme="minorHAnsi" w:cstheme="minorHAnsi"/>
          <w:i/>
          <w:iCs/>
          <w:color w:val="auto"/>
          <w:sz w:val="22"/>
          <w:szCs w:val="22"/>
        </w:rPr>
        <w:t>cinco</w:t>
      </w:r>
      <w:r w:rsidRPr="0058089D">
        <w:rPr>
          <w:rFonts w:asciiTheme="minorHAnsi" w:hAnsiTheme="minorHAnsi" w:cstheme="minorHAnsi"/>
          <w:i/>
          <w:iCs/>
          <w:color w:val="auto"/>
          <w:sz w:val="22"/>
          <w:szCs w:val="22"/>
        </w:rPr>
        <w:t xml:space="preserve">) </w:t>
      </w:r>
      <w:r w:rsidRPr="0058089D">
        <w:rPr>
          <w:rFonts w:asciiTheme="minorHAnsi" w:hAnsiTheme="minorHAnsi" w:cstheme="minorHAnsi"/>
          <w:color w:val="auto"/>
          <w:sz w:val="22"/>
          <w:szCs w:val="22"/>
        </w:rPr>
        <w:t>dias, a contar da data do recebimento da comunicação enviada pela autoridade competente.</w:t>
      </w:r>
      <w:bookmarkStart w:id="4" w:name="_Hlk78351618"/>
      <w:bookmarkEnd w:id="4"/>
    </w:p>
    <w:p w14:paraId="50797998"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58089D">
        <w:rPr>
          <w:rFonts w:asciiTheme="minorHAnsi" w:hAnsiTheme="minorHAnsi" w:cstheme="minorHAnsi"/>
          <w:b/>
          <w:bCs/>
          <w:sz w:val="22"/>
          <w:szCs w:val="22"/>
        </w:rPr>
        <w:t xml:space="preserve">caput </w:t>
      </w:r>
      <w:r w:rsidRPr="0058089D">
        <w:rPr>
          <w:rFonts w:asciiTheme="minorHAnsi" w:hAnsiTheme="minorHAnsi" w:cstheme="minorHAnsi"/>
          <w:sz w:val="22"/>
          <w:szCs w:val="22"/>
        </w:rPr>
        <w:t xml:space="preserve">e parágrafos do </w:t>
      </w:r>
      <w:hyperlink r:id="rId40" w:anchor="art158" w:history="1">
        <w:r w:rsidRPr="0058089D">
          <w:rPr>
            <w:rStyle w:val="Hyperlink"/>
            <w:rFonts w:asciiTheme="minorHAnsi" w:hAnsiTheme="minorHAnsi" w:cstheme="minorHAnsi"/>
            <w:color w:val="auto"/>
            <w:sz w:val="22"/>
            <w:szCs w:val="22"/>
          </w:rPr>
          <w:t>art. 158 da Lei nº 14.133, de 2021</w:t>
        </w:r>
      </w:hyperlink>
      <w:r w:rsidRPr="0058089D">
        <w:rPr>
          <w:rFonts w:asciiTheme="minorHAnsi" w:hAnsiTheme="minorHAnsi" w:cstheme="minorHAnsi"/>
          <w:sz w:val="22"/>
          <w:szCs w:val="22"/>
        </w:rPr>
        <w:t>, para as penalidades de impedimento de licitar e contratar e de declaração de inidoneidade para licitar ou contratar.</w:t>
      </w:r>
    </w:p>
    <w:p w14:paraId="5F3A941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Na aplicação das sanções serão considerados (</w:t>
      </w:r>
      <w:hyperlink r:id="rId41" w:anchor="art156§1" w:history="1">
        <w:r w:rsidRPr="0058089D">
          <w:rPr>
            <w:rStyle w:val="Hyperlink"/>
            <w:rFonts w:asciiTheme="minorHAnsi" w:hAnsiTheme="minorHAnsi" w:cstheme="minorHAnsi"/>
            <w:color w:val="auto"/>
            <w:sz w:val="22"/>
            <w:szCs w:val="22"/>
          </w:rPr>
          <w:t>art. 156, §1º, da Lei nº 14.133, de 2021</w:t>
        </w:r>
      </w:hyperlink>
      <w:r w:rsidRPr="0058089D">
        <w:rPr>
          <w:rFonts w:asciiTheme="minorHAnsi" w:hAnsiTheme="minorHAnsi" w:cstheme="minorHAnsi"/>
          <w:sz w:val="22"/>
          <w:szCs w:val="22"/>
        </w:rPr>
        <w:t>):</w:t>
      </w:r>
    </w:p>
    <w:p w14:paraId="6550D27B" w14:textId="77777777" w:rsidR="00B8510A" w:rsidRPr="0058089D" w:rsidRDefault="00B8510A" w:rsidP="00CC2F53">
      <w:pPr>
        <w:numPr>
          <w:ilvl w:val="0"/>
          <w:numId w:val="23"/>
        </w:numPr>
        <w:spacing w:afterLines="120" w:after="288"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 natureza e a gravidade da infração cometida;</w:t>
      </w:r>
    </w:p>
    <w:p w14:paraId="68A7B07E"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as peculiaridades do caso concreto;</w:t>
      </w:r>
    </w:p>
    <w:p w14:paraId="042ABCA0"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as circunstâncias agravantes ou atenuantes;</w:t>
      </w:r>
    </w:p>
    <w:p w14:paraId="7692FA59" w14:textId="77777777" w:rsidR="00B8510A" w:rsidRPr="0058089D" w:rsidRDefault="00B8510A" w:rsidP="00CC2F53">
      <w:pPr>
        <w:numPr>
          <w:ilvl w:val="0"/>
          <w:numId w:val="23"/>
        </w:numPr>
        <w:spacing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os danos que dela provierem para o Contratante;</w:t>
      </w:r>
    </w:p>
    <w:p w14:paraId="7F9B1952" w14:textId="77777777" w:rsidR="00B8510A" w:rsidRPr="0058089D" w:rsidRDefault="00B8510A" w:rsidP="00CC2F53">
      <w:pPr>
        <w:numPr>
          <w:ilvl w:val="0"/>
          <w:numId w:val="23"/>
        </w:numPr>
        <w:spacing w:before="120" w:line="312" w:lineRule="auto"/>
        <w:ind w:left="567" w:hanging="567"/>
        <w:contextualSpacing/>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a implantação ou o aperfeiçoamento de programa de integridade, conforme normas e orientações dos órgãos de controle.</w:t>
      </w:r>
    </w:p>
    <w:p w14:paraId="7C275BB1" w14:textId="77777777" w:rsidR="00B8510A" w:rsidRPr="0058089D" w:rsidRDefault="00B8510A" w:rsidP="00CC2F53">
      <w:pPr>
        <w:pStyle w:val="Nivel2"/>
        <w:numPr>
          <w:ilvl w:val="1"/>
          <w:numId w:val="17"/>
        </w:numPr>
        <w:spacing w:afterLines="120" w:after="288" w:line="312" w:lineRule="auto"/>
        <w:ind w:left="567" w:hanging="567"/>
        <w:rPr>
          <w:rFonts w:asciiTheme="minorHAnsi" w:eastAsiaTheme="minorEastAsia" w:hAnsiTheme="minorHAnsi" w:cstheme="minorHAnsi"/>
          <w:sz w:val="22"/>
          <w:szCs w:val="22"/>
        </w:rPr>
      </w:pPr>
      <w:r w:rsidRPr="0058089D">
        <w:rPr>
          <w:rFonts w:asciiTheme="minorHAnsi" w:hAnsiTheme="minorHAnsi" w:cstheme="minorHAnsi"/>
          <w:sz w:val="22"/>
          <w:szCs w:val="22"/>
        </w:rPr>
        <w:t xml:space="preserve">Os atos previstos como infrações administrativas na </w:t>
      </w:r>
      <w:hyperlink r:id="rId42"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xml:space="preserve">, ou em outras leis de licitações e contratos da Administração Pública que também sejam tipificados como atos lesivos </w:t>
      </w:r>
      <w:hyperlink r:id="rId43" w:history="1">
        <w:r w:rsidRPr="0058089D">
          <w:rPr>
            <w:rStyle w:val="Hyperlink"/>
            <w:rFonts w:asciiTheme="minorHAnsi" w:hAnsiTheme="minorHAnsi" w:cstheme="minorHAnsi"/>
            <w:color w:val="auto"/>
            <w:sz w:val="22"/>
            <w:szCs w:val="22"/>
          </w:rPr>
          <w:t xml:space="preserve">na Lei </w:t>
        </w:r>
        <w:r w:rsidRPr="0058089D">
          <w:rPr>
            <w:rStyle w:val="Hyperlink"/>
            <w:rFonts w:asciiTheme="minorHAnsi" w:hAnsiTheme="minorHAnsi" w:cstheme="minorHAnsi"/>
            <w:color w:val="auto"/>
            <w:sz w:val="22"/>
            <w:szCs w:val="22"/>
          </w:rPr>
          <w:lastRenderedPageBreak/>
          <w:t>nº 12.846, de 2013</w:t>
        </w:r>
      </w:hyperlink>
      <w:r w:rsidRPr="0058089D">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44" w:anchor="art159" w:history="1">
        <w:r w:rsidRPr="0058089D">
          <w:rPr>
            <w:rStyle w:val="Hyperlink"/>
            <w:rFonts w:asciiTheme="minorHAnsi" w:hAnsiTheme="minorHAnsi" w:cstheme="minorHAnsi"/>
            <w:color w:val="auto"/>
            <w:sz w:val="22"/>
            <w:szCs w:val="22"/>
          </w:rPr>
          <w:t>Lei (art. 159</w:t>
        </w:r>
      </w:hyperlink>
      <w:r w:rsidRPr="0058089D">
        <w:rPr>
          <w:rFonts w:asciiTheme="minorHAnsi" w:hAnsiTheme="minorHAnsi" w:cstheme="minorHAnsi"/>
          <w:sz w:val="22"/>
          <w:szCs w:val="22"/>
        </w:rPr>
        <w:t>).</w:t>
      </w:r>
    </w:p>
    <w:p w14:paraId="0CF58DB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5" w:anchor="art160" w:history="1">
        <w:r w:rsidRPr="0058089D">
          <w:rPr>
            <w:rStyle w:val="Hyperlink"/>
            <w:rFonts w:asciiTheme="minorHAnsi" w:hAnsiTheme="minorHAnsi" w:cstheme="minorHAnsi"/>
            <w:color w:val="auto"/>
            <w:sz w:val="22"/>
            <w:szCs w:val="22"/>
          </w:rPr>
          <w:t>art. 160, da Lei nº 14.133, de 2021</w:t>
        </w:r>
      </w:hyperlink>
      <w:r w:rsidRPr="0058089D">
        <w:rPr>
          <w:rFonts w:asciiTheme="minorHAnsi" w:hAnsiTheme="minorHAnsi" w:cstheme="minorHAnsi"/>
          <w:sz w:val="22"/>
          <w:szCs w:val="22"/>
        </w:rPr>
        <w:t>)</w:t>
      </w:r>
    </w:p>
    <w:p w14:paraId="434A550F"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6" w:anchor="art161" w:history="1">
        <w:r w:rsidRPr="0058089D">
          <w:rPr>
            <w:rStyle w:val="Hyperlink"/>
            <w:rFonts w:asciiTheme="minorHAnsi" w:hAnsiTheme="minorHAnsi" w:cstheme="minorHAnsi"/>
            <w:color w:val="auto"/>
            <w:sz w:val="22"/>
            <w:szCs w:val="22"/>
          </w:rPr>
          <w:t>Art. 161, da Lei nº 14.133, de 2021</w:t>
        </w:r>
      </w:hyperlink>
      <w:r w:rsidRPr="0058089D">
        <w:rPr>
          <w:rFonts w:asciiTheme="minorHAnsi" w:hAnsiTheme="minorHAnsi" w:cstheme="minorHAnsi"/>
          <w:sz w:val="22"/>
          <w:szCs w:val="22"/>
        </w:rPr>
        <w:t>)</w:t>
      </w:r>
    </w:p>
    <w:p w14:paraId="15AE0767"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i/>
          <w:iCs/>
          <w:sz w:val="22"/>
          <w:szCs w:val="22"/>
        </w:rPr>
      </w:pPr>
      <w:r w:rsidRPr="0058089D">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47" w:anchor="art163" w:history="1">
        <w:r w:rsidRPr="0058089D">
          <w:rPr>
            <w:rStyle w:val="Hyperlink"/>
            <w:rFonts w:asciiTheme="minorHAnsi" w:hAnsiTheme="minorHAnsi" w:cstheme="minorHAnsi"/>
            <w:color w:val="auto"/>
            <w:sz w:val="22"/>
            <w:szCs w:val="22"/>
          </w:rPr>
          <w:t>art. 163 da Lei nº 14.133/21.</w:t>
        </w:r>
      </w:hyperlink>
    </w:p>
    <w:p w14:paraId="505EC3E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8" w:history="1">
        <w:r w:rsidRPr="0058089D">
          <w:rPr>
            <w:rStyle w:val="Hyperlink"/>
            <w:rFonts w:asciiTheme="minorHAnsi" w:hAnsiTheme="minorHAnsi" w:cstheme="minorHAnsi"/>
            <w:color w:val="auto"/>
            <w:sz w:val="22"/>
            <w:szCs w:val="22"/>
          </w:rPr>
          <w:t>Instrução Normativa SEGES/ME nº 26, de 13 de abril de 2022</w:t>
        </w:r>
      </w:hyperlink>
      <w:r w:rsidRPr="0058089D">
        <w:rPr>
          <w:rFonts w:asciiTheme="minorHAnsi" w:hAnsiTheme="minorHAnsi" w:cstheme="minorHAnsi"/>
          <w:sz w:val="22"/>
          <w:szCs w:val="22"/>
        </w:rPr>
        <w:t xml:space="preserve">. </w:t>
      </w:r>
    </w:p>
    <w:p w14:paraId="54C48AD6"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QUARTA – DOTAÇÃO ORÇAMENTÁRIA (</w:t>
      </w:r>
      <w:hyperlink r:id="rId49" w:anchor="art92" w:history="1">
        <w:r w:rsidRPr="0058089D">
          <w:rPr>
            <w:rStyle w:val="Hyperlink"/>
            <w:rFonts w:asciiTheme="minorHAnsi" w:hAnsiTheme="minorHAnsi" w:cstheme="minorHAnsi"/>
            <w:color w:val="auto"/>
            <w:sz w:val="22"/>
            <w:szCs w:val="22"/>
          </w:rPr>
          <w:t>art. 92, VIII</w:t>
        </w:r>
      </w:hyperlink>
      <w:r w:rsidRPr="0058089D">
        <w:rPr>
          <w:rFonts w:asciiTheme="minorHAnsi" w:hAnsiTheme="minorHAnsi" w:cstheme="minorHAnsi"/>
          <w:sz w:val="22"/>
          <w:szCs w:val="22"/>
        </w:rPr>
        <w:t>)</w:t>
      </w:r>
    </w:p>
    <w:p w14:paraId="130F28C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479C4FDB"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Gestão/Unidade: </w:t>
      </w:r>
    </w:p>
    <w:p w14:paraId="52B05E2C"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Fonte de Recursos:  </w:t>
      </w:r>
    </w:p>
    <w:p w14:paraId="5319A11D"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Programa de Trabalho: </w:t>
      </w:r>
    </w:p>
    <w:p w14:paraId="1946BB4A"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Elemento de Despesa: </w:t>
      </w:r>
    </w:p>
    <w:p w14:paraId="498BD2FC"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 xml:space="preserve">Plano Interno: </w:t>
      </w:r>
    </w:p>
    <w:p w14:paraId="1429E3DE" w14:textId="77777777" w:rsidR="00B8510A" w:rsidRPr="0058089D" w:rsidRDefault="00B8510A" w:rsidP="00CC2F53">
      <w:pPr>
        <w:numPr>
          <w:ilvl w:val="1"/>
          <w:numId w:val="25"/>
        </w:numPr>
        <w:spacing w:before="120" w:afterLines="120" w:after="288" w:line="312" w:lineRule="auto"/>
        <w:ind w:left="567" w:hanging="567"/>
        <w:jc w:val="both"/>
        <w:rPr>
          <w:rFonts w:asciiTheme="minorHAnsi" w:eastAsia="Arial" w:hAnsiTheme="minorHAnsi" w:cstheme="minorHAnsi"/>
          <w:sz w:val="22"/>
          <w:szCs w:val="22"/>
        </w:rPr>
      </w:pPr>
      <w:r w:rsidRPr="0058089D">
        <w:rPr>
          <w:rFonts w:asciiTheme="minorHAnsi" w:eastAsia="Arial" w:hAnsiTheme="minorHAnsi" w:cstheme="minorHAnsi"/>
          <w:sz w:val="22"/>
          <w:szCs w:val="22"/>
        </w:rPr>
        <w:t>Nota de Empenho:</w:t>
      </w:r>
    </w:p>
    <w:p w14:paraId="261778B8" w14:textId="77777777" w:rsidR="00B8510A" w:rsidRPr="0058089D" w:rsidRDefault="00B8510A" w:rsidP="00CC2F53">
      <w:pPr>
        <w:pStyle w:val="Nvel2-Red"/>
        <w:numPr>
          <w:ilvl w:val="1"/>
          <w:numId w:val="17"/>
        </w:numPr>
        <w:spacing w:afterLines="120" w:after="288" w:line="312" w:lineRule="auto"/>
        <w:ind w:left="567" w:hanging="567"/>
        <w:rPr>
          <w:rFonts w:asciiTheme="minorHAnsi" w:eastAsiaTheme="minorEastAsia" w:hAnsiTheme="minorHAnsi" w:cstheme="minorHAnsi"/>
          <w:color w:val="auto"/>
          <w:sz w:val="22"/>
          <w:szCs w:val="22"/>
        </w:rPr>
      </w:pPr>
      <w:r w:rsidRPr="0058089D">
        <w:rPr>
          <w:rFonts w:asciiTheme="minorHAnsi" w:hAnsiTheme="minorHAnsi" w:cstheme="minorHAnsi"/>
          <w:color w:val="auto"/>
          <w:sz w:val="22"/>
          <w:szCs w:val="22"/>
        </w:rPr>
        <w:lastRenderedPageBreak/>
        <w:t>A dotação relativa aos exercícios financeiros subsequentes será indicada após aprovação da Lei Orçamentária respectiva e liberação dos créditos correspondentes, mediante apostilamento.</w:t>
      </w:r>
    </w:p>
    <w:p w14:paraId="6D7EDFBE"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QUINTA – DOS CASOS OMISSOS (</w:t>
      </w:r>
      <w:hyperlink r:id="rId50" w:anchor="art92" w:history="1">
        <w:r w:rsidRPr="0058089D">
          <w:rPr>
            <w:rStyle w:val="Hyperlink"/>
            <w:rFonts w:asciiTheme="minorHAnsi" w:hAnsiTheme="minorHAnsi" w:cstheme="minorHAnsi"/>
            <w:color w:val="auto"/>
            <w:sz w:val="22"/>
            <w:szCs w:val="22"/>
          </w:rPr>
          <w:t>art. 92, III</w:t>
        </w:r>
      </w:hyperlink>
      <w:r w:rsidRPr="0058089D">
        <w:rPr>
          <w:rFonts w:asciiTheme="minorHAnsi" w:hAnsiTheme="minorHAnsi" w:cstheme="minorHAnsi"/>
          <w:sz w:val="22"/>
          <w:szCs w:val="22"/>
        </w:rPr>
        <w:t>)</w:t>
      </w:r>
    </w:p>
    <w:p w14:paraId="375A5F01"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Os casos omissos serão decididos pelo contratante, segundo as disposições contidas na </w:t>
      </w:r>
      <w:hyperlink r:id="rId51" w:history="1">
        <w:r w:rsidRPr="0058089D">
          <w:rPr>
            <w:rStyle w:val="Hyperlink"/>
            <w:rFonts w:asciiTheme="minorHAnsi" w:hAnsiTheme="minorHAnsi" w:cstheme="minorHAnsi"/>
            <w:color w:val="auto"/>
            <w:sz w:val="22"/>
            <w:szCs w:val="22"/>
          </w:rPr>
          <w:t>Lei nº 14.133, de 2021</w:t>
        </w:r>
      </w:hyperlink>
      <w:r w:rsidRPr="0058089D">
        <w:rPr>
          <w:rFonts w:asciiTheme="minorHAnsi" w:hAnsiTheme="minorHAnsi" w:cstheme="minorHAnsi"/>
          <w:sz w:val="22"/>
          <w:szCs w:val="22"/>
        </w:rPr>
        <w:t xml:space="preserve">, e demais normas federais aplicáveis e, subsidiariamente, segundo as disposições contidas na </w:t>
      </w:r>
      <w:hyperlink r:id="rId52" w:history="1">
        <w:r w:rsidRPr="0058089D">
          <w:rPr>
            <w:rStyle w:val="Hyperlink"/>
            <w:rFonts w:asciiTheme="minorHAnsi" w:hAnsiTheme="minorHAnsi" w:cstheme="minorHAnsi"/>
            <w:color w:val="auto"/>
            <w:sz w:val="22"/>
            <w:szCs w:val="22"/>
          </w:rPr>
          <w:t>Lei nº 8.078, de 1990 – Código de Defesa do Consumidor</w:t>
        </w:r>
      </w:hyperlink>
      <w:r w:rsidRPr="0058089D">
        <w:rPr>
          <w:rFonts w:asciiTheme="minorHAnsi" w:hAnsiTheme="minorHAnsi" w:cstheme="minorHAnsi"/>
          <w:sz w:val="22"/>
          <w:szCs w:val="22"/>
        </w:rPr>
        <w:t xml:space="preserve"> – e normas e princípios gerais dos contratos.</w:t>
      </w:r>
    </w:p>
    <w:p w14:paraId="20FB8142"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SEXTA – ALTERAÇÕES</w:t>
      </w:r>
    </w:p>
    <w:p w14:paraId="6B9A76E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Eventuais alterações contratuais reger-se-ão pela disciplina dos </w:t>
      </w:r>
      <w:hyperlink r:id="rId53" w:anchor="art124" w:history="1">
        <w:r w:rsidRPr="0058089D">
          <w:rPr>
            <w:rStyle w:val="Hyperlink"/>
            <w:rFonts w:asciiTheme="minorHAnsi" w:hAnsiTheme="minorHAnsi" w:cstheme="minorHAnsi"/>
            <w:color w:val="auto"/>
            <w:sz w:val="22"/>
            <w:szCs w:val="22"/>
          </w:rPr>
          <w:t>arts. 124 e seguintes da Lei nº 14.133, de 2021</w:t>
        </w:r>
      </w:hyperlink>
      <w:r w:rsidRPr="0058089D">
        <w:rPr>
          <w:rFonts w:asciiTheme="minorHAnsi" w:hAnsiTheme="minorHAnsi" w:cstheme="minorHAnsi"/>
          <w:sz w:val="22"/>
          <w:szCs w:val="22"/>
        </w:rPr>
        <w:t>.</w:t>
      </w:r>
    </w:p>
    <w:p w14:paraId="1FD1338C"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37B3466B"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54" w:anchor="art136" w:history="1">
        <w:r w:rsidRPr="0058089D">
          <w:rPr>
            <w:rStyle w:val="Hyperlink"/>
            <w:rFonts w:asciiTheme="minorHAnsi" w:hAnsiTheme="minorHAnsi" w:cstheme="minorHAnsi"/>
            <w:color w:val="auto"/>
            <w:sz w:val="22"/>
            <w:szCs w:val="22"/>
          </w:rPr>
          <w:t>art. 136 da Lei nº 14.133, de 2021</w:t>
        </w:r>
      </w:hyperlink>
      <w:r w:rsidRPr="0058089D">
        <w:rPr>
          <w:rFonts w:asciiTheme="minorHAnsi" w:hAnsiTheme="minorHAnsi" w:cstheme="minorHAnsi"/>
          <w:sz w:val="22"/>
          <w:szCs w:val="22"/>
        </w:rPr>
        <w:t>.</w:t>
      </w:r>
    </w:p>
    <w:p w14:paraId="73A1586D"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SÉTIMA – PUBLICAÇÃO</w:t>
      </w:r>
    </w:p>
    <w:p w14:paraId="0FCA3A79" w14:textId="77777777"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Incumbirá ao contratante divulgar o presente instrumento no Portal Nacional de Contratações Públicas (PNCP), na forma prevista no </w:t>
      </w:r>
      <w:hyperlink r:id="rId55" w:anchor="art94" w:history="1">
        <w:r w:rsidRPr="0058089D">
          <w:rPr>
            <w:rStyle w:val="Hyperlink"/>
            <w:rFonts w:asciiTheme="minorHAnsi" w:hAnsiTheme="minorHAnsi" w:cstheme="minorHAnsi"/>
            <w:color w:val="auto"/>
            <w:sz w:val="22"/>
            <w:szCs w:val="22"/>
          </w:rPr>
          <w:t>art. 94 da Lei 14.133, de 2021</w:t>
        </w:r>
      </w:hyperlink>
      <w:r w:rsidRPr="0058089D">
        <w:rPr>
          <w:rFonts w:asciiTheme="minorHAnsi" w:hAnsiTheme="minorHAnsi" w:cstheme="minorHAnsi"/>
          <w:sz w:val="22"/>
          <w:szCs w:val="22"/>
        </w:rPr>
        <w:t xml:space="preserve">, bem como no respectivo sítio oficial na Internet, em atenção ao </w:t>
      </w:r>
      <w:hyperlink r:id="rId56" w:anchor="art8§2" w:history="1">
        <w:r w:rsidRPr="0058089D">
          <w:rPr>
            <w:rStyle w:val="Hyperlink"/>
            <w:rFonts w:asciiTheme="minorHAnsi" w:hAnsiTheme="minorHAnsi" w:cstheme="minorHAnsi"/>
            <w:color w:val="auto"/>
            <w:sz w:val="22"/>
            <w:szCs w:val="22"/>
          </w:rPr>
          <w:t>art. 8º, §2º, da Lei n. 12.527, de 2011</w:t>
        </w:r>
      </w:hyperlink>
      <w:r w:rsidRPr="0058089D">
        <w:rPr>
          <w:rFonts w:asciiTheme="minorHAnsi" w:hAnsiTheme="minorHAnsi" w:cstheme="minorHAnsi"/>
          <w:sz w:val="22"/>
          <w:szCs w:val="22"/>
        </w:rPr>
        <w:t xml:space="preserve">, c/c </w:t>
      </w:r>
      <w:hyperlink r:id="rId57" w:anchor="art7§3" w:history="1">
        <w:r w:rsidRPr="0058089D">
          <w:rPr>
            <w:rStyle w:val="Hyperlink"/>
            <w:rFonts w:asciiTheme="minorHAnsi" w:hAnsiTheme="minorHAnsi" w:cstheme="minorHAnsi"/>
            <w:color w:val="auto"/>
            <w:sz w:val="22"/>
            <w:szCs w:val="22"/>
          </w:rPr>
          <w:t>art. 7º, §3º, inciso V, do Decreto n. 7.724, de 2012.</w:t>
        </w:r>
      </w:hyperlink>
      <w:r w:rsidRPr="0058089D">
        <w:rPr>
          <w:rFonts w:asciiTheme="minorHAnsi" w:hAnsiTheme="minorHAnsi" w:cstheme="minorHAnsi"/>
          <w:sz w:val="22"/>
          <w:szCs w:val="22"/>
        </w:rPr>
        <w:t xml:space="preserve"> </w:t>
      </w:r>
    </w:p>
    <w:p w14:paraId="5C31E496" w14:textId="77777777" w:rsidR="00B8510A" w:rsidRPr="0058089D" w:rsidRDefault="00B8510A" w:rsidP="00CC2F53">
      <w:pPr>
        <w:pStyle w:val="Nivel010"/>
        <w:numPr>
          <w:ilvl w:val="0"/>
          <w:numId w:val="17"/>
        </w:numPr>
        <w:spacing w:before="120"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CLÁUSULA DÉCIMA OITAVA– FORO (</w:t>
      </w:r>
      <w:hyperlink r:id="rId58" w:anchor="art92§1" w:history="1">
        <w:r w:rsidRPr="0058089D">
          <w:rPr>
            <w:rStyle w:val="Hyperlink"/>
            <w:rFonts w:asciiTheme="minorHAnsi" w:hAnsiTheme="minorHAnsi" w:cstheme="minorHAnsi"/>
            <w:color w:val="auto"/>
            <w:sz w:val="22"/>
            <w:szCs w:val="22"/>
          </w:rPr>
          <w:t>art. 92, §1º</w:t>
        </w:r>
      </w:hyperlink>
      <w:r w:rsidRPr="0058089D">
        <w:rPr>
          <w:rFonts w:asciiTheme="minorHAnsi" w:hAnsiTheme="minorHAnsi" w:cstheme="minorHAnsi"/>
          <w:sz w:val="22"/>
          <w:szCs w:val="22"/>
        </w:rPr>
        <w:t>)</w:t>
      </w:r>
    </w:p>
    <w:p w14:paraId="011B23EA" w14:textId="73BB2D16" w:rsidR="00B8510A" w:rsidRPr="0058089D" w:rsidRDefault="00B8510A" w:rsidP="00CC2F53">
      <w:pPr>
        <w:pStyle w:val="Nivel2"/>
        <w:numPr>
          <w:ilvl w:val="1"/>
          <w:numId w:val="17"/>
        </w:numPr>
        <w:spacing w:afterLines="120" w:after="288" w:line="312" w:lineRule="auto"/>
        <w:ind w:left="567" w:hanging="567"/>
        <w:rPr>
          <w:rFonts w:asciiTheme="minorHAnsi" w:hAnsiTheme="minorHAnsi" w:cstheme="minorHAnsi"/>
          <w:sz w:val="22"/>
          <w:szCs w:val="22"/>
        </w:rPr>
      </w:pPr>
      <w:r w:rsidRPr="0058089D">
        <w:rPr>
          <w:rFonts w:asciiTheme="minorHAnsi" w:hAnsiTheme="minorHAnsi" w:cstheme="minorHAnsi"/>
          <w:sz w:val="22"/>
          <w:szCs w:val="22"/>
        </w:rPr>
        <w:t xml:space="preserve">Fica eleito o Foro da Justiça Federal em </w:t>
      </w:r>
      <w:r w:rsidR="0058089D" w:rsidRPr="0058089D">
        <w:rPr>
          <w:rFonts w:asciiTheme="minorHAnsi" w:hAnsiTheme="minorHAnsi" w:cstheme="minorHAnsi"/>
          <w:sz w:val="22"/>
          <w:szCs w:val="22"/>
        </w:rPr>
        <w:t>Niterói/RJ</w:t>
      </w:r>
      <w:r w:rsidRPr="0058089D">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59" w:anchor="art92§1" w:history="1">
        <w:r w:rsidRPr="0058089D">
          <w:rPr>
            <w:rStyle w:val="Hyperlink"/>
            <w:rFonts w:asciiTheme="minorHAnsi" w:hAnsiTheme="minorHAnsi" w:cstheme="minorHAnsi"/>
            <w:color w:val="auto"/>
            <w:sz w:val="22"/>
            <w:szCs w:val="22"/>
          </w:rPr>
          <w:t>art. 92, §1º, da Lei nº 14.133/21.</w:t>
        </w:r>
      </w:hyperlink>
    </w:p>
    <w:p w14:paraId="6EBD887F" w14:textId="00D1A8C3" w:rsidR="0058089D" w:rsidRPr="0058089D" w:rsidRDefault="0058089D" w:rsidP="00CC2F53">
      <w:pPr>
        <w:pStyle w:val="Nivel2"/>
        <w:numPr>
          <w:ilvl w:val="0"/>
          <w:numId w:val="0"/>
        </w:numPr>
        <w:spacing w:afterLines="120" w:after="288" w:line="312" w:lineRule="auto"/>
        <w:ind w:hanging="6"/>
        <w:rPr>
          <w:rFonts w:asciiTheme="minorHAnsi" w:hAnsiTheme="minorHAnsi" w:cstheme="minorHAnsi"/>
          <w:sz w:val="22"/>
          <w:szCs w:val="22"/>
        </w:rPr>
      </w:pPr>
      <w:r w:rsidRPr="0058089D">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14:paraId="0D6BC614" w14:textId="532E11F1" w:rsidR="009271C3" w:rsidRPr="0058089D" w:rsidRDefault="009271C3" w:rsidP="00CC2F53">
      <w:pPr>
        <w:spacing w:after="120" w:line="276" w:lineRule="auto"/>
        <w:ind w:left="567" w:right="-15" w:hanging="567"/>
        <w:jc w:val="both"/>
        <w:rPr>
          <w:rFonts w:asciiTheme="minorHAnsi" w:hAnsiTheme="minorHAnsi" w:cstheme="minorHAnsi"/>
          <w:b/>
          <w:bCs/>
          <w:sz w:val="22"/>
          <w:szCs w:val="22"/>
        </w:rPr>
      </w:pPr>
    </w:p>
    <w:sectPr w:rsidR="009271C3" w:rsidRPr="0058089D" w:rsidSect="00135BEF">
      <w:headerReference w:type="default" r:id="rId60"/>
      <w:footerReference w:type="default" r:id="rId61"/>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6500" w14:textId="77777777" w:rsidR="00536AF6" w:rsidRDefault="00536AF6" w:rsidP="00195787">
      <w:r>
        <w:separator/>
      </w:r>
    </w:p>
  </w:endnote>
  <w:endnote w:type="continuationSeparator" w:id="0">
    <w:p w14:paraId="2161D9D2" w14:textId="77777777" w:rsidR="00536AF6" w:rsidRDefault="00536AF6"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02"/>
    <w:family w:val="auto"/>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6B7791ED" w:rsidR="000A58EF" w:rsidRPr="007D1C2C" w:rsidRDefault="003B787E" w:rsidP="00BB598F">
    <w:pPr>
      <w:pStyle w:val="Rodap"/>
      <w:jc w:val="center"/>
      <w:rPr>
        <w:i/>
      </w:rPr>
    </w:pPr>
    <w:r>
      <w:rPr>
        <w:sz w:val="12"/>
        <w:szCs w:val="12"/>
      </w:rPr>
      <w:t>Anexo</w:t>
    </w:r>
    <w:r w:rsidR="000458D9">
      <w:rPr>
        <w:sz w:val="12"/>
        <w:szCs w:val="12"/>
      </w:rPr>
      <w:t xml:space="preserve"> VI – Minuta do Termo de Contrato</w:t>
    </w:r>
    <w:r w:rsidR="000A58EF">
      <w:rPr>
        <w:sz w:val="12"/>
        <w:szCs w:val="12"/>
      </w:rPr>
      <w:tab/>
    </w:r>
    <w:r w:rsidR="000A58EF">
      <w:rPr>
        <w:sz w:val="12"/>
        <w:szCs w:val="12"/>
      </w:rPr>
      <w:tab/>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061F" w14:textId="77777777" w:rsidR="00536AF6" w:rsidRDefault="00536AF6" w:rsidP="00195787">
      <w:r>
        <w:separator/>
      </w:r>
    </w:p>
  </w:footnote>
  <w:footnote w:type="continuationSeparator" w:id="0">
    <w:p w14:paraId="280F954B" w14:textId="77777777" w:rsidR="00536AF6" w:rsidRDefault="00536AF6"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58122748"/>
      <w:docPartObj>
        <w:docPartGallery w:val="Watermarks"/>
        <w:docPartUnique/>
      </w:docPartObj>
    </w:sdtPr>
    <w:sdtContent>
      <w:p w14:paraId="50B272D8" w14:textId="67608595" w:rsidR="000A58EF" w:rsidRDefault="00000000" w:rsidP="006E4496">
        <w:pPr>
          <w:pStyle w:val="Cabealho"/>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1025"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1567F8B"/>
    <w:multiLevelType w:val="hybridMultilevel"/>
    <w:tmpl w:val="811CA650"/>
    <w:lvl w:ilvl="0" w:tplc="91560A88">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2"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D5C100D"/>
    <w:multiLevelType w:val="multilevel"/>
    <w:tmpl w:val="28A21570"/>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8" w15:restartNumberingAfterBreak="0">
    <w:nsid w:val="1EF55A82"/>
    <w:multiLevelType w:val="multilevel"/>
    <w:tmpl w:val="5C349BC4"/>
    <w:lvl w:ilvl="0">
      <w:start w:val="1"/>
      <w:numFmt w:val="bullet"/>
      <w:lvlText w:val=""/>
      <w:lvlJc w:val="left"/>
      <w:pPr>
        <w:ind w:left="360" w:hanging="360"/>
      </w:pPr>
      <w:rPr>
        <w:rFonts w:ascii="Symbol" w:hAnsi="Symbol" w:hint="default"/>
        <w:b/>
      </w:rPr>
    </w:lvl>
    <w:lvl w:ilvl="1">
      <w:start w:val="1"/>
      <w:numFmt w:val="decimal"/>
      <w:lvlText w:val="%1.%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15:restartNumberingAfterBreak="0">
    <w:nsid w:val="2D04230C"/>
    <w:multiLevelType w:val="hybridMultilevel"/>
    <w:tmpl w:val="7DA47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4"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6486F15"/>
    <w:multiLevelType w:val="hybridMultilevel"/>
    <w:tmpl w:val="6358C6F2"/>
    <w:lvl w:ilvl="0" w:tplc="D4787D7C">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A3A5BD8"/>
    <w:multiLevelType w:val="hybridMultilevel"/>
    <w:tmpl w:val="43CE9DC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82767839">
    <w:abstractNumId w:val="33"/>
  </w:num>
  <w:num w:numId="2" w16cid:durableId="1032851531">
    <w:abstractNumId w:val="36"/>
  </w:num>
  <w:num w:numId="3" w16cid:durableId="496651781">
    <w:abstractNumId w:val="37"/>
  </w:num>
  <w:num w:numId="4" w16cid:durableId="149248634">
    <w:abstractNumId w:val="32"/>
  </w:num>
  <w:num w:numId="5" w16cid:durableId="1410008166">
    <w:abstractNumId w:val="27"/>
  </w:num>
  <w:num w:numId="6" w16cid:durableId="1179275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4313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38"/>
  </w:num>
  <w:num w:numId="9" w16cid:durableId="805396840">
    <w:abstractNumId w:val="31"/>
  </w:num>
  <w:num w:numId="10" w16cid:durableId="606891016">
    <w:abstractNumId w:val="39"/>
  </w:num>
  <w:num w:numId="11" w16cid:durableId="892619033">
    <w:abstractNumId w:val="40"/>
  </w:num>
  <w:num w:numId="12" w16cid:durableId="75178389">
    <w:abstractNumId w:val="23"/>
  </w:num>
  <w:num w:numId="13" w16cid:durableId="304942186">
    <w:abstractNumId w:val="29"/>
  </w:num>
  <w:num w:numId="14" w16cid:durableId="669333126">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4268109">
    <w:abstractNumId w:val="22"/>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883990">
    <w:abstractNumId w:val="29"/>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8769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42601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38993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72279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4770825">
    <w:abstractNumId w:val="4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3282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02768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65392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2747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2437645">
    <w:abstractNumId w:val="20"/>
  </w:num>
  <w:num w:numId="27" w16cid:durableId="1238436077">
    <w:abstractNumId w:val="30"/>
  </w:num>
  <w:num w:numId="28" w16cid:durableId="273710424">
    <w:abstractNumId w:val="43"/>
  </w:num>
  <w:num w:numId="29" w16cid:durableId="957267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0AC9"/>
    <w:rsid w:val="00002D2A"/>
    <w:rsid w:val="00003966"/>
    <w:rsid w:val="0001159C"/>
    <w:rsid w:val="00022E4A"/>
    <w:rsid w:val="00025406"/>
    <w:rsid w:val="00040D39"/>
    <w:rsid w:val="000425AB"/>
    <w:rsid w:val="000458D9"/>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162EB"/>
    <w:rsid w:val="00225216"/>
    <w:rsid w:val="00230969"/>
    <w:rsid w:val="00230E72"/>
    <w:rsid w:val="002318EE"/>
    <w:rsid w:val="00242E92"/>
    <w:rsid w:val="002434F3"/>
    <w:rsid w:val="002444B6"/>
    <w:rsid w:val="00252014"/>
    <w:rsid w:val="00252EE9"/>
    <w:rsid w:val="0025380C"/>
    <w:rsid w:val="00254F46"/>
    <w:rsid w:val="00266078"/>
    <w:rsid w:val="00275798"/>
    <w:rsid w:val="0027641D"/>
    <w:rsid w:val="00276929"/>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6B1F"/>
    <w:rsid w:val="00335697"/>
    <w:rsid w:val="003369A6"/>
    <w:rsid w:val="00337554"/>
    <w:rsid w:val="003434AB"/>
    <w:rsid w:val="00345DC9"/>
    <w:rsid w:val="00351C39"/>
    <w:rsid w:val="003570DA"/>
    <w:rsid w:val="003804AE"/>
    <w:rsid w:val="00394D5F"/>
    <w:rsid w:val="003A2662"/>
    <w:rsid w:val="003A4456"/>
    <w:rsid w:val="003A5295"/>
    <w:rsid w:val="003B11E3"/>
    <w:rsid w:val="003B787E"/>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36AF6"/>
    <w:rsid w:val="00546ADF"/>
    <w:rsid w:val="00552B81"/>
    <w:rsid w:val="00553758"/>
    <w:rsid w:val="00561155"/>
    <w:rsid w:val="005807EC"/>
    <w:rsid w:val="0058089D"/>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7772"/>
    <w:rsid w:val="006723C3"/>
    <w:rsid w:val="006757D3"/>
    <w:rsid w:val="0069429E"/>
    <w:rsid w:val="00697869"/>
    <w:rsid w:val="006A50FF"/>
    <w:rsid w:val="006A70EA"/>
    <w:rsid w:val="006C27E6"/>
    <w:rsid w:val="006D546C"/>
    <w:rsid w:val="006E2B79"/>
    <w:rsid w:val="006E3D66"/>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453AE"/>
    <w:rsid w:val="008459A2"/>
    <w:rsid w:val="008540D8"/>
    <w:rsid w:val="008566DD"/>
    <w:rsid w:val="00892576"/>
    <w:rsid w:val="0089665C"/>
    <w:rsid w:val="008C23FF"/>
    <w:rsid w:val="008C54E4"/>
    <w:rsid w:val="008C6744"/>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1691C"/>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51F01"/>
    <w:rsid w:val="00B525B8"/>
    <w:rsid w:val="00B54C7E"/>
    <w:rsid w:val="00B66F19"/>
    <w:rsid w:val="00B67441"/>
    <w:rsid w:val="00B676F3"/>
    <w:rsid w:val="00B72EE9"/>
    <w:rsid w:val="00B76B51"/>
    <w:rsid w:val="00B82EC1"/>
    <w:rsid w:val="00B8510A"/>
    <w:rsid w:val="00B85C8F"/>
    <w:rsid w:val="00B90BA6"/>
    <w:rsid w:val="00B9643D"/>
    <w:rsid w:val="00BB0870"/>
    <w:rsid w:val="00BB1363"/>
    <w:rsid w:val="00BB2C3E"/>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1CA"/>
    <w:rsid w:val="00CA1C08"/>
    <w:rsid w:val="00CB041E"/>
    <w:rsid w:val="00CB5F48"/>
    <w:rsid w:val="00CC2F53"/>
    <w:rsid w:val="00CD2701"/>
    <w:rsid w:val="00CD3A73"/>
    <w:rsid w:val="00CE00C9"/>
    <w:rsid w:val="00CE1A91"/>
    <w:rsid w:val="00CE4C58"/>
    <w:rsid w:val="00CE7B83"/>
    <w:rsid w:val="00D03194"/>
    <w:rsid w:val="00D0795F"/>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A5F"/>
    <w:rsid w:val="00DB6F67"/>
    <w:rsid w:val="00DC6924"/>
    <w:rsid w:val="00DE596B"/>
    <w:rsid w:val="00DF5E89"/>
    <w:rsid w:val="00E03B99"/>
    <w:rsid w:val="00E1163C"/>
    <w:rsid w:val="00E23909"/>
    <w:rsid w:val="00E31561"/>
    <w:rsid w:val="00E44B0C"/>
    <w:rsid w:val="00E52524"/>
    <w:rsid w:val="00E578A6"/>
    <w:rsid w:val="00E67DCF"/>
    <w:rsid w:val="00EA06C5"/>
    <w:rsid w:val="00EB556D"/>
    <w:rsid w:val="00EB6AF5"/>
    <w:rsid w:val="00EB7F69"/>
    <w:rsid w:val="00ED4EB4"/>
    <w:rsid w:val="00ED7983"/>
    <w:rsid w:val="00EF281C"/>
    <w:rsid w:val="00F12161"/>
    <w:rsid w:val="00F12A88"/>
    <w:rsid w:val="00F147BA"/>
    <w:rsid w:val="00F16FA0"/>
    <w:rsid w:val="00F233BA"/>
    <w:rsid w:val="00F30D06"/>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Fontepargpadro"/>
    <w:link w:val="Nivel010"/>
    <w:locked/>
    <w:rsid w:val="00B8510A"/>
    <w:rPr>
      <w:rFonts w:ascii="Arial" w:eastAsiaTheme="majorEastAsia" w:hAnsi="Arial" w:cs="Arial"/>
      <w:b/>
      <w:bCs/>
    </w:rPr>
  </w:style>
  <w:style w:type="paragraph" w:customStyle="1" w:styleId="Nivel010">
    <w:name w:val="Nivel 01"/>
    <w:basedOn w:val="Ttulo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Fontepargpadro"/>
    <w:link w:val="Nivel3"/>
    <w:locked/>
    <w:rsid w:val="00B8510A"/>
    <w:rPr>
      <w:rFonts w:ascii="Ecofont_Spranq_eco_Sans" w:eastAsia="Arial Unicode MS" w:hAnsi="Ecofont_Spranq_eco_Sans" w:cs="Arial"/>
      <w:color w:val="000000"/>
    </w:rPr>
  </w:style>
  <w:style w:type="character" w:customStyle="1" w:styleId="Nivel4Char">
    <w:name w:val="Nivel 4 Char"/>
    <w:basedOn w:val="Fontepargpadro"/>
    <w:link w:val="Nivel4"/>
    <w:locked/>
    <w:rsid w:val="00B8510A"/>
    <w:rPr>
      <w:rFonts w:ascii="Ecofont_Spranq_eco_Sans" w:eastAsia="Arial Unicode MS" w:hAnsi="Ecofont_Spranq_eco_Sans" w:cs="Arial"/>
    </w:rPr>
  </w:style>
  <w:style w:type="character" w:customStyle="1" w:styleId="ouChar">
    <w:name w:val="ou Char"/>
    <w:basedOn w:val="PargrafodaListaChar"/>
    <w:link w:val="ou"/>
    <w:locked/>
    <w:rsid w:val="00B8510A"/>
    <w:rPr>
      <w:rFonts w:ascii="Arial" w:eastAsiaTheme="minorHAnsi" w:hAnsi="Arial" w:cs="Arial"/>
      <w:b/>
      <w:bCs/>
      <w:i/>
      <w:iCs/>
      <w:color w:val="FF0000"/>
      <w:sz w:val="24"/>
      <w:szCs w:val="24"/>
      <w:u w:val="single"/>
    </w:rPr>
  </w:style>
  <w:style w:type="paragraph" w:customStyle="1" w:styleId="ou">
    <w:name w:val="ou"/>
    <w:basedOn w:val="PargrafodaLista"/>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tabs>
        <w:tab w:val="clear" w:pos="360"/>
      </w:tabs>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Fontepargpadro"/>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character" w:customStyle="1" w:styleId="fonte">
    <w:name w:val="fonte"/>
    <w:rsid w:val="00CC2F53"/>
  </w:style>
  <w:style w:type="paragraph" w:customStyle="1" w:styleId="Corpoalfabeto">
    <w:name w:val="Corpo alfabeto"/>
    <w:basedOn w:val="Normal"/>
    <w:rsid w:val="00CC2F53"/>
    <w:pPr>
      <w:spacing w:before="193" w:after="193"/>
    </w:pPr>
    <w:rPr>
      <w:rFonts w:cs="Times New Roman"/>
      <w:sz w:val="24"/>
      <w:szCs w:val="20"/>
    </w:rPr>
  </w:style>
  <w:style w:type="paragraph" w:customStyle="1" w:styleId="textocentralizado">
    <w:name w:val="texto_centralizado"/>
    <w:basedOn w:val="Normal"/>
    <w:rsid w:val="003434AB"/>
    <w:pPr>
      <w:suppressAutoHyphens w:val="0"/>
      <w:spacing w:before="100" w:beforeAutospacing="1" w:after="100" w:afterAutospacing="1"/>
    </w:pPr>
    <w:rPr>
      <w:rFonts w:ascii="Times New Roman" w:hAnsi="Times New Roman" w:cs="Times New Roman"/>
      <w:sz w:val="24"/>
    </w:rPr>
  </w:style>
  <w:style w:type="paragraph" w:customStyle="1" w:styleId="tabelatextoalinhadoesquerda">
    <w:name w:val="tabela_texto_alinhado_esquerda"/>
    <w:basedOn w:val="Normal"/>
    <w:rsid w:val="003434AB"/>
    <w:pPr>
      <w:suppressAutoHyphens w:val="0"/>
      <w:spacing w:before="100" w:beforeAutospacing="1" w:after="100" w:afterAutospacing="1"/>
    </w:pPr>
    <w:rPr>
      <w:rFonts w:ascii="Times New Roman" w:hAnsi="Times New Roman" w:cs="Times New Roman"/>
      <w:sz w:val="24"/>
    </w:rPr>
  </w:style>
  <w:style w:type="paragraph" w:customStyle="1" w:styleId="tabelatextocentralizado">
    <w:name w:val="tabela_texto_centralizado"/>
    <w:basedOn w:val="Normal"/>
    <w:rsid w:val="003434AB"/>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6050837">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45110359">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5319843">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79825000">
      <w:bodyDiv w:val="1"/>
      <w:marLeft w:val="0"/>
      <w:marRight w:val="0"/>
      <w:marTop w:val="0"/>
      <w:marBottom w:val="0"/>
      <w:divBdr>
        <w:top w:val="none" w:sz="0" w:space="0" w:color="auto"/>
        <w:left w:val="none" w:sz="0" w:space="0" w:color="auto"/>
        <w:bottom w:val="none" w:sz="0" w:space="0" w:color="auto"/>
        <w:right w:val="none" w:sz="0" w:space="0" w:color="auto"/>
      </w:divBdr>
    </w:div>
    <w:div w:id="1581408927">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63197975">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22146826">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8078compilado.htm"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1-2014/2012/decreto/d7724.htm" TargetMode="External"/><Relationship Id="rId61" Type="http://schemas.openxmlformats.org/officeDocument/2006/relationships/footer" Target="foot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s://www.gov.br/compras/pt-br/acesso-a-informacao/legislacao/instrucoes-normativas/instrucao-normativa-seges-me-no-26-de-13-de-abril-de-2022" TargetMode="External"/><Relationship Id="rId56" Type="http://schemas.openxmlformats.org/officeDocument/2006/relationships/hyperlink" Target="https://www.planalto.gov.br/ccivil_03/_ato2011-2014/2011/lei/l12527.htm" TargetMode="Externa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5025</Words>
  <Characters>27136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3</cp:revision>
  <cp:lastPrinted>2023-03-05T01:46:00Z</cp:lastPrinted>
  <dcterms:created xsi:type="dcterms:W3CDTF">2023-03-05T01:48:00Z</dcterms:created>
  <dcterms:modified xsi:type="dcterms:W3CDTF">2023-03-10T16:34:00Z</dcterms:modified>
  <dc:language>pt-BR</dc:language>
</cp:coreProperties>
</file>