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0E8782C" w:rsidR="00703EDB" w:rsidRPr="008749A1" w:rsidRDefault="008749A1" w:rsidP="00703EDB">
      <w:pPr>
        <w:pStyle w:val="Corpodetexto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4738F7">
        <w:rPr>
          <w:rFonts w:asciiTheme="minorHAnsi" w:hAnsiTheme="minorHAnsi" w:cstheme="minorHAnsi"/>
          <w:b w:val="0"/>
          <w:color w:val="FF0000"/>
          <w:sz w:val="20"/>
        </w:rPr>
        <w:t>3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864CA7D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4738F7">
        <w:rPr>
          <w:rFonts w:asciiTheme="minorHAnsi" w:hAnsiTheme="minorHAnsi" w:cstheme="minorHAnsi"/>
          <w:b w:val="0"/>
          <w:sz w:val="20"/>
          <w:u w:val="none"/>
        </w:rPr>
        <w:t>3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65FFD61E" w:rsidR="00703EDB" w:rsidRPr="008F3E20" w:rsidRDefault="00703EDB" w:rsidP="008749A1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25619B" w:rsidRPr="0025619B">
        <w:rPr>
          <w:rFonts w:asciiTheme="minorHAnsi" w:hAnsiTheme="minorHAnsi" w:cstheme="minorHAnsi"/>
          <w:b w:val="0"/>
          <w:sz w:val="20"/>
          <w:u w:val="none"/>
        </w:rPr>
        <w:t>22/11/2022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Pregão </w:t>
      </w:r>
      <w:r w:rsidR="008749A1" w:rsidRPr="00AB6C15">
        <w:rPr>
          <w:rFonts w:asciiTheme="minorHAnsi" w:hAnsiTheme="minorHAnsi" w:cstheme="minorHAnsi"/>
          <w:b w:val="0"/>
          <w:sz w:val="20"/>
          <w:u w:val="none"/>
        </w:rPr>
        <w:t xml:space="preserve">nº </w:t>
      </w:r>
      <w:r w:rsidR="00AB6C15" w:rsidRPr="00AB6C15">
        <w:rPr>
          <w:rFonts w:asciiTheme="minorHAnsi" w:hAnsiTheme="minorHAnsi" w:cstheme="minorHAnsi"/>
          <w:b w:val="0"/>
          <w:sz w:val="20"/>
          <w:u w:val="none"/>
        </w:rPr>
        <w:t>12</w:t>
      </w:r>
      <w:r w:rsidR="008749A1" w:rsidRPr="00AB6C15">
        <w:rPr>
          <w:rFonts w:asciiTheme="minorHAnsi" w:hAnsiTheme="minorHAnsi" w:cstheme="minorHAnsi"/>
          <w:b w:val="0"/>
          <w:sz w:val="20"/>
          <w:u w:val="none"/>
        </w:rPr>
        <w:t>/202</w:t>
      </w:r>
      <w:r w:rsidR="004738F7" w:rsidRPr="00AB6C15">
        <w:rPr>
          <w:rFonts w:asciiTheme="minorHAnsi" w:hAnsiTheme="minorHAnsi" w:cstheme="minorHAnsi"/>
          <w:b w:val="0"/>
          <w:sz w:val="20"/>
          <w:u w:val="none"/>
        </w:rPr>
        <w:t>3</w:t>
      </w:r>
      <w:r w:rsidR="008749A1" w:rsidRPr="00AB6C15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mediante as cláusulas e condições a seguir enunciadas.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126FEB17" w:rsidR="008749A1" w:rsidRDefault="00E02D5F" w:rsidP="004738F7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E02D5F">
        <w:rPr>
          <w:rFonts w:ascii="Calibri" w:eastAsia="Arial" w:hAnsi="Calibri" w:cs="Arial"/>
        </w:rPr>
        <w:t>Contratação de empresa especializada na prestação de serviços de manutenção preventiva e/ou corretiva com fornecimento de peças em de BOMBA DE RECALQUE, AUTO ASPIRANTE E/OU MOTORES DE INDUÇÃO d’água e de esgoto das unidades da UFF - Universidade Federal Fluminense situadas no município de Niterói/RJ.</w:t>
      </w:r>
      <w:r w:rsidR="00CC140F" w:rsidRPr="00CC140F">
        <w:rPr>
          <w:rFonts w:ascii="Calibri" w:eastAsia="Arial" w:hAnsi="Calibri" w:cs="Arial"/>
        </w:rPr>
        <w:t>, conforme condições, quantidades, exigências e estimativas, estabelecidas no Termo de Referência.</w:t>
      </w:r>
    </w:p>
    <w:p w14:paraId="2CDA1BF6" w14:textId="1FABC80E" w:rsidR="00E02D5F" w:rsidRDefault="00E02D5F" w:rsidP="00E02D5F">
      <w:pPr>
        <w:pStyle w:val="Recuodecorpodetexto2"/>
        <w:suppressAutoHyphens w:val="0"/>
        <w:spacing w:line="240" w:lineRule="auto"/>
        <w:ind w:left="0"/>
        <w:jc w:val="both"/>
        <w:rPr>
          <w:rFonts w:ascii="Calibri" w:eastAsia="Arial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606"/>
        <w:gridCol w:w="898"/>
        <w:gridCol w:w="1701"/>
        <w:gridCol w:w="1005"/>
        <w:gridCol w:w="1635"/>
        <w:gridCol w:w="1437"/>
        <w:gridCol w:w="1889"/>
      </w:tblGrid>
      <w:tr w:rsidR="00AB6C15" w:rsidRPr="00E02D5F" w14:paraId="4F8D9FD4" w14:textId="77777777" w:rsidTr="00AB6C15">
        <w:trPr>
          <w:trHeight w:val="765"/>
          <w:tblHeader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B8CCE4"/>
          </w:tcPr>
          <w:p w14:paraId="67427219" w14:textId="77777777" w:rsidR="00AB6C15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  <w:p w14:paraId="5B0874FF" w14:textId="3C3824B0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0CF32BBA" w14:textId="032FC796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7E12C59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CATSER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46F51DC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DA4449A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21E8C66D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Unitário por Manutenção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7A110E7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Quantitativo de Manutenções Anuais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B643D39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Total Anual</w:t>
            </w:r>
          </w:p>
        </w:tc>
      </w:tr>
      <w:tr w:rsidR="00AB6C15" w:rsidRPr="00E02D5F" w14:paraId="010C06F6" w14:textId="77777777" w:rsidTr="00AB6C15">
        <w:trPr>
          <w:trHeight w:val="900"/>
        </w:trPr>
        <w:tc>
          <w:tcPr>
            <w:tcW w:w="310" w:type="pct"/>
            <w:vMerge w:val="restart"/>
            <w:tcBorders>
              <w:top w:val="single" w:sz="4" w:space="0" w:color="auto"/>
            </w:tcBorders>
          </w:tcPr>
          <w:p w14:paraId="553ECA64" w14:textId="1AAA9961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60E" w14:textId="6E7D3A9F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400CD8FD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ED3AB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MANUTENÇÃO DE BOMBA DE RECALQUE, AUTO ASPIRANTE E/OU MOTORES DE INDUÇÃO DE 20 CV A 30 CV incluindo os serviços de Desmontagem e Montagem, Transporte, Manutenção mecânica dos equipamentos, dos motores, identificação, pintura e sua manutenção </w:t>
            </w: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elétrica.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F1C83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6C28" w14:textId="6A9A959D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0397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436F27" w14:textId="476A9415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6DAEDD22" w14:textId="77777777" w:rsidTr="00AB6C15">
        <w:trPr>
          <w:trHeight w:val="900"/>
        </w:trPr>
        <w:tc>
          <w:tcPr>
            <w:tcW w:w="310" w:type="pct"/>
            <w:vMerge/>
          </w:tcPr>
          <w:p w14:paraId="15121EE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573AC09" w14:textId="64E73611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9" w:type="pct"/>
            <w:vAlign w:val="center"/>
          </w:tcPr>
          <w:p w14:paraId="019BB69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DB9156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12,5 CV A 15 CV incluindo os serviços de Desmontagem e Montagem, Transporte, Manutenção mecânica dos equipamentos, dos motores, identificação, pintura e sua manutenção elétrica.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075DF2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54FE3028" w14:textId="47E0766F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68A64B2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7645C54C" w14:textId="092C68C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076B0034" w14:textId="77777777" w:rsidTr="00AB6C15">
        <w:trPr>
          <w:trHeight w:val="900"/>
        </w:trPr>
        <w:tc>
          <w:tcPr>
            <w:tcW w:w="310" w:type="pct"/>
            <w:vMerge/>
          </w:tcPr>
          <w:p w14:paraId="65AB26C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8664A2D" w14:textId="7338D0B2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9" w:type="pct"/>
            <w:vAlign w:val="center"/>
          </w:tcPr>
          <w:p w14:paraId="37387EAF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D60CD5A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10 CV incluindo os 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5B2BE0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452FEAB4" w14:textId="7968AF4E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A4BDA06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2AF801D5" w14:textId="401A3142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7605E14C" w14:textId="77777777" w:rsidTr="00AB6C15">
        <w:trPr>
          <w:trHeight w:val="900"/>
        </w:trPr>
        <w:tc>
          <w:tcPr>
            <w:tcW w:w="310" w:type="pct"/>
            <w:vMerge/>
          </w:tcPr>
          <w:p w14:paraId="41B5376F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EF38ABB" w14:textId="71FAE878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59" w:type="pct"/>
            <w:vAlign w:val="center"/>
          </w:tcPr>
          <w:p w14:paraId="501DF87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8D26AA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7,5 CV incluindo os 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B51D4E5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7D611B52" w14:textId="234A6A8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1621998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7B7C98FB" w14:textId="1085D5D3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00550249" w14:textId="77777777" w:rsidTr="00AB6C15">
        <w:trPr>
          <w:trHeight w:val="900"/>
        </w:trPr>
        <w:tc>
          <w:tcPr>
            <w:tcW w:w="310" w:type="pct"/>
            <w:vMerge/>
          </w:tcPr>
          <w:p w14:paraId="3E0BE3D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AA11439" w14:textId="601C7045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59" w:type="pct"/>
            <w:vAlign w:val="center"/>
          </w:tcPr>
          <w:p w14:paraId="7091B309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08E426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MANUTENÇÃO DE BOMBA DE RECALQUE, AUTO ASPIRANTE E/OU MOTORES DE INDUÇÃO 4,0 CV A 5,0 CV incluindo os </w:t>
            </w: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C9727A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1DD88277" w14:textId="78E6197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611D87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45A905EC" w14:textId="2E6C6C5C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7912F7E4" w14:textId="77777777" w:rsidTr="00AB6C15">
        <w:trPr>
          <w:trHeight w:val="900"/>
        </w:trPr>
        <w:tc>
          <w:tcPr>
            <w:tcW w:w="310" w:type="pct"/>
            <w:vMerge/>
          </w:tcPr>
          <w:p w14:paraId="74058CC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8454BF0" w14:textId="693010E8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9" w:type="pct"/>
            <w:vAlign w:val="center"/>
          </w:tcPr>
          <w:p w14:paraId="757F107A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6A7FBD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3,0 CV incluindo os serviços de Desmontagem e Montagem, Transporte, Manutenção mecânica dos equipamentos, dos motores, identificação, pintura e sua manutenção elétrica.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574AFE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388C4FF6" w14:textId="5EBFC09E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9E4688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4A8C07C5" w14:textId="7D4D692D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365B0F40" w14:textId="77777777" w:rsidTr="00AB6C15">
        <w:trPr>
          <w:trHeight w:val="900"/>
        </w:trPr>
        <w:tc>
          <w:tcPr>
            <w:tcW w:w="310" w:type="pct"/>
            <w:vMerge/>
          </w:tcPr>
          <w:p w14:paraId="63051391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7BCD22C" w14:textId="13F6180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59" w:type="pct"/>
            <w:vAlign w:val="center"/>
          </w:tcPr>
          <w:p w14:paraId="51D7D50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01333D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1,0 CV A 2,0 CV incluindo os 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BB9C7C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013302DB" w14:textId="1DC8E640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D0136F2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52A59BE9" w14:textId="3F35E550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44E5C44B" w14:textId="77777777" w:rsidTr="00306175">
        <w:trPr>
          <w:trHeight w:val="900"/>
        </w:trPr>
        <w:tc>
          <w:tcPr>
            <w:tcW w:w="310" w:type="pct"/>
            <w:vMerge/>
          </w:tcPr>
          <w:p w14:paraId="48B02ED1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510" w14:textId="54CC9D02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5FB47658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2CFE8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MANUTENÇÃO DE BOMBA DE RECALQUE, AUTO ASPIRANTE E/OU MOTORES DE INDUÇÃO 1/4 CV A 3/4 CV incluindo os serviços de Desmontagem e Montagem, Transporte, Manutenção mecânica dos equipamentos, dos motores, identificação, pintura e sua manutenção </w:t>
            </w: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elétrica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2CBAB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2B645" w14:textId="11AB1385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681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0C07F" w14:textId="6B18868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6869EBD6" w14:textId="77777777" w:rsidTr="00AB6C15">
        <w:trPr>
          <w:trHeight w:val="252"/>
        </w:trPr>
        <w:tc>
          <w:tcPr>
            <w:tcW w:w="310" w:type="pct"/>
            <w:vMerge/>
            <w:tcBorders>
              <w:bottom w:val="single" w:sz="4" w:space="0" w:color="auto"/>
            </w:tcBorders>
          </w:tcPr>
          <w:p w14:paraId="7EB6CFD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3DA84A56" w14:textId="2A00E0A4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DF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C3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6C114" w14:textId="26EE694D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e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(.....), perfazendo o valor total de R$ ....... (....).</w:t>
      </w:r>
    </w:p>
    <w:p w14:paraId="6CA1C84C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FF98966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</w:t>
      </w:r>
      <w:r w:rsidR="004738F7">
        <w:rPr>
          <w:rFonts w:ascii="Calibri" w:eastAsia="Arial" w:hAnsi="Calibri" w:cs="Arial"/>
        </w:rPr>
        <w:t>3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Elemento de Despesa:  </w:t>
      </w:r>
    </w:p>
    <w:p w14:paraId="00BAD4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lastRenderedPageBreak/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365A271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D378390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A66AFA9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155CB7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262E4A53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F6695A4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B2671D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77B6632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3B997105" w14:textId="7A2AD006" w:rsidR="000022E6" w:rsidRPr="008F3E20" w:rsidRDefault="000022E6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SEGUNDA – VEDAÇÕES</w:t>
      </w:r>
    </w:p>
    <w:p w14:paraId="49B74256" w14:textId="180256B3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119201BA" w14:textId="15C4BA07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permitido à CONTRATADA caucionar ou utilizar este Termo de Contrato para qualquer operação financeira, nos termos e de acordo com os procedimentos previstos na Instrução Normativa SEGES/ME nº 53, de 8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21E3F13E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6BEAD66B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49D8BC4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27E3B9E" w14:textId="2B30A7AE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12.2.1.A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de 18 de maio de 2020.</w:t>
      </w:r>
    </w:p>
    <w:p w14:paraId="02F6CA9A" w14:textId="234E49F1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12.2.2.A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QUARTA – DOS CASOS OMISSOS</w:t>
      </w:r>
    </w:p>
    <w:p w14:paraId="0542FAC5" w14:textId="77777777" w:rsidR="000022E6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lastRenderedPageBreak/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60C9883A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4738F7">
        <w:rPr>
          <w:rFonts w:asciiTheme="minorHAnsi" w:hAnsiTheme="minorHAnsi" w:cstheme="minorHAnsi"/>
        </w:rPr>
        <w:t>3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A1A6" w14:textId="77777777" w:rsidR="00686E5B" w:rsidRDefault="00686E5B">
      <w:r>
        <w:separator/>
      </w:r>
    </w:p>
  </w:endnote>
  <w:endnote w:type="continuationSeparator" w:id="0">
    <w:p w14:paraId="51D7DFD1" w14:textId="77777777" w:rsidR="00686E5B" w:rsidRDefault="006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7D9E8C03" w:rsidR="00F5279C" w:rsidRPr="00901838" w:rsidRDefault="00476671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2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D847" w14:textId="77777777" w:rsidR="00686E5B" w:rsidRDefault="00686E5B">
      <w:r>
        <w:separator/>
      </w:r>
    </w:p>
  </w:footnote>
  <w:footnote w:type="continuationSeparator" w:id="0">
    <w:p w14:paraId="7D9E6A72" w14:textId="77777777" w:rsidR="00686E5B" w:rsidRDefault="0068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C696" w14:textId="64404BD0" w:rsidR="0037455F" w:rsidRDefault="00000000">
    <w:pPr>
      <w:pStyle w:val="Cabealho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6EF4910" w:rsidR="00F5279C" w:rsidRPr="00347E5F" w:rsidRDefault="00000000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1027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>Fls.__________</w:t>
    </w:r>
  </w:p>
  <w:p w14:paraId="44ED0A15" w14:textId="0934DCA5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E93B76" w:rsidRPr="00E93B76">
      <w:rPr>
        <w:rFonts w:ascii="Verdana" w:hAnsi="Verdana"/>
        <w:sz w:val="16"/>
        <w:szCs w:val="16"/>
      </w:rPr>
      <w:t>23069.191852/2022-21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452E2E0C" w:rsidR="00F5279C" w:rsidRDefault="00000000" w:rsidP="00342ADC">
    <w:pPr>
      <w:pStyle w:val="Cabealho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1025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B6E938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 w16cid:durableId="1670062888">
    <w:abstractNumId w:val="4"/>
  </w:num>
  <w:num w:numId="2" w16cid:durableId="1617788766">
    <w:abstractNumId w:val="2"/>
  </w:num>
  <w:num w:numId="3" w16cid:durableId="1143043485">
    <w:abstractNumId w:val="15"/>
  </w:num>
  <w:num w:numId="4" w16cid:durableId="1608660717">
    <w:abstractNumId w:val="9"/>
  </w:num>
  <w:num w:numId="5" w16cid:durableId="2031029703">
    <w:abstractNumId w:val="5"/>
  </w:num>
  <w:num w:numId="6" w16cid:durableId="1296571027">
    <w:abstractNumId w:val="14"/>
  </w:num>
  <w:num w:numId="7" w16cid:durableId="1419715208">
    <w:abstractNumId w:val="6"/>
  </w:num>
  <w:num w:numId="8" w16cid:durableId="1139034346">
    <w:abstractNumId w:val="11"/>
  </w:num>
  <w:num w:numId="9" w16cid:durableId="283928443">
    <w:abstractNumId w:val="16"/>
  </w:num>
  <w:num w:numId="10" w16cid:durableId="71901314">
    <w:abstractNumId w:val="7"/>
  </w:num>
  <w:num w:numId="11" w16cid:durableId="1573469993">
    <w:abstractNumId w:val="8"/>
  </w:num>
  <w:num w:numId="12" w16cid:durableId="1669021073">
    <w:abstractNumId w:val="10"/>
  </w:num>
  <w:num w:numId="13" w16cid:durableId="738018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4801348">
    <w:abstractNumId w:val="3"/>
  </w:num>
  <w:num w:numId="15" w16cid:durableId="2071535146">
    <w:abstractNumId w:val="13"/>
  </w:num>
  <w:num w:numId="16" w16cid:durableId="2095856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896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86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784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036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051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3F78"/>
    <w:rsid w:val="001106A6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19B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3957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69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D1076"/>
    <w:rsid w:val="003E0A6D"/>
    <w:rsid w:val="003E1DCC"/>
    <w:rsid w:val="003E1EFE"/>
    <w:rsid w:val="003E6557"/>
    <w:rsid w:val="003E70B9"/>
    <w:rsid w:val="003F0669"/>
    <w:rsid w:val="003F0911"/>
    <w:rsid w:val="003F10F7"/>
    <w:rsid w:val="003F12AF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738F7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5C5E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C195C"/>
    <w:rsid w:val="005C2013"/>
    <w:rsid w:val="005C4D24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6E5B"/>
    <w:rsid w:val="00687999"/>
    <w:rsid w:val="006A1335"/>
    <w:rsid w:val="006A21B6"/>
    <w:rsid w:val="006A240B"/>
    <w:rsid w:val="006A39BA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27F45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81D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4F0D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6E1B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347F8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07469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B0E"/>
    <w:rsid w:val="00AA10C2"/>
    <w:rsid w:val="00AA4763"/>
    <w:rsid w:val="00AA6033"/>
    <w:rsid w:val="00AA6B5F"/>
    <w:rsid w:val="00AB001C"/>
    <w:rsid w:val="00AB1CF5"/>
    <w:rsid w:val="00AB1F79"/>
    <w:rsid w:val="00AB6C15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40F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2D5F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3B76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3D4D-42F4-4515-AFCF-3F711B8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2182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Hellen Medeiros</cp:lastModifiedBy>
  <cp:revision>31</cp:revision>
  <cp:lastPrinted>2023-02-07T19:57:00Z</cp:lastPrinted>
  <dcterms:created xsi:type="dcterms:W3CDTF">2022-06-24T17:43:00Z</dcterms:created>
  <dcterms:modified xsi:type="dcterms:W3CDTF">2023-02-17T15:06:00Z</dcterms:modified>
</cp:coreProperties>
</file>