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Verdana" w:hAnsi="Verdana"/>
          <w:sz w:val="18"/>
          <w:szCs w:val="18"/>
        </w:rPr>
      </w:pPr>
      <w:r>
        <w:rPr>
          <w:rFonts w:ascii="Verdana" w:hAnsi="Verdana"/>
          <w:b/>
          <w:sz w:val="18"/>
          <w:szCs w:val="18"/>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6"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pPr>
        <w:spacing w:after="120"/>
        <w:jc w:val="center"/>
        <w:rPr>
          <w:rFonts w:ascii="Verdana" w:hAnsi="Verdana"/>
          <w:sz w:val="18"/>
          <w:szCs w:val="18"/>
        </w:rPr>
      </w:pPr>
    </w:p>
    <w:p>
      <w:pPr>
        <w:tabs>
          <w:tab w:val="clear" w:pos="708"/>
        </w:tabs>
        <w:spacing w:after="120"/>
        <w:jc w:val="center"/>
        <w:rPr>
          <w:rFonts w:ascii="Verdana" w:hAnsi="Verdana"/>
          <w:sz w:val="18"/>
          <w:szCs w:val="18"/>
        </w:rPr>
      </w:pPr>
    </w:p>
    <w:p>
      <w:pPr>
        <w:spacing w:after="120"/>
        <w:jc w:val="center"/>
        <w:rPr>
          <w:rFonts w:ascii="Verdana" w:hAnsi="Verdana"/>
          <w:b/>
          <w:sz w:val="18"/>
          <w:szCs w:val="18"/>
        </w:rPr>
      </w:pPr>
    </w:p>
    <w:p>
      <w:pPr>
        <w:spacing w:after="120"/>
        <w:jc w:val="center"/>
        <w:rPr>
          <w:rFonts w:ascii="Verdana" w:hAnsi="Verdana"/>
          <w:b/>
          <w:sz w:val="18"/>
          <w:szCs w:val="18"/>
        </w:rPr>
      </w:pPr>
      <w:r>
        <w:rPr>
          <w:rFonts w:ascii="Verdana" w:hAnsi="Verdana"/>
          <w:b/>
          <w:sz w:val="18"/>
          <w:szCs w:val="18"/>
        </w:rPr>
        <w:t>SERVIÇO PÚBLICO FEDERAL</w:t>
      </w:r>
    </w:p>
    <w:p>
      <w:pPr>
        <w:spacing w:after="120"/>
        <w:jc w:val="center"/>
        <w:rPr>
          <w:rFonts w:ascii="Verdana" w:hAnsi="Verdana"/>
          <w:b/>
          <w:sz w:val="18"/>
          <w:szCs w:val="18"/>
        </w:rPr>
      </w:pPr>
      <w:r>
        <w:rPr>
          <w:rFonts w:ascii="Verdana" w:hAnsi="Verdana"/>
          <w:b/>
          <w:sz w:val="18"/>
          <w:szCs w:val="18"/>
        </w:rPr>
        <w:t>MINISTÉRIO DA EDUCAÇÃO</w:t>
      </w:r>
    </w:p>
    <w:p>
      <w:pPr>
        <w:spacing w:after="120"/>
        <w:jc w:val="center"/>
        <w:rPr>
          <w:rFonts w:ascii="Verdana" w:hAnsi="Verdana"/>
          <w:b/>
          <w:sz w:val="18"/>
          <w:szCs w:val="18"/>
        </w:rPr>
      </w:pPr>
      <w:r>
        <w:rPr>
          <w:rFonts w:ascii="Verdana" w:hAnsi="Verdana"/>
          <w:b/>
          <w:sz w:val="18"/>
          <w:szCs w:val="18"/>
        </w:rPr>
        <w:t>UNIVERSIDADE FEDERAL FLUMINENSE</w:t>
      </w:r>
    </w:p>
    <w:p>
      <w:pPr>
        <w:spacing w:after="120"/>
        <w:jc w:val="center"/>
        <w:rPr>
          <w:rFonts w:ascii="Verdana" w:hAnsi="Verdana"/>
          <w:sz w:val="18"/>
          <w:szCs w:val="18"/>
        </w:rPr>
      </w:pPr>
      <w:r>
        <w:rPr>
          <w:rFonts w:ascii="Verdana" w:hAnsi="Verdana"/>
          <w:b/>
          <w:sz w:val="18"/>
          <w:szCs w:val="18"/>
        </w:rPr>
        <w:t>PRÓ-REITORIA DE ADMINISTRAÇÃO</w:t>
      </w:r>
    </w:p>
    <w:p>
      <w:pPr>
        <w:pStyle w:val="12"/>
        <w:jc w:val="center"/>
        <w:rPr>
          <w:rFonts w:ascii="Verdana" w:hAnsi="Verdana"/>
          <w:b/>
          <w:sz w:val="18"/>
          <w:szCs w:val="18"/>
        </w:rPr>
      </w:pPr>
      <w:r>
        <w:rPr>
          <w:rFonts w:ascii="Verdana" w:hAnsi="Verdana"/>
          <w:b/>
          <w:sz w:val="18"/>
          <w:szCs w:val="18"/>
        </w:rPr>
        <w:t>COORDENAÇÃO DE LICITAÇÃO</w:t>
      </w:r>
    </w:p>
    <w:p>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pPr>
        <w:keepNext w:val="0"/>
        <w:spacing w:after="120"/>
        <w:ind w:right="-17"/>
        <w:jc w:val="center"/>
        <w:rPr>
          <w:rFonts w:ascii="Verdana" w:hAnsi="Verdana" w:cs="Arial"/>
          <w:b/>
          <w:bCs/>
          <w:color w:val="000000"/>
          <w:sz w:val="20"/>
          <w:szCs w:val="20"/>
        </w:rPr>
      </w:pPr>
    </w:p>
    <w:p>
      <w:pPr>
        <w:keepNext w:val="0"/>
        <w:spacing w:after="120"/>
        <w:ind w:right="-17"/>
        <w:jc w:val="center"/>
        <w:rPr>
          <w:rFonts w:hint="default" w:ascii="Verdana" w:hAnsi="Verdana" w:cs="Arial"/>
          <w:b/>
          <w:bCs/>
          <w:color w:val="auto"/>
          <w:sz w:val="20"/>
          <w:szCs w:val="20"/>
          <w:lang w:val="pt-BR"/>
        </w:rPr>
      </w:pPr>
      <w:r>
        <w:rPr>
          <w:rFonts w:hint="default" w:ascii="Verdana" w:hAnsi="Verdana" w:cs="Arial"/>
          <w:b/>
          <w:bCs/>
          <w:color w:val="auto"/>
          <w:sz w:val="20"/>
          <w:szCs w:val="20"/>
          <w:lang w:val="pt-BR"/>
        </w:rPr>
        <w:t>EDITAL DE LICITAÇÃO</w:t>
      </w:r>
    </w:p>
    <w:p>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50/2022</w:t>
      </w:r>
    </w:p>
    <w:p>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23069.156365/2022-12)</w:t>
      </w:r>
    </w:p>
    <w:p>
      <w:pPr>
        <w:keepNext w:val="0"/>
        <w:spacing w:after="120" w:line="276" w:lineRule="auto"/>
        <w:ind w:right="-30"/>
        <w:jc w:val="both"/>
        <w:rPr>
          <w:rFonts w:ascii="Verdana" w:hAnsi="Verdana" w:cs="Arial"/>
          <w:sz w:val="20"/>
          <w:szCs w:val="20"/>
        </w:rPr>
      </w:pPr>
    </w:p>
    <w:p>
      <w:pPr>
        <w:snapToGrid w:val="0"/>
        <w:spacing w:after="120" w:line="276" w:lineRule="auto"/>
        <w:ind w:right="-30" w:firstLine="540"/>
        <w:jc w:val="both"/>
        <w:rPr>
          <w:rFonts w:ascii="Verdana" w:hAnsi="Verdana" w:eastAsia="Arial" w:cs="Arial"/>
          <w:i/>
          <w:color w:val="000000" w:themeColor="text1"/>
          <w:sz w:val="20"/>
          <w:szCs w:val="20"/>
        </w:rPr>
      </w:pPr>
      <w:r>
        <w:rPr>
          <w:rFonts w:ascii="Verdana" w:hAnsi="Verdana" w:cs="Arial"/>
          <w:color w:val="000000" w:themeColor="text1"/>
          <w:sz w:val="20"/>
          <w:szCs w:val="20"/>
        </w:rPr>
        <w:t>Torna-se público que a</w:t>
      </w:r>
      <w:r>
        <w:rPr>
          <w:rFonts w:ascii="Verdana" w:hAnsi="Verdana" w:eastAsia="Arial" w:cs="Arial"/>
          <w:color w:val="000000" w:themeColor="text1"/>
          <w:sz w:val="20"/>
          <w:szCs w:val="20"/>
        </w:rPr>
        <w:t xml:space="preserve"> </w:t>
      </w:r>
      <w:r>
        <w:rPr>
          <w:rFonts w:ascii="Verdana" w:hAnsi="Verdana" w:eastAsia="Arial"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hAnsi="Verdana" w:eastAsia="Arial" w:cs="Arial"/>
          <w:color w:val="000000" w:themeColor="text1"/>
          <w:sz w:val="20"/>
          <w:szCs w:val="20"/>
        </w:rPr>
        <w:t xml:space="preserve"> </w:t>
      </w:r>
      <w:r>
        <w:rPr>
          <w:rFonts w:ascii="Verdana" w:hAnsi="Verdana"/>
          <w:sz w:val="20"/>
          <w:szCs w:val="20"/>
        </w:rPr>
        <w:t>sua Comissão de Licitação da Pró-Reitoria de Administração, instituída pela Portaria n.º 57.050 de 01 de setembro de 2016</w:t>
      </w:r>
      <w:r>
        <w:rPr>
          <w:rFonts w:ascii="Verdana" w:hAnsi="Verdana" w:cs="Arial"/>
          <w:color w:val="000000" w:themeColor="text1"/>
          <w:sz w:val="20"/>
          <w:szCs w:val="20"/>
        </w:rPr>
        <w:t>, sediada</w:t>
      </w:r>
      <w:r>
        <w:rPr>
          <w:rFonts w:ascii="Verdana" w:hAnsi="Verdana" w:eastAsia="Arial"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maior desconto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pPr>
        <w:spacing w:line="276" w:lineRule="auto"/>
        <w:jc w:val="both"/>
        <w:rPr>
          <w:rFonts w:ascii="Verdana" w:hAnsi="Verdana" w:cs="Arial"/>
          <w:color w:val="000000" w:themeColor="text1"/>
          <w:sz w:val="20"/>
          <w:szCs w:val="20"/>
        </w:rPr>
      </w:pPr>
    </w:p>
    <w:p>
      <w:pPr>
        <w:pStyle w:val="73"/>
        <w:keepNext w:val="0"/>
        <w:shd w:val="clear" w:color="auto" w:fill="auto"/>
        <w:ind w:firstLine="0"/>
        <w:jc w:val="center"/>
        <w:rPr>
          <w:rFonts w:hint="default" w:ascii="Verdana" w:hAnsi="Verdana" w:cs="Arial"/>
          <w:b/>
          <w:bCs/>
          <w:color w:val="auto"/>
          <w:szCs w:val="20"/>
          <w:lang w:val="pt-BR"/>
        </w:rPr>
      </w:pPr>
      <w:r>
        <w:rPr>
          <w:rFonts w:ascii="Verdana" w:hAnsi="Verdana" w:cs="Arial"/>
          <w:szCs w:val="20"/>
        </w:rPr>
        <w:t xml:space="preserve">Data da sessão: </w:t>
      </w:r>
      <w:r>
        <w:rPr>
          <w:rFonts w:hint="default" w:ascii="Verdana" w:hAnsi="Verdana" w:cs="Arial"/>
          <w:b/>
          <w:bCs/>
          <w:color w:val="auto"/>
          <w:szCs w:val="20"/>
          <w:lang w:val="pt-BR"/>
        </w:rPr>
        <w:t>30/05/2022</w:t>
      </w:r>
    </w:p>
    <w:p>
      <w:pPr>
        <w:pStyle w:val="73"/>
        <w:keepNext w:val="0"/>
        <w:widowControl/>
        <w:shd w:val="clear" w:color="auto" w:fill="auto"/>
        <w:spacing w:before="120" w:after="120"/>
        <w:ind w:firstLine="0"/>
        <w:jc w:val="center"/>
        <w:rPr>
          <w:rFonts w:hint="default" w:ascii="Verdana" w:hAnsi="Verdana" w:cs="Arial"/>
          <w:b/>
          <w:bCs/>
          <w:color w:val="auto"/>
          <w:szCs w:val="20"/>
          <w:lang w:val="pt-BR"/>
        </w:rPr>
      </w:pPr>
      <w:r>
        <w:rPr>
          <w:rFonts w:ascii="Verdana" w:hAnsi="Verdana" w:cs="Arial"/>
          <w:szCs w:val="20"/>
        </w:rPr>
        <w:t xml:space="preserve">Horário: </w:t>
      </w:r>
      <w:r>
        <w:rPr>
          <w:rFonts w:hint="default" w:ascii="Verdana" w:hAnsi="Verdana" w:cs="Arial"/>
          <w:b/>
          <w:bCs/>
          <w:color w:val="auto"/>
          <w:szCs w:val="20"/>
          <w:lang w:val="pt-BR"/>
        </w:rPr>
        <w:t>10h</w:t>
      </w:r>
    </w:p>
    <w:p>
      <w:pPr>
        <w:pStyle w:val="73"/>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p>
    <w:p>
      <w:pPr>
        <w:keepNext w:val="0"/>
        <w:shd w:val="clear" w:color="auto" w:fill="auto"/>
        <w:rPr>
          <w:rFonts w:ascii="Verdana" w:hAnsi="Verdana" w:cs="Arial"/>
          <w:sz w:val="20"/>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0" w:name="_Hlk85032038"/>
      <w:r>
        <w:rPr>
          <w:rFonts w:ascii="Verdana" w:hAnsi="Verdana" w:cs="Calibri"/>
          <w:bCs/>
          <w:color w:val="000000"/>
          <w:szCs w:val="20"/>
          <w:shd w:val="clear" w:color="auto" w:fill="FFFFFF"/>
        </w:rPr>
        <w:t>execução de serviço de engenharia, para</w:t>
      </w:r>
      <w:bookmarkEnd w:id="0"/>
      <w:r>
        <w:rPr>
          <w:rFonts w:ascii="Verdana" w:hAnsi="Verdana" w:cs="Calibri"/>
          <w:bCs/>
          <w:color w:val="000000"/>
          <w:szCs w:val="20"/>
          <w:shd w:val="clear" w:color="auto" w:fill="FFFFFF"/>
        </w:rPr>
        <w:t xml:space="preserve"> </w:t>
      </w:r>
      <w:r>
        <w:rPr>
          <w:rFonts w:ascii="Verdana" w:hAnsi="Verdana"/>
          <w:szCs w:val="20"/>
        </w:rPr>
        <w:t>reforma e adequação de ambientes no Centro de Atenção à Saúde do Idoso e seus Cuidadores (CASIC), no Campus Mequinho, em Niterói, da Universidade Federal Fluminense</w:t>
      </w:r>
      <w:r>
        <w:rPr>
          <w:rFonts w:ascii="Verdana" w:hAnsi="Verdana" w:cs="Arial"/>
          <w:szCs w:val="20"/>
        </w:rPr>
        <w:t>, com fornecimento de materiais, conforme condições, quantidades e exigências estabelecidas neste Edital e seus anexos.</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eastAsia="Calibri" w:cstheme="minorHAnsi"/>
          <w:bCs/>
          <w:sz w:val="18"/>
          <w:szCs w:val="18"/>
        </w:rPr>
        <w:t>Localização da obra: Campus Mequinho, Av. Jansen de Mello, 174, Centro, Niterói/RJ - CEP: 24.030-220;</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pelo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Sendo o critério de julgamento o de </w:t>
      </w:r>
      <w:r>
        <w:rPr>
          <w:rFonts w:ascii="Verdana" w:hAnsi="Verdana" w:cs="Arial"/>
          <w:szCs w:val="20"/>
          <w:u w:val="single"/>
        </w:rPr>
        <w:t>maior desconto</w:t>
      </w:r>
      <w:r>
        <w:rPr>
          <w:rFonts w:ascii="Verdana" w:hAnsi="Verdana" w:cs="Arial"/>
          <w:szCs w:val="20"/>
        </w:rPr>
        <w:t>, este percentual de desconto oferecido pelo licitante, além de incidir sobre o preço global fixado, incidirá igualmente sobre o preço unitário de cada item de serviço do orçamento estimado (Anexo III-B), observadas as exigências contidas neste Edital e seus Anexos quanto às especificações do objeto.</w:t>
      </w:r>
    </w:p>
    <w:p>
      <w:pPr>
        <w:pStyle w:val="73"/>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 xml:space="preserve">O percentual de desconto proposto, resultado da fase de lances, </w:t>
      </w:r>
      <w:r>
        <w:rPr>
          <w:rFonts w:ascii="Verdana" w:hAnsi="Verdana" w:cs="Arial"/>
          <w:sz w:val="18"/>
          <w:szCs w:val="18"/>
          <w:u w:val="single"/>
        </w:rPr>
        <w:t>deverá incidir igualmente</w:t>
      </w:r>
      <w:r>
        <w:rPr>
          <w:rFonts w:ascii="Verdana" w:hAnsi="Verdana" w:cs="Arial"/>
          <w:sz w:val="18"/>
          <w:szCs w:val="18"/>
        </w:rPr>
        <w:t xml:space="preserve"> sobre todos os preços unitários constantes da planilha de orçamento (Anexo III-B), que irá resultar no valor total da proposta do licitante vencedor.</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desconto proposto, de todos os itens que a compõem, na conformidade da planilha contida no Anexo III-B.</w:t>
      </w:r>
    </w:p>
    <w:p>
      <w:pPr>
        <w:pStyle w:val="73"/>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pPr>
        <w:pStyle w:val="73"/>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1" w:name="_Hlk83456378"/>
      <w:r>
        <w:rPr>
          <w:rFonts w:ascii="Verdana" w:hAnsi="Verdana" w:cs="Arial"/>
          <w:szCs w:val="20"/>
        </w:rPr>
        <w:t>conforme previsto no Termo de Referência ou Projeto Básico – Anexo I.</w:t>
      </w:r>
      <w:bookmarkEnd w:id="1"/>
    </w:p>
    <w:p>
      <w:pPr>
        <w:pStyle w:val="73"/>
        <w:keepNext w:val="0"/>
        <w:widowControl/>
        <w:shd w:val="clear" w:color="auto" w:fill="auto"/>
        <w:spacing w:before="120" w:after="120"/>
        <w:ind w:left="792" w:firstLine="0"/>
        <w:rPr>
          <w:rFonts w:ascii="Verdana" w:hAnsi="Verdana" w:cs="Arial"/>
          <w:szCs w:val="20"/>
        </w:rPr>
      </w:pPr>
    </w:p>
    <w:p>
      <w:pPr>
        <w:pStyle w:val="73"/>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pPr>
        <w:pStyle w:val="73"/>
        <w:keepNext w:val="0"/>
        <w:widowControl/>
        <w:numPr>
          <w:ilvl w:val="1"/>
          <w:numId w:val="3"/>
        </w:numPr>
        <w:shd w:val="clear" w:color="auto" w:fill="auto"/>
        <w:spacing w:before="120" w:after="120"/>
        <w:rPr>
          <w:rFonts w:hint="default" w:ascii="Verdana" w:hAnsi="Verdana" w:cs="Arial"/>
          <w:szCs w:val="20"/>
          <w:highlight w:val="none"/>
          <w:lang w:val="pt-BR"/>
        </w:rPr>
      </w:pPr>
      <w:bookmarkStart w:id="2" w:name="_Hlk97023241"/>
      <w:r>
        <w:rPr>
          <w:rFonts w:ascii="Verdana" w:hAnsi="Verdana" w:cs="Arial"/>
          <w:szCs w:val="20"/>
          <w:highlight w:val="none"/>
        </w:rPr>
        <w:t xml:space="preserve">As despesas para atender a esta licitação </w:t>
      </w:r>
      <w:r>
        <w:rPr>
          <w:rFonts w:hint="default" w:ascii="Verdana" w:hAnsi="Verdana" w:cs="Arial"/>
          <w:szCs w:val="20"/>
          <w:highlight w:val="none"/>
          <w:lang w:val="pt-BR"/>
        </w:rPr>
        <w:t>serão indicadas quando da homologação do procedimento licitatório, conforme despacho PLOR/PLAN SEI nº 0769806 (https://sei.uff.br/sei/controlador.php?acao=procedimento_trabalhar&amp;id_procedimento=810047&amp;id_documento=839845).</w:t>
      </w:r>
      <w:bookmarkEnd w:id="2"/>
    </w:p>
    <w:p>
      <w:pPr>
        <w:pStyle w:val="73"/>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pPr>
        <w:pStyle w:val="73"/>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r>
        <w:fldChar w:fldCharType="begin"/>
      </w:r>
      <w:r>
        <w:instrText xml:space="preserve"> HYPERLINK "http://www.gov.br/compras" </w:instrText>
      </w:r>
      <w:r>
        <w:fldChar w:fldCharType="separate"/>
      </w:r>
      <w:r>
        <w:rPr>
          <w:rStyle w:val="10"/>
          <w:rFonts w:ascii="Verdana" w:hAnsi="Verdana" w:cs="Arial"/>
          <w:szCs w:val="20"/>
        </w:rPr>
        <w:t>www.gov.br/compras</w:t>
      </w:r>
      <w:r>
        <w:rPr>
          <w:rStyle w:val="10"/>
          <w:rFonts w:ascii="Verdana" w:hAnsi="Verdana" w:cs="Arial"/>
          <w:szCs w:val="20"/>
        </w:rPr>
        <w:fldChar w:fldCharType="end"/>
      </w:r>
      <w:r>
        <w:rPr>
          <w:rFonts w:ascii="Verdana" w:hAnsi="Verdana" w:cs="Arial"/>
          <w:color w:val="000000" w:themeColor="text1"/>
          <w:szCs w:val="20"/>
        </w:rPr>
        <w:t>, por meio de certificado digital conferido pela Infraestrutura de Chaves Públicas Brasileira – ICP - Brasil.</w:t>
      </w:r>
    </w:p>
    <w:p>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eastAsia="Arial Unicode MS" w:cs="Arial"/>
          <w:color w:val="000000" w:themeColor="text1"/>
          <w:sz w:val="18"/>
          <w:szCs w:val="18"/>
        </w:rPr>
        <w:t>que se enquadrem nas vedações previstas no artigo 9º da Lei nº 8.666, de 1993;</w:t>
      </w:r>
      <w:bookmarkStart w:id="3" w:name="_Hlk51966765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3"/>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4" w:name="_Hlk519667815"/>
    </w:p>
    <w:p>
      <w:pPr>
        <w:pStyle w:val="73"/>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4"/>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hAnsi="Verdana" w:eastAsia="Zurich BT" w:cs="Arial"/>
          <w:color w:val="000000"/>
          <w:sz w:val="20"/>
          <w:szCs w:val="20"/>
        </w:rPr>
        <w:t xml:space="preserve"> </w:t>
      </w:r>
    </w:p>
    <w:p>
      <w:pPr>
        <w:pStyle w:val="64"/>
        <w:keepNext w:val="0"/>
        <w:numPr>
          <w:ilvl w:val="0"/>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1"/>
          <w:numId w:val="5"/>
        </w:numPr>
        <w:shd w:val="clear" w:color="auto" w:fill="auto"/>
        <w:tabs>
          <w:tab w:val="left" w:pos="1440"/>
          <w:tab w:val="clear" w:pos="-12"/>
          <w:tab w:val="clear" w:pos="708"/>
        </w:tabs>
        <w:suppressAutoHyphens w:val="0"/>
        <w:overflowPunct/>
        <w:autoSpaceDE w:val="0"/>
        <w:snapToGrid w:val="0"/>
        <w:spacing w:before="120" w:after="120"/>
        <w:jc w:val="both"/>
        <w:textAlignment w:val="auto"/>
        <w:rPr>
          <w:rFonts w:ascii="Verdana" w:hAnsi="Verdana" w:cs="Arial"/>
          <w:bCs/>
          <w:vanish/>
          <w:color w:val="000000"/>
          <w:sz w:val="20"/>
          <w:szCs w:val="20"/>
        </w:rPr>
      </w:pP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pPr>
        <w:pStyle w:val="64"/>
        <w:keepNext w:val="0"/>
        <w:numPr>
          <w:ilvl w:val="3"/>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está ciente e concorda com as condições contidas no Edital e seus anexos;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não possui, em sua cadeia produtiva, empregados executando trabalho degradante ou forçado, observando o disposto nos incisos III e IV do art. 1º e no inciso III do art. 5º da Constituição Federal;</w:t>
      </w:r>
    </w:p>
    <w:p>
      <w:pPr>
        <w:pStyle w:val="64"/>
        <w:keepNext w:val="0"/>
        <w:numPr>
          <w:ilvl w:val="2"/>
          <w:numId w:val="3"/>
        </w:numPr>
        <w:shd w:val="clear" w:color="auto" w:fill="auto"/>
        <w:tabs>
          <w:tab w:val="left" w:pos="1440"/>
          <w:tab w:val="clear" w:pos="708"/>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eastAsia="Zurich BT"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b/>
          <w:bCs/>
          <w:sz w:val="20"/>
          <w:szCs w:val="20"/>
        </w:rPr>
      </w:pPr>
      <w:r>
        <w:rPr>
          <w:rFonts w:ascii="Verdana" w:hAnsi="Verdana" w:cs="TTE4E87780t00"/>
          <w:b/>
          <w:bCs/>
          <w:sz w:val="20"/>
          <w:szCs w:val="20"/>
        </w:rPr>
        <w:t>As condições para a realização da vistoria estão explicitadas no item “6 – VISTORIA PARA A LICITAÇÃO” do Termo de Referência anexo a este edital;</w:t>
      </w:r>
    </w:p>
    <w:p>
      <w:pPr>
        <w:keepNext w:val="0"/>
        <w:numPr>
          <w:ilvl w:val="1"/>
          <w:numId w:val="3"/>
        </w:numPr>
        <w:shd w:val="clear" w:color="auto" w:fill="auto"/>
        <w:tabs>
          <w:tab w:val="left" w:pos="851"/>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pPr>
        <w:pStyle w:val="12"/>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pPr>
        <w:pStyle w:val="12"/>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DA APRESENTAÇÃO DA PROPOSTA E DOS DOCUMENTOS DE HABILITAÇÃO</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eastAsia="Arial" w:cs="Arial"/>
          <w:sz w:val="20"/>
          <w:szCs w:val="20"/>
        </w:rPr>
        <w:t>As Microempresas e Empresas de Pequeno Porte deverão encaminhar a documentação de habilitação, ainda que haja alguma restrição de regularidade fiscal e trabalhista, nos termos do art. 43, § 1º da LC nº 123, de 2006.</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pPr>
        <w:pStyle w:val="64"/>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desconto percentual a incidir sobre o valor estimado pela Administração, utilizando até 04 (quatro) casas decimais para evitar correções futuras na PROPOSTA DE PREÇOS;</w:t>
      </w:r>
    </w:p>
    <w:p>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hAnsi="Verdana" w:eastAsia="WenQuanYi Micro Hei" w:cs="Arial"/>
          <w:color w:val="auto"/>
          <w:sz w:val="18"/>
          <w:szCs w:val="18"/>
        </w:rPr>
        <w:t>Descrição do objeto, contendo as informações similares à especificação do Termo de Referência</w:t>
      </w:r>
      <w:r>
        <w:rPr>
          <w:rFonts w:ascii="Verdana" w:hAnsi="Verdana" w:cs="Arial"/>
          <w:color w:val="auto"/>
          <w:sz w:val="18"/>
          <w:szCs w:val="18"/>
        </w:rPr>
        <w:t>.</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pPr>
        <w:pStyle w:val="64"/>
        <w:keepNext w:val="0"/>
        <w:numPr>
          <w:ilvl w:val="0"/>
          <w:numId w:val="6"/>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pPr>
        <w:pStyle w:val="64"/>
        <w:keepNext w:val="0"/>
        <w:numPr>
          <w:ilvl w:val="0"/>
          <w:numId w:val="6"/>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pPr>
        <w:pStyle w:val="64"/>
        <w:keepNext w:val="0"/>
        <w:numPr>
          <w:ilvl w:val="1"/>
          <w:numId w:val="6"/>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pPr>
        <w:pStyle w:val="64"/>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pPr>
        <w:pStyle w:val="73"/>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pPr>
        <w:pStyle w:val="73"/>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hAnsi="Verdana" w:eastAsia="Arial" w:cs="Arial"/>
          <w:iCs/>
          <w:color w:val="auto"/>
          <w:sz w:val="18"/>
          <w:szCs w:val="18"/>
        </w:rPr>
      </w:pPr>
      <w:r>
        <w:rPr>
          <w:rFonts w:ascii="Verdana" w:hAnsi="Verdana" w:cs="Arial"/>
          <w:iCs/>
          <w:color w:val="auto"/>
          <w:sz w:val="18"/>
          <w:szCs w:val="18"/>
        </w:rPr>
        <w:t>O lance deverá ser ofertado pelo valor do desconto percentual que irá incidir sobre o total do orçamento, quando da escolha definitiva da proposta vencedora.</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0,10 % (um décimo percentual).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maior desconto percentual</w:t>
      </w:r>
      <w:r>
        <w:rPr>
          <w:rFonts w:ascii="Verdana" w:hAnsi="Verdana" w:cs="Arial"/>
          <w:color w:val="000000" w:themeColor="text1"/>
          <w:sz w:val="20"/>
          <w:szCs w:val="20"/>
        </w:rPr>
        <w:t>, que deverá incidir igualmente sobre todos os preços unitários orçados pela UFF e constantes da planilha de orçamento (Anexo III-A) conforme definido neste Edital e seus anexos.</w:t>
      </w:r>
    </w:p>
    <w:p>
      <w:pPr>
        <w:pStyle w:val="64"/>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cs="Arial"/>
          <w:color w:val="000000" w:themeColor="text1"/>
          <w:sz w:val="18"/>
          <w:szCs w:val="18"/>
        </w:rPr>
        <w:t xml:space="preserve">Não será admitido a incidência sobre os preços unitários referidos anteriormente, de valor(es) de percentual(is) diferente(s) do valor proposto e considerado vencedor na fase final de lances. </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hAnsi="Verdana" w:eastAsia="Zurich BT" w:cs="Arial"/>
          <w:sz w:val="20"/>
          <w:szCs w:val="20"/>
        </w:rPr>
        <w:t>, será efetivada a verificação automática, junto à Receita Federal, do porte da entidade empresarial.</w:t>
      </w:r>
    </w:p>
    <w:p>
      <w:pPr>
        <w:pStyle w:val="64"/>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hAnsi="Verdana" w:eastAsia="Zurich BT" w:cs="Arial"/>
          <w:sz w:val="18"/>
          <w:szCs w:val="18"/>
        </w:rPr>
        <w:t xml:space="preserve">O sistema identificará em coluna própria as </w:t>
      </w:r>
      <w:r>
        <w:rPr>
          <w:rFonts w:ascii="Verdana" w:hAnsi="Verdana" w:eastAsia="Zurich BT" w:cs="Arial"/>
          <w:color w:val="000000" w:themeColor="text1"/>
          <w:sz w:val="18"/>
          <w:szCs w:val="18"/>
        </w:rPr>
        <w:t>microempresas e empresas de pequeno</w:t>
      </w:r>
      <w:r>
        <w:rPr>
          <w:rFonts w:ascii="Verdana" w:hAnsi="Verdana" w:eastAsia="Zurich BT"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hAnsi="Verdana" w:eastAsia="Zurich BT"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hAnsi="Verdana" w:eastAsia="Zurich BT"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hAnsi="Verdana" w:eastAsia="Zurich BT"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Persistindo </w:t>
      </w:r>
      <w:r>
        <w:rPr>
          <w:rFonts w:ascii="Verdana" w:hAnsi="Verdana" w:eastAsia="Arial"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hAnsi="Verdana" w:eastAsia="Arial" w:cs="Arial"/>
          <w:sz w:val="20"/>
          <w:szCs w:val="20"/>
        </w:rPr>
        <w:t>.</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hAnsi="Verdana" w:eastAsia="Arial" w:cs="Arial"/>
          <w:sz w:val="20"/>
          <w:szCs w:val="20"/>
        </w:rPr>
        <w:t>negociação será realizada por meio do sistema, podendo ser acompanhada pelos demais licitantes.</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pPr>
        <w:pStyle w:val="64"/>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hAnsi="Verdana" w:eastAsia="Arial" w:cs="Arial"/>
          <w:sz w:val="20"/>
          <w:szCs w:val="20"/>
        </w:rPr>
        <w:t xml:space="preserve">É facultado ao pregoeiro prorrogar o prazo estabelecido, a partir de solicitação fundamentada feita no chat </w:t>
      </w:r>
      <w:r>
        <w:rPr>
          <w:rFonts w:ascii="Arial" w:hAnsi="Arial" w:eastAsia="SimSun" w:cs="Arial"/>
          <w:b/>
          <w:bCs/>
          <w:i w:val="0"/>
          <w:iCs w:val="0"/>
          <w:color w:val="000000"/>
          <w:sz w:val="20"/>
          <w:szCs w:val="20"/>
          <w:u w:val="none"/>
          <w:shd w:val="clear" w:fill="FFFFFF"/>
          <w:vertAlign w:val="baseline"/>
        </w:rPr>
        <w:t xml:space="preserve">ou também por meio do e-mail </w:t>
      </w:r>
      <w:r>
        <w:rPr>
          <w:rFonts w:ascii="SimSun" w:hAnsi="SimSun" w:eastAsia="SimSun" w:cs="SimSun"/>
          <w:b w:val="0"/>
          <w:bCs w:val="0"/>
          <w:sz w:val="24"/>
          <w:szCs w:val="24"/>
          <w:u w:val="none"/>
        </w:rPr>
        <w:fldChar w:fldCharType="begin"/>
      </w:r>
      <w:r>
        <w:rPr>
          <w:rFonts w:ascii="SimSun" w:hAnsi="SimSun" w:eastAsia="SimSun" w:cs="SimSun"/>
          <w:b w:val="0"/>
          <w:bCs w:val="0"/>
          <w:sz w:val="24"/>
          <w:szCs w:val="24"/>
          <w:u w:val="none"/>
        </w:rPr>
        <w:instrText xml:space="preserve"> HYPERLINK "mailto:cpl@id.uff.br" </w:instrText>
      </w:r>
      <w:r>
        <w:rPr>
          <w:rFonts w:ascii="SimSun" w:hAnsi="SimSun" w:eastAsia="SimSun" w:cs="SimSun"/>
          <w:b w:val="0"/>
          <w:bCs w:val="0"/>
          <w:sz w:val="24"/>
          <w:szCs w:val="24"/>
          <w:u w:val="none"/>
        </w:rPr>
        <w:fldChar w:fldCharType="separate"/>
      </w:r>
      <w:r>
        <w:rPr>
          <w:rStyle w:val="10"/>
          <w:rFonts w:hint="default" w:ascii="Arial" w:hAnsi="Arial" w:eastAsia="SimSun" w:cs="Arial"/>
          <w:b/>
          <w:bCs/>
          <w:i w:val="0"/>
          <w:iCs w:val="0"/>
          <w:color w:val="1155CC"/>
          <w:sz w:val="20"/>
          <w:szCs w:val="20"/>
          <w:u w:val="single"/>
          <w:shd w:val="clear" w:fill="FFFFFF"/>
          <w:vertAlign w:val="baseline"/>
        </w:rPr>
        <w:t>cpl@id.uff.b</w:t>
      </w:r>
      <w:r>
        <w:rPr>
          <w:rStyle w:val="10"/>
          <w:rFonts w:hint="default" w:ascii="Arial" w:hAnsi="Arial" w:eastAsia="SimSun" w:cs="Arial"/>
          <w:i w:val="0"/>
          <w:iCs w:val="0"/>
          <w:color w:val="1155CC"/>
          <w:sz w:val="20"/>
          <w:szCs w:val="20"/>
          <w:u w:val="single"/>
          <w:shd w:val="clear" w:fill="FFFFFF"/>
          <w:vertAlign w:val="baseline"/>
        </w:rPr>
        <w:t>r</w:t>
      </w:r>
      <w:r>
        <w:rPr>
          <w:rFonts w:ascii="SimSun" w:hAnsi="SimSun" w:eastAsia="SimSun" w:cs="SimSun"/>
          <w:b w:val="0"/>
          <w:bCs w:val="0"/>
          <w:sz w:val="24"/>
          <w:szCs w:val="24"/>
          <w:u w:val="none"/>
        </w:rPr>
        <w:fldChar w:fldCharType="end"/>
      </w:r>
      <w:r>
        <w:rPr>
          <w:rFonts w:hint="default" w:ascii="SimSun" w:hAnsi="SimSun" w:eastAsia="SimSun" w:cs="SimSun"/>
          <w:b w:val="0"/>
          <w:bCs w:val="0"/>
          <w:sz w:val="24"/>
          <w:szCs w:val="24"/>
          <w:u w:val="none"/>
          <w:lang w:val="pt-BR"/>
        </w:rPr>
        <w:t xml:space="preserve"> </w:t>
      </w:r>
      <w:r>
        <w:rPr>
          <w:rFonts w:ascii="Verdana" w:hAnsi="Verdana" w:eastAsia="Arial" w:cs="Arial"/>
          <w:sz w:val="20"/>
          <w:szCs w:val="20"/>
        </w:rPr>
        <w:t>pelo licitante, antes de findo o prazo.</w:t>
      </w:r>
    </w:p>
    <w:p>
      <w:pPr>
        <w:pStyle w:val="64"/>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eastAsia="Arial" w:cs="Arial"/>
          <w:sz w:val="20"/>
          <w:szCs w:val="20"/>
        </w:rPr>
        <w:t>Após a negociação do preço, o Pregoeiro iniciará a fase de aceitação e julgamento da proposta.</w:t>
      </w:r>
    </w:p>
    <w:p>
      <w:pPr>
        <w:pStyle w:val="64"/>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pPr>
        <w:pStyle w:val="64"/>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pPr>
        <w:pStyle w:val="73"/>
        <w:keepNext w:val="0"/>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A proposta a ser encaminhada deverá ser composta e conterem:</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identificando os grupos em que a empresa foi considerada vencedora, conforme modelo do Anexo VI;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Valor do percentual de desconto proposto e o seu correspondente valor monetário, discriminados também por extenso.</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Prazo de validade da proposta não inferior a 90 (noventa) dias, a contar da data de abertura do certame.</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Especificações do objeto de forma clara, observadas as especificações constantes dos anexos elaborados pela Administração;</w:t>
      </w:r>
    </w:p>
    <w:p>
      <w:pPr>
        <w:pStyle w:val="73"/>
        <w:keepNext w:val="0"/>
        <w:widowControl/>
        <w:numPr>
          <w:ilvl w:val="1"/>
          <w:numId w:val="6"/>
        </w:numPr>
        <w:spacing w:before="120" w:after="120"/>
        <w:textAlignment w:val="auto"/>
        <w:rPr>
          <w:rFonts w:ascii="Verdana" w:hAnsi="Verdana" w:eastAsia="Times New Roman" w:cs="Arial"/>
          <w:szCs w:val="20"/>
        </w:rPr>
      </w:pPr>
      <w:r>
        <w:rPr>
          <w:rFonts w:ascii="Verdana" w:hAnsi="Verdana" w:eastAsia="Times New Roman" w:cs="Arial"/>
          <w:szCs w:val="20"/>
        </w:rPr>
        <w:t>Anexo à Carta Proposta deverá apresentar os seguintes documentos, todos conforme modelos anexos a este edital:</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de cada grupo,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para o grupo,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Como o critério de julgamento será o de maior desconto, esse incidirá sobre todos os preços </w:t>
      </w:r>
      <w:r>
        <w:rPr>
          <w:rFonts w:ascii="Verdana" w:hAnsi="Verdana" w:cs="Arial"/>
          <w:color w:val="000000"/>
          <w:sz w:val="18"/>
          <w:szCs w:val="18"/>
        </w:rPr>
        <w:t>unitários dos itens do orçamento apresentado pela UFF (Anexo III-B), que tratando-se de desconto, os novos preços unitários propostos pela licitante, serão obrigatoriamente inferiores aos apresentados pela UFF;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color w:val="000000"/>
          <w:sz w:val="18"/>
          <w:szCs w:val="18"/>
        </w:rPr>
        <w:t xml:space="preserve">– Não serão admitidas alterações de especificações, unidades, quantitativos, custos unitários, valor de BDI e dos preços unitários calculados pela UFF; se tal ocorrência for constatada será motivo de desclassificação da proposta; seus valores estão bloqueados para edição no Anexo III-B. </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xml:space="preserve">- A soma dos preços totais ajustados dos itens dos serviços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pelo representante legal da empresa e com carimbo do CNPJ, no formato PDF:</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Não se admitirá, na proposta de preços, custos identificados mediante o uso da expressão “verba” ou de unidades genéricas.</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 xml:space="preserve">Planilha Resumo do Orçamento, </w:t>
      </w:r>
      <w:r>
        <w:rPr>
          <w:rFonts w:ascii="Verdana" w:hAnsi="Verdana" w:cs="Arial"/>
          <w:sz w:val="18"/>
          <w:szCs w:val="18"/>
        </w:rPr>
        <w:t xml:space="preserve">conforme modelo da planilha do Anexo III-A; </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 A e B;</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As alíquotas de tributos cotadas pelo licitante não podem ser superiores aos limites estabelecidos na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73"/>
        <w:keepNext w:val="0"/>
        <w:widowControl/>
        <w:numPr>
          <w:ilvl w:val="3"/>
          <w:numId w:val="6"/>
        </w:numPr>
        <w:spacing w:before="120" w:after="120"/>
        <w:ind w:left="1701" w:hanging="567"/>
        <w:textAlignment w:val="auto"/>
        <w:rPr>
          <w:rFonts w:ascii="Verdana" w:hAnsi="Verdana" w:eastAsia="Times New Roman" w:cs="Arial"/>
          <w:sz w:val="18"/>
          <w:szCs w:val="18"/>
        </w:rPr>
      </w:pPr>
      <w:r>
        <w:rPr>
          <w:rStyle w:val="61"/>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pPr>
        <w:pStyle w:val="73"/>
        <w:keepNext w:val="0"/>
        <w:widowControl/>
        <w:numPr>
          <w:ilvl w:val="2"/>
          <w:numId w:val="6"/>
        </w:numPr>
        <w:spacing w:before="120" w:after="120"/>
        <w:ind w:left="1134" w:hanging="425"/>
        <w:textAlignment w:val="auto"/>
        <w:rPr>
          <w:rFonts w:ascii="Verdana" w:hAnsi="Verdana" w:eastAsia="Times New Roman"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 do Anexo V;</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Style w:val="61"/>
          <w:rFonts w:ascii="Verdana" w:hAnsi="Verdana"/>
          <w:color w:val="000000" w:themeColor="text1"/>
          <w:sz w:val="18"/>
          <w:szCs w:val="18"/>
        </w:rPr>
        <w:t>A composição de encargos sociais das empresas optantes pelo Simples Nacional não poderá incluir os gastos relativos às contribuições que estão dispensadas de recolhimento, conforme dispõe o art. 13, § 3º, da referida Lei Complementar;</w:t>
      </w:r>
    </w:p>
    <w:p>
      <w:pPr>
        <w:pStyle w:val="73"/>
        <w:keepNext w:val="0"/>
        <w:widowControl/>
        <w:numPr>
          <w:ilvl w:val="3"/>
          <w:numId w:val="6"/>
        </w:numPr>
        <w:spacing w:before="120" w:after="120"/>
        <w:ind w:left="1701" w:hanging="567"/>
        <w:textAlignment w:val="auto"/>
        <w:rPr>
          <w:rStyle w:val="61"/>
          <w:rFonts w:ascii="Verdana" w:hAnsi="Verdana" w:eastAsia="Times New Roman"/>
          <w:color w:val="auto"/>
          <w:sz w:val="18"/>
          <w:szCs w:val="18"/>
        </w:rPr>
      </w:pPr>
      <w:r>
        <w:rPr>
          <w:rFonts w:ascii="Verdana" w:hAnsi="Verdana" w:cs="Times-Roman"/>
          <w:sz w:val="16"/>
          <w:szCs w:val="16"/>
        </w:rPr>
        <w:t xml:space="preserve">De acordo com as orientações emanadas do TCU, </w:t>
      </w:r>
      <w:r>
        <w:rPr>
          <w:rFonts w:ascii="Verdana" w:hAnsi="Verdana" w:cs="Arial"/>
          <w:i/>
          <w:iCs/>
          <w:sz w:val="16"/>
          <w:szCs w:val="16"/>
          <w:u w:val="single"/>
        </w:rPr>
        <w:t>quando se utiliza o SINAPI ou SICRO para a orçamentação da obra,</w:t>
      </w:r>
      <w:r>
        <w:rPr>
          <w:rFonts w:ascii="Verdana" w:hAnsi="Verdana" w:cs="Arial"/>
          <w:sz w:val="16"/>
          <w:szCs w:val="16"/>
        </w:rPr>
        <w:t xml:space="preserve"> não há necessidade de demonstrar as parcelas de cálculo dos encargos sociais, pois estas já fazem parte do cálculo dos seus custos unitários; é importante salientar, </w:t>
      </w:r>
      <w:r>
        <w:rPr>
          <w:rFonts w:ascii="Verdana" w:hAnsi="Verdana" w:eastAsia="TimesNewRoman" w:cs="TimesNewRoman"/>
          <w:sz w:val="16"/>
          <w:szCs w:val="16"/>
        </w:rPr>
        <w:t>que os relatórios obtidos em sistemas referenciais de custos e em publicações técnicas especializadas devem ser arquivados nos autos da licitação. Portanto, considerando que o presente orçamento utilizou como base os custos unitários divulgados pelo SINAPI, deixa-se de solicitar a apresentação da planilha demonstrativa de encargos sociais das licitantes. (</w:t>
      </w:r>
      <w:r>
        <w:rPr>
          <w:rFonts w:ascii="Verdana" w:hAnsi="Verdana" w:cs="Arial"/>
          <w:sz w:val="16"/>
          <w:szCs w:val="16"/>
        </w:rPr>
        <w:t>pág. 95/96</w:t>
      </w:r>
      <w:r>
        <w:rPr>
          <w:rFonts w:ascii="Verdana" w:hAnsi="Verdana" w:eastAsia="TimesNewRoman" w:cs="TimesNewRoman"/>
          <w:sz w:val="16"/>
          <w:szCs w:val="16"/>
        </w:rPr>
        <w:t xml:space="preserve"> - “Orientações para E</w:t>
      </w:r>
      <w:r>
        <w:rPr>
          <w:rFonts w:ascii="Verdana" w:hAnsi="Verdana" w:cs="Arial"/>
          <w:sz w:val="16"/>
          <w:szCs w:val="16"/>
        </w:rPr>
        <w:t>laboração de Planilhas Orçamentárias de Obras Públicas” – TCU – 2014)</w:t>
      </w:r>
    </w:p>
    <w:p>
      <w:pPr>
        <w:pStyle w:val="73"/>
        <w:keepNext w:val="0"/>
        <w:widowControl/>
        <w:numPr>
          <w:ilvl w:val="1"/>
          <w:numId w:val="6"/>
        </w:numPr>
        <w:spacing w:before="120" w:after="120"/>
        <w:textAlignment w:val="auto"/>
        <w:rPr>
          <w:rStyle w:val="61"/>
          <w:rFonts w:ascii="Verdana" w:hAnsi="Verdana" w:eastAsia="Ecofont_Spranq_eco_Sans,Lohit H"/>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pPr>
        <w:pStyle w:val="73"/>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hAnsi="Verdana" w:eastAsia="Arial" w:cs="Arial"/>
          <w:szCs w:val="20"/>
          <w:highlight w:val="yellow"/>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aplicado na planilha orçamentária (Anexo III-B) percentual(is) de desconto(s) diferente(s) do valor do lance final proposto;</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pPr>
        <w:pStyle w:val="73"/>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Quando o licitante não conseguir comprovar que possui ou possuirá recursos suficientes para executar a contento o objeto, será considerada inexequível a proposta de preços ou menor lance que:</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O exame da inexequibilidade observará a fórmula prevista no art. 48, §§ 1º e 2º, da Lei nº 8.666, de 1993.</w:t>
      </w: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pPr>
        <w:pStyle w:val="73"/>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64"/>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hAnsi="Verdana" w:eastAsia="WenQuanYi Micro Hei" w:cs="Arial"/>
          <w:vanish/>
          <w:color w:val="000000"/>
          <w:sz w:val="20"/>
          <w:szCs w:val="20"/>
          <w:lang w:eastAsia="en-US" w:bidi="hi-IN"/>
        </w:rPr>
      </w:pPr>
    </w:p>
    <w:p>
      <w:pPr>
        <w:pStyle w:val="73"/>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pPr>
        <w:pStyle w:val="73"/>
        <w:keepNext w:val="0"/>
        <w:widowControl/>
        <w:numPr>
          <w:ilvl w:val="1"/>
          <w:numId w:val="6"/>
        </w:numPr>
        <w:spacing w:before="120" w:after="120"/>
        <w:textAlignment w:val="auto"/>
        <w:rPr>
          <w:rFonts w:ascii="Verdana" w:hAnsi="Verdana" w:eastAsia="Times New Roman"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pPr>
        <w:pStyle w:val="73"/>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indicac</w:t>
      </w:r>
      <w:r>
        <w:rPr>
          <w:rFonts w:ascii="Arial" w:hAnsi="Arial" w:cs="Arial"/>
          <w:color w:val="000000"/>
          <w:sz w:val="18"/>
          <w:szCs w:val="18"/>
          <w:lang w:eastAsia="en-US"/>
        </w:rPr>
        <w:t>̧</w:t>
      </w:r>
      <w:r>
        <w:rPr>
          <w:rFonts w:ascii="Verdana" w:hAnsi="Verdana" w:cs="Arial"/>
          <w:color w:val="000000"/>
          <w:sz w:val="18"/>
          <w:szCs w:val="18"/>
          <w:lang w:eastAsia="en-US"/>
        </w:rPr>
        <w:t>ão de recolhimento de impostos e contribuic</w:t>
      </w:r>
      <w:r>
        <w:rPr>
          <w:rFonts w:ascii="Arial" w:hAnsi="Arial" w:cs="Arial"/>
          <w:color w:val="000000"/>
          <w:sz w:val="18"/>
          <w:szCs w:val="18"/>
          <w:lang w:eastAsia="en-US"/>
        </w:rPr>
        <w:t>̧</w:t>
      </w:r>
      <w:r>
        <w:rPr>
          <w:rFonts w:ascii="Verdana" w:hAnsi="Verdana" w:cs="Arial"/>
          <w:color w:val="000000"/>
          <w:sz w:val="18"/>
          <w:szCs w:val="18"/>
          <w:lang w:eastAsia="en-US"/>
        </w:rPr>
        <w:t>ões na forma do Simples Nacional, quando não cabível esse regime.</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73"/>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r>
        <w:fldChar w:fldCharType="begin"/>
      </w:r>
      <w:r>
        <w:instrText xml:space="preserve"> HYPERLINK "http://www.portaldatransparencia.gov.br/ceis" </w:instrText>
      </w:r>
      <w:r>
        <w:fldChar w:fldCharType="separate"/>
      </w:r>
      <w:r>
        <w:rPr>
          <w:rStyle w:val="10"/>
          <w:rFonts w:ascii="Verdana" w:hAnsi="Verdana" w:cs="Arial"/>
          <w:sz w:val="18"/>
          <w:szCs w:val="18"/>
          <w:lang w:eastAsia="ar-SA"/>
        </w:rPr>
        <w:t>www.portaldatransparencia.gov.br/ceis</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0"/>
          <w:rFonts w:ascii="Verdana" w:hAnsi="Verdana" w:cs="Arial"/>
          <w:sz w:val="18"/>
          <w:szCs w:val="18"/>
          <w:lang w:eastAsia="ar-SA"/>
        </w:rPr>
        <w:t>www.cnj.jus.br/improbidade_adm/consultar_requerido.php</w:t>
      </w:r>
      <w:r>
        <w:rPr>
          <w:rStyle w:val="10"/>
          <w:rFonts w:ascii="Verdana" w:hAnsi="Verdana" w:cs="Arial"/>
          <w:sz w:val="18"/>
          <w:szCs w:val="18"/>
          <w:lang w:eastAsia="ar-SA"/>
        </w:rPr>
        <w:fldChar w:fldCharType="end"/>
      </w:r>
      <w:r>
        <w:rPr>
          <w:rFonts w:ascii="Verdana" w:hAnsi="Verdana" w:cs="Arial"/>
          <w:sz w:val="18"/>
          <w:szCs w:val="18"/>
          <w:lang w:eastAsia="ar-SA"/>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Lista de Inidôneos e o Cadastro Integrado de Condenações por Ilícitos Administrativos - CADICON, mantidos pelo Tribunal de Contas da União - TCU;</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r>
        <w:fldChar w:fldCharType="begin"/>
      </w:r>
      <w:r>
        <w:instrText xml:space="preserve"> HYPERLINK "https://certidoesapf.apps.tcu.gov.br/" </w:instrText>
      </w:r>
      <w:r>
        <w:fldChar w:fldCharType="separate"/>
      </w:r>
      <w:r>
        <w:rPr>
          <w:rStyle w:val="10"/>
          <w:rFonts w:ascii="Verdana" w:hAnsi="Verdana" w:cs="Arial"/>
          <w:szCs w:val="20"/>
          <w:lang w:eastAsia="ar-SA"/>
        </w:rPr>
        <w:t>https://certidoesapf.apps.tcu.gov.br/</w:t>
      </w:r>
      <w:r>
        <w:rPr>
          <w:rStyle w:val="10"/>
          <w:rFonts w:ascii="Verdana" w:hAnsi="Verdana" w:cs="Arial"/>
          <w:szCs w:val="20"/>
          <w:lang w:eastAsia="ar-SA"/>
        </w:rPr>
        <w:fldChar w:fldCharType="end"/>
      </w:r>
      <w:r>
        <w:rPr>
          <w:rFonts w:ascii="Verdana" w:hAnsi="Verdana" w:cs="Arial"/>
          <w:szCs w:val="20"/>
          <w:lang w:eastAsia="ar-SA"/>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bookmarkStart w:id="5" w:name="_Hlk88838545"/>
      <w:r>
        <w:rPr>
          <w:rFonts w:ascii="Verdana" w:hAnsi="Verdana" w:cs="Arial"/>
          <w:b/>
          <w:szCs w:val="20"/>
        </w:rPr>
        <w:t>HABILITAÇÃO JURÍDICA, REGULARIDADE FISCAL E QUALIFICAÇÃO ECÔNOMICA</w:t>
      </w:r>
      <w:bookmarkEnd w:id="5"/>
      <w:r>
        <w:rPr>
          <w:rFonts w:ascii="Verdana" w:hAnsi="Verdana" w:cs="Arial"/>
          <w:b/>
          <w:szCs w:val="20"/>
        </w:rPr>
        <w:t xml:space="preserve"> E FINANCEIRA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Ressalvado o disposto no item 5.3, os licitantes deverão encaminhar, nos termos deste Edital, a documentação relacionada nos itens a seguir.</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pPr>
        <w:pStyle w:val="73"/>
        <w:keepNext w:val="0"/>
        <w:widowControl/>
        <w:spacing w:before="120" w:after="120"/>
        <w:ind w:left="785" w:firstLine="0"/>
        <w:textAlignment w:val="auto"/>
        <w:rPr>
          <w:rFonts w:ascii="Verdana" w:hAnsi="Verdana" w:cs="Arial"/>
          <w:szCs w:val="20"/>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hAnsi="Verdana" w:eastAsia="Times New Roman" w:cs="Arial"/>
          <w:b/>
          <w:color w:val="000000"/>
          <w:szCs w:val="20"/>
        </w:rPr>
        <w:t>:</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pPr>
        <w:pStyle w:val="73"/>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pPr>
        <w:pStyle w:val="73"/>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23"/>
        <w:tblW w:w="0" w:type="auto"/>
        <w:tblInd w:w="11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40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restart"/>
            <w:tcBorders>
              <w:top w:val="nil"/>
              <w:left w:val="nil"/>
              <w:bottom w:val="nil"/>
              <w:right w:val="nil"/>
            </w:tcBorders>
            <w:vAlign w:val="center"/>
          </w:tcPr>
          <w:p>
            <w:pPr>
              <w:pStyle w:val="73"/>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552" w:type="dxa"/>
        </w:trPr>
        <w:tc>
          <w:tcPr>
            <w:tcW w:w="1668" w:type="dxa"/>
            <w:vMerge w:val="continue"/>
            <w:tcBorders>
              <w:top w:val="nil"/>
              <w:left w:val="nil"/>
              <w:bottom w:val="nil"/>
              <w:right w:val="nil"/>
            </w:tcBorders>
          </w:tcPr>
          <w:p>
            <w:pPr>
              <w:pStyle w:val="73"/>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pPr>
              <w:pStyle w:val="73"/>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pPr>
        <w:pStyle w:val="73"/>
        <w:numPr>
          <w:ilvl w:val="3"/>
          <w:numId w:val="6"/>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pPr>
        <w:pStyle w:val="73"/>
        <w:spacing w:before="120" w:after="120"/>
        <w:ind w:left="785" w:firstLine="0"/>
        <w:rPr>
          <w:rFonts w:ascii="Verdana" w:hAnsi="Verdana" w:cs="Arial"/>
          <w:color w:val="000000" w:themeColor="text1"/>
          <w:szCs w:val="20"/>
        </w:rPr>
      </w:pPr>
    </w:p>
    <w:p>
      <w:pPr>
        <w:pStyle w:val="73"/>
        <w:numPr>
          <w:ilvl w:val="0"/>
          <w:numId w:val="6"/>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hAnsi="Verdana" w:cs="Calibri" w:eastAsiaTheme="minorHAnsi"/>
          <w:szCs w:val="20"/>
          <w:lang w:eastAsia="en-US"/>
        </w:rPr>
        <w:t>Os critérios de qualificação técnica a serem atendidos pela Licitante, estão previstos no subitem 19.3 do Termo de Referência (Anexo I).</w:t>
      </w:r>
    </w:p>
    <w:p>
      <w:pPr>
        <w:pStyle w:val="73"/>
        <w:keepNext w:val="0"/>
        <w:widowControl/>
        <w:spacing w:before="120" w:after="120"/>
        <w:ind w:left="2847" w:firstLine="0"/>
        <w:textAlignment w:val="auto"/>
        <w:rPr>
          <w:rFonts w:ascii="Verdana" w:hAnsi="Verdana" w:cs="Arial"/>
          <w:sz w:val="18"/>
          <w:szCs w:val="18"/>
          <w:lang w:eastAsia="ar-SA"/>
        </w:rPr>
      </w:pP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pPr>
        <w:pStyle w:val="73"/>
        <w:keepNext w:val="0"/>
        <w:widowControl/>
        <w:spacing w:before="120" w:after="120"/>
        <w:ind w:left="360" w:firstLine="0"/>
        <w:textAlignment w:val="auto"/>
        <w:rPr>
          <w:rFonts w:ascii="Verdana" w:hAnsi="Verdana" w:cs="Arial"/>
          <w:b/>
          <w:bCs/>
          <w:szCs w:val="20"/>
          <w:lang w:eastAsia="ar-SA"/>
        </w:rPr>
      </w:pPr>
    </w:p>
    <w:p>
      <w:pPr>
        <w:pStyle w:val="73"/>
        <w:keepNext w:val="0"/>
        <w:widowControl/>
        <w:numPr>
          <w:ilvl w:val="0"/>
          <w:numId w:val="6"/>
        </w:numPr>
        <w:spacing w:before="120" w:after="120"/>
        <w:textAlignment w:val="auto"/>
        <w:rPr>
          <w:rFonts w:ascii="Verdana" w:hAnsi="Verdana" w:cs="Arial"/>
          <w:b/>
          <w:bCs/>
          <w:szCs w:val="20"/>
          <w:lang w:eastAsia="ar-SA"/>
        </w:rPr>
      </w:pPr>
      <w:r>
        <w:rPr>
          <w:rFonts w:ascii="Verdana" w:hAnsi="Verdana" w:cs="Arial"/>
          <w:b/>
          <w:bCs/>
          <w:szCs w:val="20"/>
          <w:lang w:eastAsia="ar-SA"/>
        </w:rPr>
        <w:t>DA DOCUMENTAÇÃO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Somente haverá a necessidade de comprovação do preenchimento de requisitos mediante apresentação dos documentos originais não digitais quando houver dúvida em relação à integridade do documento digital.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ela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73"/>
        <w:keepNext w:val="0"/>
        <w:widowControl/>
        <w:spacing w:before="120" w:after="120"/>
        <w:ind w:left="360" w:firstLine="0"/>
        <w:textAlignment w:val="auto"/>
        <w:rPr>
          <w:rFonts w:ascii="Verdana" w:hAnsi="Verdana" w:cs="Arial"/>
          <w:szCs w:val="20"/>
          <w:lang w:eastAsia="ar-SA"/>
        </w:rPr>
      </w:pPr>
    </w:p>
    <w:p>
      <w:pPr>
        <w:pStyle w:val="73"/>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 planilha de orçamento de preços do grupo, devidamente ajustada ao lance vencedor, em conformidade com o modelo anexo III-B a este instrumento convocatório, juntamente com a planilha resumo e o cronograma físico financeiro (Anexo III-A e III-C) correspondente;</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valor do percentual do lance vencedor, para se obter o valor monetário proposto;</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o valor do percentual do lance final proposto deverá incidir igualmente sobre todos os preços unitários com BDI apurados pela Administração, não sendo admitida a incidência de valor diferente deste percentual.</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IV-A e B; e </w:t>
      </w:r>
    </w:p>
    <w:p>
      <w:pPr>
        <w:pStyle w:val="73"/>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V deste edital; </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pPr>
        <w:pStyle w:val="73"/>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pPr>
        <w:pStyle w:val="73"/>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pPr>
        <w:pStyle w:val="64"/>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pPr>
        <w:pStyle w:val="73"/>
        <w:keepNext w:val="0"/>
        <w:widowControl/>
        <w:numPr>
          <w:ilvl w:val="0"/>
          <w:numId w:val="6"/>
        </w:numPr>
        <w:shd w:val="clear" w:color="auto" w:fill="FFFFFF"/>
        <w:spacing w:before="120" w:after="120"/>
        <w:textAlignment w:val="auto"/>
        <w:rPr>
          <w:rFonts w:ascii="Verdana" w:hAnsi="Verdana" w:cs="Arial"/>
          <w:sz w:val="20"/>
          <w:szCs w:val="20"/>
        </w:rPr>
      </w:pPr>
      <w:r>
        <w:rPr>
          <w:rFonts w:ascii="Verdana" w:hAnsi="Verdana" w:cs="Arial"/>
          <w:b/>
          <w:color w:val="000000"/>
          <w:sz w:val="20"/>
          <w:szCs w:val="20"/>
          <w:lang w:eastAsia="en-US"/>
        </w:rPr>
        <w:t>DOS RECURSOS</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lang w:eastAsia="en-US"/>
        </w:rPr>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O acolhimento do recurso invalida tão somente os atos insuscetíveis de aproveitamento.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pPr>
        <w:pStyle w:val="73"/>
        <w:keepNext w:val="0"/>
        <w:widowControl/>
        <w:spacing w:before="120" w:after="120"/>
        <w:ind w:left="425" w:firstLine="0"/>
        <w:rPr>
          <w:rFonts w:ascii="Verdana" w:hAnsi="Verdana" w:cs="Arial"/>
          <w:szCs w:val="20"/>
        </w:rPr>
      </w:pPr>
    </w:p>
    <w:p>
      <w:pPr>
        <w:pStyle w:val="73"/>
        <w:keepNext w:val="0"/>
        <w:widowControl/>
        <w:numPr>
          <w:ilvl w:val="0"/>
          <w:numId w:val="6"/>
        </w:numPr>
        <w:shd w:val="clear" w:color="auto" w:fill="FFFFFF"/>
        <w:spacing w:before="120" w:after="120"/>
        <w:textAlignment w:val="auto"/>
        <w:rPr>
          <w:rFonts w:ascii="Verdana" w:hAnsi="Verdana" w:cs="Arial"/>
          <w:b/>
          <w:szCs w:val="20"/>
        </w:rPr>
      </w:pPr>
      <w:r>
        <w:rPr>
          <w:rFonts w:ascii="Verdana" w:hAnsi="Verdana" w:cs="Arial"/>
          <w:b/>
          <w:szCs w:val="20"/>
        </w:rPr>
        <w:t>DA REABERTURA DA SESSÃO PÚBLICA</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rPr>
        <w:t>A sessão pública poderá ser reaberta:</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73"/>
        <w:keepNext w:val="0"/>
        <w:widowControl/>
        <w:numPr>
          <w:ilvl w:val="2"/>
          <w:numId w:val="6"/>
        </w:numPr>
        <w:shd w:val="clear" w:color="auto" w:fill="FFFFFF"/>
        <w:spacing w:before="120" w:after="120"/>
        <w:textAlignment w:val="auto"/>
        <w:rPr>
          <w:rFonts w:ascii="Verdana" w:hAnsi="Verdana" w:cs="Arial"/>
          <w:szCs w:val="20"/>
        </w:rPr>
      </w:pPr>
      <w:r>
        <w:rPr>
          <w:rFonts w:ascii="Verdana" w:hAnsi="Verdana" w:cs="Arial"/>
          <w:sz w:val="18"/>
          <w:szCs w:val="18"/>
        </w:rPr>
        <w:t>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rPr>
        <w:t>Todos os licitantes remanescentes deverão ser convocados para acompanhar a sessão reaberta.</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pPr>
        <w:pStyle w:val="73"/>
        <w:keepNext w:val="0"/>
        <w:ind w:left="567" w:firstLine="0"/>
        <w:rPr>
          <w:rFonts w:ascii="Verdana" w:hAnsi="Verdana" w:cs="Arial"/>
          <w:szCs w:val="20"/>
        </w:rPr>
      </w:pPr>
    </w:p>
    <w:p>
      <w:pPr>
        <w:pStyle w:val="73"/>
        <w:keepNext w:val="0"/>
        <w:widowControl/>
        <w:numPr>
          <w:ilvl w:val="0"/>
          <w:numId w:val="6"/>
        </w:numPr>
        <w:shd w:val="clear" w:color="auto" w:fill="FFFFFF"/>
        <w:spacing w:before="120" w:after="120"/>
        <w:textAlignment w:val="auto"/>
        <w:rPr>
          <w:rFonts w:ascii="Verdana" w:hAnsi="Verdana" w:cs="Arial"/>
          <w:szCs w:val="20"/>
        </w:rPr>
      </w:pPr>
      <w:r>
        <w:rPr>
          <w:rFonts w:ascii="Verdana" w:hAnsi="Verdana" w:cs="Arial"/>
          <w:b/>
          <w:color w:val="000000"/>
          <w:szCs w:val="20"/>
        </w:rPr>
        <w:t>DA ADJUDICAÇÃO E HOMOLOGAÇÃO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Após a fase recursal, constatada a regularidade dos atos praticados, a autoridade competente homologará o procedimento licitatório.</w:t>
      </w:r>
    </w:p>
    <w:p>
      <w:pPr>
        <w:pStyle w:val="73"/>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pPr>
        <w:pStyle w:val="73"/>
        <w:keepNext w:val="0"/>
        <w:widowControl/>
        <w:numPr>
          <w:ilvl w:val="0"/>
          <w:numId w:val="6"/>
        </w:numPr>
        <w:shd w:val="clear" w:color="auto" w:fill="FFFFFF"/>
        <w:spacing w:before="120" w:after="120"/>
        <w:textAlignment w:val="auto"/>
        <w:rPr>
          <w:rFonts w:ascii="Verdana" w:hAnsi="Verdana" w:cs="Arial"/>
          <w:color w:val="000000"/>
          <w:szCs w:val="20"/>
        </w:rPr>
      </w:pPr>
      <w:r>
        <w:rPr>
          <w:rFonts w:ascii="Verdana" w:hAnsi="Verdana" w:cs="Arial"/>
          <w:b/>
          <w:szCs w:val="20"/>
        </w:rPr>
        <w:t>DA GARANTIA DE EXECUÇÃO</w:t>
      </w:r>
    </w:p>
    <w:p>
      <w:pPr>
        <w:pStyle w:val="73"/>
        <w:keepNext w:val="0"/>
        <w:widowControl/>
        <w:numPr>
          <w:ilvl w:val="1"/>
          <w:numId w:val="6"/>
        </w:numPr>
        <w:shd w:val="clear" w:color="auto" w:fill="FFFFFF"/>
        <w:spacing w:before="120" w:after="120"/>
        <w:textAlignment w:val="auto"/>
        <w:rPr>
          <w:rFonts w:ascii="Verdana" w:hAnsi="Verdana" w:cs="Arial"/>
          <w:color w:val="auto"/>
          <w:sz w:val="20"/>
          <w:szCs w:val="20"/>
        </w:rPr>
      </w:pPr>
      <w:r>
        <w:rPr>
          <w:rFonts w:ascii="Verdana" w:hAnsi="Verdana" w:cs="Arial"/>
          <w:color w:val="000000"/>
          <w:szCs w:val="20"/>
        </w:rPr>
        <w:t xml:space="preserve">Será </w:t>
      </w:r>
      <w:r>
        <w:rPr>
          <w:rFonts w:ascii="Verdana" w:hAnsi="Verdana" w:cs="Arial"/>
          <w:color w:val="auto"/>
          <w:sz w:val="20"/>
          <w:szCs w:val="20"/>
        </w:rPr>
        <w:t>exigida a prestação de garantia na presente contratação, conforme regras constantes do Termo de Referência.</w:t>
      </w:r>
    </w:p>
    <w:p>
      <w:pPr>
        <w:pStyle w:val="73"/>
        <w:keepNext w:val="0"/>
        <w:ind w:firstLine="0"/>
        <w:rPr>
          <w:rFonts w:ascii="Verdana" w:hAnsi="Verdana" w:cs="Arial"/>
          <w:bCs/>
          <w:iCs/>
          <w:color w:val="000000"/>
          <w:szCs w:val="20"/>
        </w:rPr>
      </w:pPr>
    </w:p>
    <w:p>
      <w:pPr>
        <w:pStyle w:val="73"/>
        <w:keepNext w:val="0"/>
        <w:widowControl/>
        <w:numPr>
          <w:ilvl w:val="0"/>
          <w:numId w:val="6"/>
        </w:numPr>
        <w:shd w:val="clear" w:color="auto" w:fill="FFFFFF"/>
        <w:spacing w:before="120" w:after="120"/>
        <w:textAlignment w:val="auto"/>
        <w:rPr>
          <w:rFonts w:ascii="Verdana" w:hAnsi="Verdana" w:cs="Arial"/>
          <w:szCs w:val="20"/>
        </w:rPr>
      </w:pPr>
      <w:r>
        <w:rPr>
          <w:rFonts w:ascii="Verdana" w:hAnsi="Verdana" w:cs="Arial"/>
          <w:b/>
          <w:color w:val="000000"/>
          <w:szCs w:val="20"/>
        </w:rPr>
        <w:t>DO TERMO DE CONTRATO OU INSTRUMENTO EQUIVALENTE</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rPr>
        <w:t>Após a homologação da licitação, em sendo realizada a contratação,</w:t>
      </w:r>
      <w:r>
        <w:rPr>
          <w:rFonts w:ascii="Verdana" w:hAnsi="Verdana" w:eastAsia="Arial" w:cs="Arial"/>
          <w:szCs w:val="20"/>
        </w:rPr>
        <w:t xml:space="preserve"> </w:t>
      </w:r>
      <w:r>
        <w:rPr>
          <w:rFonts w:ascii="Verdana" w:hAnsi="Verdana" w:cs="Arial"/>
          <w:szCs w:val="20"/>
        </w:rPr>
        <w:t>será firmado o Termo de Contrato com a empresa licitante vencedora.</w:t>
      </w:r>
    </w:p>
    <w:p>
      <w:pPr>
        <w:pStyle w:val="73"/>
        <w:keepNext w:val="0"/>
        <w:widowControl/>
        <w:numPr>
          <w:ilvl w:val="1"/>
          <w:numId w:val="6"/>
        </w:numPr>
        <w:shd w:val="clear" w:color="auto" w:fill="FFFFFF"/>
        <w:spacing w:before="120" w:after="120"/>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pPr>
        <w:pStyle w:val="73"/>
        <w:keepNext w:val="0"/>
        <w:widowControl/>
        <w:numPr>
          <w:ilvl w:val="2"/>
          <w:numId w:val="6"/>
        </w:numPr>
        <w:shd w:val="clear" w:color="auto" w:fill="FFFFFF"/>
        <w:spacing w:before="120" w:after="120"/>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pPr>
        <w:pStyle w:val="73"/>
        <w:keepNext w:val="0"/>
        <w:widowControl/>
        <w:numPr>
          <w:ilvl w:val="2"/>
          <w:numId w:val="6"/>
        </w:numPr>
        <w:shd w:val="clear" w:color="auto" w:fill="FFFFFF"/>
        <w:spacing w:before="120" w:after="120"/>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pPr>
        <w:keepNext w:val="0"/>
        <w:shd w:val="clear" w:color="auto" w:fill="auto"/>
        <w:tabs>
          <w:tab w:val="left" w:pos="1440"/>
          <w:tab w:val="clear" w:pos="708"/>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pPr>
        <w:pStyle w:val="73"/>
        <w:keepNext w:val="0"/>
        <w:widowControl/>
        <w:numPr>
          <w:ilvl w:val="1"/>
          <w:numId w:val="6"/>
        </w:numPr>
        <w:shd w:val="clear" w:color="auto" w:fill="FFFFFF"/>
        <w:spacing w:before="120" w:after="120"/>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pPr>
        <w:pStyle w:val="73"/>
        <w:keepNext w:val="0"/>
        <w:widowControl/>
        <w:numPr>
          <w:ilvl w:val="2"/>
          <w:numId w:val="6"/>
        </w:numPr>
        <w:shd w:val="clear" w:color="auto" w:fill="FFFFFF"/>
        <w:spacing w:before="120" w:after="120"/>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pPr>
        <w:pStyle w:val="73"/>
        <w:keepNext w:val="0"/>
        <w:widowControl/>
        <w:numPr>
          <w:ilvl w:val="2"/>
          <w:numId w:val="6"/>
        </w:numPr>
        <w:shd w:val="clear" w:color="auto" w:fill="FFFFFF"/>
        <w:spacing w:before="120" w:after="120"/>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pPr>
        <w:pStyle w:val="73"/>
        <w:keepNext w:val="0"/>
        <w:widowControl/>
        <w:numPr>
          <w:ilvl w:val="2"/>
          <w:numId w:val="6"/>
        </w:numPr>
        <w:shd w:val="clear" w:color="auto" w:fill="FFFFFF"/>
        <w:spacing w:before="120" w:after="120"/>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pPr>
        <w:pStyle w:val="73"/>
        <w:keepNext w:val="0"/>
        <w:widowControl/>
        <w:numPr>
          <w:ilvl w:val="1"/>
          <w:numId w:val="6"/>
        </w:numPr>
        <w:shd w:val="clear" w:color="auto" w:fill="FFFFFF"/>
        <w:spacing w:before="120" w:after="120"/>
        <w:textAlignment w:val="auto"/>
        <w:rPr>
          <w:rFonts w:ascii="Verdana" w:hAnsi="Verdana" w:cs="Arial"/>
          <w:iCs/>
          <w:sz w:val="18"/>
          <w:szCs w:val="18"/>
        </w:rPr>
      </w:pPr>
      <w:r>
        <w:rPr>
          <w:rFonts w:ascii="Verdana" w:hAnsi="Verdana" w:eastAsia="Arial" w:cs="Arial"/>
          <w:color w:val="000000"/>
          <w:sz w:val="20"/>
          <w:szCs w:val="20"/>
        </w:rPr>
        <w:t>O prazo de vigência da contratação será superior ao de execução dos serviços, que no caso é de 06 (seis) meses.</w:t>
      </w:r>
    </w:p>
    <w:p>
      <w:pPr>
        <w:pStyle w:val="73"/>
        <w:keepNext w:val="0"/>
        <w:widowControl/>
        <w:numPr>
          <w:ilvl w:val="1"/>
          <w:numId w:val="6"/>
        </w:numPr>
        <w:shd w:val="clear" w:color="auto" w:fill="FFFFFF"/>
        <w:spacing w:before="120" w:after="120"/>
        <w:textAlignment w:val="auto"/>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73"/>
        <w:keepNext w:val="0"/>
        <w:widowControl/>
        <w:numPr>
          <w:ilvl w:val="2"/>
          <w:numId w:val="6"/>
        </w:numPr>
        <w:shd w:val="clear" w:color="auto" w:fill="FFFFFF"/>
        <w:spacing w:before="120" w:after="120"/>
        <w:textAlignment w:val="auto"/>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pPr>
        <w:pStyle w:val="73"/>
        <w:keepNext w:val="0"/>
        <w:widowControl/>
        <w:numPr>
          <w:ilvl w:val="2"/>
          <w:numId w:val="6"/>
        </w:numPr>
        <w:shd w:val="clear" w:color="auto" w:fill="FFFFFF"/>
        <w:spacing w:before="120" w:after="120"/>
        <w:textAlignment w:val="auto"/>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pPr>
        <w:pStyle w:val="94"/>
        <w:ind w:left="1134"/>
        <w:jc w:val="both"/>
        <w:rPr>
          <w:rFonts w:ascii="Verdana" w:hAnsi="Verdana" w:cs="Arial"/>
          <w:iCs/>
          <w:sz w:val="20"/>
          <w:szCs w:val="20"/>
        </w:rPr>
      </w:pPr>
    </w:p>
    <w:p>
      <w:pPr>
        <w:pStyle w:val="73"/>
        <w:keepNext w:val="0"/>
        <w:widowControl/>
        <w:numPr>
          <w:ilvl w:val="1"/>
          <w:numId w:val="6"/>
        </w:numPr>
        <w:shd w:val="clear" w:color="auto" w:fill="FFFFFF"/>
        <w:spacing w:before="120" w:after="120"/>
        <w:textAlignment w:val="auto"/>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pPr>
        <w:pStyle w:val="94"/>
        <w:ind w:left="1134"/>
        <w:jc w:val="both"/>
        <w:rPr>
          <w:rFonts w:ascii="Verdana" w:hAnsi="Verdana" w:cs="Arial"/>
          <w:iCs/>
          <w:sz w:val="20"/>
          <w:szCs w:val="20"/>
        </w:rPr>
      </w:pPr>
    </w:p>
    <w:p>
      <w:pPr>
        <w:pStyle w:val="73"/>
        <w:keepNext w:val="0"/>
        <w:widowControl/>
        <w:numPr>
          <w:ilvl w:val="1"/>
          <w:numId w:val="6"/>
        </w:numPr>
        <w:shd w:val="clear" w:color="auto" w:fill="FFFFFF"/>
        <w:spacing w:before="120" w:after="120"/>
        <w:textAlignment w:val="auto"/>
        <w:rPr>
          <w:rFonts w:ascii="Verdana" w:hAnsi="Verdana" w:cs="Arial"/>
          <w:color w:val="auto"/>
          <w:sz w:val="20"/>
          <w:szCs w:val="20"/>
        </w:rPr>
      </w:pPr>
      <w:r>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hAnsi="Verdana" w:eastAsia="Arial" w:cs="Arial"/>
          <w:color w:val="000000"/>
          <w:sz w:val="20"/>
          <w:szCs w:val="20"/>
        </w:rPr>
        <w:t>.</w:t>
      </w:r>
    </w:p>
    <w:p>
      <w:pPr>
        <w:pStyle w:val="73"/>
        <w:keepNext w:val="0"/>
        <w:widowControl/>
        <w:numPr>
          <w:ilvl w:val="0"/>
          <w:numId w:val="6"/>
        </w:numPr>
        <w:shd w:val="clear" w:color="auto" w:fill="FFFFFF"/>
        <w:spacing w:before="120" w:after="120"/>
        <w:textAlignment w:val="auto"/>
        <w:rPr>
          <w:rFonts w:ascii="Verdana" w:hAnsi="Verdana" w:cs="Arial"/>
          <w:szCs w:val="20"/>
        </w:rPr>
      </w:pPr>
      <w:r>
        <w:rPr>
          <w:rFonts w:ascii="Verdana" w:hAnsi="Verdana" w:cs="Arial"/>
          <w:b/>
          <w:color w:val="000000"/>
          <w:szCs w:val="20"/>
        </w:rPr>
        <w:t>DO REAJUSTAMENTO EM SENTIDO GERAL</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pPr>
        <w:pStyle w:val="73"/>
        <w:keepNext w:val="0"/>
        <w:widowControl/>
        <w:numPr>
          <w:ilvl w:val="0"/>
          <w:numId w:val="6"/>
        </w:numPr>
        <w:shd w:val="clear" w:color="auto" w:fill="FFFFFF"/>
        <w:spacing w:before="120" w:after="120"/>
        <w:textAlignment w:val="auto"/>
        <w:rPr>
          <w:rFonts w:ascii="Verdana" w:hAnsi="Verdana" w:cs="Arial"/>
          <w:b/>
          <w:bCs/>
          <w:sz w:val="20"/>
          <w:szCs w:val="20"/>
        </w:rPr>
      </w:pPr>
      <w:r>
        <w:rPr>
          <w:rFonts w:ascii="Verdana" w:hAnsi="Verdana" w:cs="Arial"/>
          <w:b/>
          <w:bCs/>
          <w:sz w:val="20"/>
          <w:szCs w:val="20"/>
        </w:rPr>
        <w:t>DA ACEITAÇÃO DO OBJETO E DA FISCALIZAÇÃO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lang w:eastAsia="en-US"/>
        </w:rPr>
        <w:t>Os critérios de aceitação do objeto e de fiscalização estão previstos no Termo de Referência.</w:t>
      </w:r>
    </w:p>
    <w:p>
      <w:pPr>
        <w:pStyle w:val="73"/>
        <w:keepNext w:val="0"/>
        <w:ind w:left="567" w:firstLine="0"/>
        <w:rPr>
          <w:rFonts w:ascii="Verdana" w:hAnsi="Verdana" w:cs="Arial"/>
          <w:szCs w:val="20"/>
        </w:rPr>
      </w:pPr>
    </w:p>
    <w:p>
      <w:pPr>
        <w:pStyle w:val="73"/>
        <w:keepNext w:val="0"/>
        <w:widowControl/>
        <w:numPr>
          <w:ilvl w:val="0"/>
          <w:numId w:val="6"/>
        </w:numPr>
        <w:shd w:val="clear" w:color="auto" w:fill="FFFFFF"/>
        <w:spacing w:before="120" w:after="120"/>
        <w:textAlignment w:val="auto"/>
        <w:rPr>
          <w:rFonts w:ascii="Verdana" w:hAnsi="Verdana" w:cs="Arial"/>
          <w:szCs w:val="20"/>
        </w:rPr>
      </w:pPr>
      <w:r>
        <w:rPr>
          <w:rFonts w:ascii="Verdana" w:hAnsi="Verdana" w:cs="Arial"/>
          <w:b/>
          <w:color w:val="000000"/>
          <w:szCs w:val="20"/>
          <w:lang w:eastAsia="en-US"/>
        </w:rPr>
        <w:t xml:space="preserve"> DAS OBRIGAÇÕES DA CONTRATANTE E DA CONTRATADA</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pPr>
        <w:pStyle w:val="73"/>
        <w:keepNext w:val="0"/>
        <w:ind w:left="567" w:firstLine="0"/>
        <w:rPr>
          <w:rFonts w:ascii="Verdana" w:hAnsi="Verdana" w:cs="Arial"/>
          <w:szCs w:val="20"/>
        </w:rPr>
      </w:pPr>
    </w:p>
    <w:p>
      <w:pPr>
        <w:pStyle w:val="73"/>
        <w:keepNext w:val="0"/>
        <w:widowControl/>
        <w:numPr>
          <w:ilvl w:val="0"/>
          <w:numId w:val="6"/>
        </w:numPr>
        <w:shd w:val="clear" w:color="auto" w:fill="FFFFFF"/>
        <w:spacing w:before="120" w:after="120"/>
        <w:textAlignment w:val="auto"/>
        <w:rPr>
          <w:rFonts w:ascii="Verdana" w:hAnsi="Verdana" w:cs="Arial"/>
          <w:szCs w:val="20"/>
        </w:rPr>
      </w:pPr>
      <w:r>
        <w:rPr>
          <w:rFonts w:ascii="Verdana" w:hAnsi="Verdana" w:cs="Arial"/>
          <w:b/>
          <w:color w:val="000000"/>
          <w:szCs w:val="20"/>
        </w:rPr>
        <w:t>DO PAGAMENTO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As regras</w:t>
      </w:r>
      <w:r>
        <w:rPr>
          <w:rFonts w:ascii="Verdana" w:hAnsi="Verdana" w:eastAsia="Arial" w:cs="Arial"/>
          <w:color w:val="000000"/>
          <w:szCs w:val="20"/>
        </w:rPr>
        <w:t xml:space="preserve"> acerca</w:t>
      </w:r>
      <w:r>
        <w:rPr>
          <w:rFonts w:ascii="Verdana" w:hAnsi="Verdana" w:cs="Arial"/>
          <w:color w:val="000000"/>
          <w:szCs w:val="20"/>
        </w:rPr>
        <w:t xml:space="preserve"> do pagamento são as estabelecidas no Termo de Referência, anexo a este Edital.</w:t>
      </w:r>
    </w:p>
    <w:p>
      <w:pPr>
        <w:pStyle w:val="73"/>
        <w:keepNext w:val="0"/>
        <w:widowControl/>
        <w:numPr>
          <w:ilvl w:val="1"/>
          <w:numId w:val="6"/>
        </w:numPr>
        <w:shd w:val="clear" w:color="auto" w:fill="FFFFFF"/>
        <w:spacing w:before="120" w:after="120"/>
        <w:textAlignment w:val="auto"/>
        <w:rPr>
          <w:rFonts w:ascii="Verdana" w:hAnsi="Verdana" w:cs="Arial"/>
          <w:szCs w:val="20"/>
        </w:rPr>
      </w:pPr>
      <w:r>
        <w:rPr>
          <w:rStyle w:val="61"/>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pPr>
        <w:pStyle w:val="73"/>
        <w:keepNext w:val="0"/>
        <w:ind w:left="660" w:firstLine="0"/>
        <w:rPr>
          <w:rFonts w:ascii="Verdana" w:hAnsi="Verdana" w:cs="Arial"/>
          <w:szCs w:val="20"/>
        </w:rPr>
      </w:pPr>
    </w:p>
    <w:p>
      <w:pPr>
        <w:pStyle w:val="73"/>
        <w:keepNext w:val="0"/>
        <w:widowControl/>
        <w:numPr>
          <w:ilvl w:val="0"/>
          <w:numId w:val="6"/>
        </w:numPr>
        <w:shd w:val="clear" w:color="auto" w:fill="FFFFFF"/>
        <w:spacing w:before="120" w:after="120"/>
        <w:textAlignment w:val="auto"/>
        <w:rPr>
          <w:rFonts w:ascii="Verdana" w:hAnsi="Verdana" w:cs="Arial"/>
          <w:szCs w:val="20"/>
        </w:rPr>
      </w:pPr>
      <w:r>
        <w:rPr>
          <w:rFonts w:ascii="Verdana" w:hAnsi="Verdana" w:cs="Arial"/>
          <w:b/>
          <w:color w:val="000000"/>
          <w:szCs w:val="20"/>
        </w:rPr>
        <w:t>DAS SANÇÕES ADMINISTRATIVAS DURANTE A LICITAÇÃO.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pPr>
        <w:pStyle w:val="73"/>
        <w:keepNext w:val="0"/>
        <w:widowControl/>
        <w:numPr>
          <w:ilvl w:val="2"/>
          <w:numId w:val="6"/>
        </w:numPr>
        <w:shd w:val="clear" w:color="auto" w:fill="FFFFFF"/>
        <w:spacing w:before="120" w:after="120"/>
        <w:textAlignment w:val="auto"/>
        <w:rPr>
          <w:rFonts w:ascii="Verdana" w:hAnsi="Verdana" w:eastAsia="WenQuanYi Micro Hei" w:cs="Arial"/>
          <w:color w:val="auto"/>
          <w:sz w:val="18"/>
          <w:szCs w:val="18"/>
          <w:lang w:eastAsia="zh-CN" w:bidi="hi-IN"/>
        </w:rPr>
      </w:pPr>
      <w:r>
        <w:rPr>
          <w:rFonts w:ascii="Verdana" w:hAnsi="Verdana" w:eastAsia="WenQuanYi Micro Hei" w:cs="Arial"/>
          <w:color w:val="auto"/>
          <w:sz w:val="18"/>
          <w:szCs w:val="18"/>
          <w:lang w:eastAsia="zh-CN" w:bidi="hi-IN"/>
        </w:rPr>
        <w:t>não assinar a ata de registro de preços, quando cabível;</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shd w:val="clear" w:color="auto" w:fill="FFFFFF"/>
        </w:rPr>
        <w:t>apresentar documentação falsa</w:t>
      </w:r>
      <w:r>
        <w:rPr>
          <w:rFonts w:ascii="Verdana" w:hAnsi="Verdana" w:eastAsia="Times New Roman" w:cs="Arial"/>
          <w:sz w:val="18"/>
          <w:szCs w:val="18"/>
          <w:shd w:val="clear" w:color="auto" w:fill="FFFFFF"/>
        </w:rPr>
        <w:t>;</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hAnsi="Verdana" w:eastAsia="Times New Roman" w:cs="Arial"/>
          <w:sz w:val="18"/>
          <w:szCs w:val="18"/>
          <w:shd w:val="clear" w:color="auto" w:fill="FFFFFF"/>
        </w:rPr>
        <w:t>;</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ensejar o retardamento da execução do objeto;</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shd w:val="clear" w:color="auto" w:fill="FFFFFF"/>
        </w:rPr>
        <w:t>não mantiver a proposta</w:t>
      </w:r>
      <w:r>
        <w:rPr>
          <w:rFonts w:ascii="Verdana" w:hAnsi="Verdana" w:eastAsia="Times New Roman" w:cs="Arial"/>
          <w:sz w:val="18"/>
          <w:szCs w:val="18"/>
          <w:shd w:val="clear" w:color="auto" w:fill="FFFFFF"/>
        </w:rPr>
        <w:t>;</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shd w:val="clear" w:color="auto" w:fill="FFFFFF"/>
        </w:rPr>
        <w:t>cometer fraude fiscal;</w:t>
      </w:r>
    </w:p>
    <w:p>
      <w:pPr>
        <w:pStyle w:val="73"/>
        <w:keepNext w:val="0"/>
        <w:widowControl/>
        <w:numPr>
          <w:ilvl w:val="2"/>
          <w:numId w:val="6"/>
        </w:numPr>
        <w:shd w:val="clear" w:color="auto" w:fill="FFFFFF"/>
        <w:spacing w:before="120" w:after="120"/>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rPr>
        <w:t>O licitante/adjudicatário que cometer qualquer das infrações discriminadas nos subitens anteriores ficará sujeito, sem prejuízo da responsabilidade civil e criminal, às seguintes sanções:</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shd w:val="clear" w:color="auto" w:fill="FFFFFF"/>
        </w:rPr>
        <w:t>A penalidade de multa pode ser aplicada cumulativamente com as demais sanções.</w:t>
      </w:r>
    </w:p>
    <w:p>
      <w:pPr>
        <w:pStyle w:val="73"/>
        <w:keepNext w:val="0"/>
        <w:widowControl/>
        <w:numPr>
          <w:ilvl w:val="1"/>
          <w:numId w:val="6"/>
        </w:numPr>
        <w:shd w:val="clear" w:color="auto" w:fill="FFFFFF"/>
        <w:spacing w:before="120" w:after="120"/>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73"/>
        <w:keepNext w:val="0"/>
        <w:widowControl/>
        <w:numPr>
          <w:ilvl w:val="1"/>
          <w:numId w:val="6"/>
        </w:numPr>
        <w:shd w:val="clear" w:color="auto" w:fill="FFFFFF"/>
        <w:spacing w:before="120" w:after="120"/>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73"/>
        <w:keepNext w:val="0"/>
        <w:widowControl/>
        <w:numPr>
          <w:ilvl w:val="1"/>
          <w:numId w:val="6"/>
        </w:numPr>
        <w:shd w:val="clear" w:color="auto" w:fill="FFFFFF"/>
        <w:spacing w:before="120" w:after="120"/>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73"/>
        <w:keepNext w:val="0"/>
        <w:widowControl/>
        <w:numPr>
          <w:ilvl w:val="1"/>
          <w:numId w:val="6"/>
        </w:numPr>
        <w:shd w:val="clear" w:color="auto" w:fill="FFFFFF"/>
        <w:spacing w:before="120" w:after="120"/>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rPr>
        <w:t>As penalidades serão obrigatoriamente registradas no SICAF.</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szCs w:val="20"/>
        </w:rPr>
        <w:t>As sanções por atos praticados no decorrer da contratação estão previstas no Termo de Referência.</w:t>
      </w:r>
    </w:p>
    <w:p>
      <w:pPr>
        <w:pStyle w:val="73"/>
        <w:keepNext w:val="0"/>
        <w:widowControl/>
        <w:spacing w:before="120" w:after="120"/>
        <w:ind w:left="660" w:firstLine="0"/>
        <w:rPr>
          <w:rFonts w:ascii="Verdana" w:hAnsi="Verdana" w:cs="Arial"/>
          <w:szCs w:val="20"/>
        </w:rPr>
      </w:pPr>
    </w:p>
    <w:p>
      <w:pPr>
        <w:pStyle w:val="73"/>
        <w:keepNext w:val="0"/>
        <w:widowControl/>
        <w:numPr>
          <w:ilvl w:val="0"/>
          <w:numId w:val="6"/>
        </w:numPr>
        <w:shd w:val="clear" w:color="auto" w:fill="FFFFFF"/>
        <w:spacing w:before="120" w:after="120"/>
        <w:textAlignment w:val="auto"/>
        <w:rPr>
          <w:rFonts w:ascii="Verdana" w:hAnsi="Verdana" w:cs="Arial"/>
          <w:szCs w:val="20"/>
        </w:rPr>
      </w:pPr>
      <w:r>
        <w:rPr>
          <w:rFonts w:ascii="Verdana" w:hAnsi="Verdana" w:cs="Arial"/>
          <w:b/>
          <w:color w:val="000000"/>
          <w:szCs w:val="20"/>
        </w:rPr>
        <w:t xml:space="preserve"> DA IMPUGNAÇÃO AO EDITAL E DO PEDIDO DE ESCLARECIMENTO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hAnsi="Verdana" w:eastAsia="Times New Roman" w:cs="Arial"/>
          <w:szCs w:val="20"/>
        </w:rPr>
        <w:t>cpl@id.uff.br</w:t>
      </w:r>
      <w:r>
        <w:rPr>
          <w:rFonts w:hint="default" w:ascii="Verdana" w:hAnsi="Verdana" w:eastAsia="Times New Roman" w:cs="Arial"/>
          <w:szCs w:val="20"/>
          <w:lang w:val="pt-BR"/>
        </w:rPr>
        <w:t>.</w:t>
      </w:r>
    </w:p>
    <w:p>
      <w:pPr>
        <w:pStyle w:val="73"/>
        <w:keepNext w:val="0"/>
        <w:widowControl/>
        <w:numPr>
          <w:ilvl w:val="1"/>
          <w:numId w:val="6"/>
        </w:numPr>
        <w:shd w:val="clear" w:color="auto" w:fill="FFFFFF"/>
        <w:spacing w:before="120" w:after="120"/>
        <w:textAlignment w:val="auto"/>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r>
        <w:rPr>
          <w:rFonts w:ascii="Verdana" w:hAnsi="Verdana" w:cs="Arial"/>
          <w:sz w:val="20"/>
          <w:szCs w:val="20"/>
        </w:rPr>
        <w:t xml:space="preserve"> </w:t>
      </w:r>
      <w:r>
        <w:rPr>
          <w:rFonts w:ascii="Verdana" w:hAnsi="Verdana" w:cs="Arial"/>
          <w:color w:val="000000"/>
          <w:sz w:val="20"/>
          <w:szCs w:val="20"/>
        </w:rPr>
        <w:t>.</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Acolhida a impugnação, será definida e publicada nova data para a realização do certame.</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As impugnações e pedidos de esclarecimentos não suspendem os prazos previstos no certame.</w:t>
      </w:r>
    </w:p>
    <w:p>
      <w:pPr>
        <w:pStyle w:val="73"/>
        <w:keepNext w:val="0"/>
        <w:widowControl/>
        <w:numPr>
          <w:ilvl w:val="2"/>
          <w:numId w:val="6"/>
        </w:numPr>
        <w:shd w:val="clear" w:color="auto" w:fill="FFFFFF"/>
        <w:spacing w:before="120" w:after="120"/>
        <w:textAlignment w:val="auto"/>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pPr>
        <w:pStyle w:val="73"/>
        <w:keepNext w:val="0"/>
        <w:widowControl/>
        <w:spacing w:before="120" w:after="120"/>
        <w:ind w:left="425" w:firstLine="0"/>
        <w:rPr>
          <w:rFonts w:ascii="Verdana" w:hAnsi="Verdana" w:cs="Arial"/>
          <w:b/>
          <w:szCs w:val="20"/>
        </w:rPr>
      </w:pPr>
    </w:p>
    <w:p>
      <w:pPr>
        <w:pStyle w:val="73"/>
        <w:keepNext w:val="0"/>
        <w:widowControl/>
        <w:numPr>
          <w:ilvl w:val="0"/>
          <w:numId w:val="6"/>
        </w:numPr>
        <w:shd w:val="clear" w:color="auto" w:fill="FFFFFF"/>
        <w:spacing w:before="120" w:after="120"/>
        <w:textAlignment w:val="auto"/>
        <w:rPr>
          <w:rFonts w:ascii="Verdana" w:hAnsi="Verdana" w:cs="Arial"/>
          <w:b/>
          <w:szCs w:val="20"/>
        </w:rPr>
      </w:pPr>
      <w:r>
        <w:rPr>
          <w:rFonts w:ascii="Verdana" w:hAnsi="Verdana" w:cs="Arial"/>
          <w:b/>
          <w:color w:val="000000"/>
          <w:szCs w:val="20"/>
        </w:rPr>
        <w:t>DAS DISPOSIÇÕES GERAIS</w:t>
      </w:r>
    </w:p>
    <w:p>
      <w:pPr>
        <w:pStyle w:val="73"/>
        <w:keepNext w:val="0"/>
        <w:widowControl/>
        <w:numPr>
          <w:ilvl w:val="1"/>
          <w:numId w:val="6"/>
        </w:numPr>
        <w:shd w:val="clear" w:color="auto" w:fill="FFFFFF"/>
        <w:spacing w:before="120" w:after="120"/>
        <w:textAlignment w:val="auto"/>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pPr>
        <w:pStyle w:val="73"/>
        <w:keepNext w:val="0"/>
        <w:widowControl/>
        <w:numPr>
          <w:ilvl w:val="1"/>
          <w:numId w:val="6"/>
        </w:numPr>
        <w:shd w:val="clear" w:color="auto" w:fill="FFFFFF"/>
        <w:spacing w:before="120" w:after="120"/>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A homologação do resultado desta licitação não implicará direito à contratação.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 xml:space="preserve">O Edital está disponibilizado, na íntegra, no endereço eletrônico </w:t>
      </w:r>
      <w:r>
        <w:rPr>
          <w:rFonts w:ascii="Verdana" w:hAnsi="Verdana" w:cs="Arial"/>
          <w:szCs w:val="20"/>
        </w:rPr>
        <w:t>comprasgovernamentais.gov.br</w:t>
      </w:r>
      <w:r>
        <w:rPr>
          <w:rFonts w:ascii="Verdana" w:hAnsi="Verdana" w:cs="Arial"/>
          <w:color w:val="000000"/>
          <w:szCs w:val="20"/>
        </w:rPr>
        <w:t>, e</w:t>
      </w:r>
      <w:r>
        <w:rPr>
          <w:rFonts w:ascii="Verdana" w:hAnsi="Verdana" w:cs="Arial"/>
          <w:szCs w:val="20"/>
        </w:rPr>
        <w:t xml:space="preserve"> poderão ser lidos e/ou obtidos no endereço </w:t>
      </w:r>
      <w:r>
        <w:rPr>
          <w:rFonts w:ascii="Verdana" w:hAnsi="Verdana" w:eastAsia="Times New Roman" w:cs="Arial"/>
          <w:szCs w:val="20"/>
        </w:rPr>
        <w:t>Rua Miguel de Frias n.º 09, 1º andar, sala da Coordenação de Licitação, Niterói-RJ</w:t>
      </w:r>
      <w:r>
        <w:rPr>
          <w:rFonts w:ascii="Verdana" w:hAnsi="Verdana" w:cs="Arial"/>
          <w:szCs w:val="20"/>
        </w:rPr>
        <w:t>, nos dias úteis, no horário</w:t>
      </w:r>
      <w:r>
        <w:rPr>
          <w:rFonts w:ascii="Verdana" w:hAnsi="Verdana" w:cs="Arial"/>
          <w:color w:val="000000"/>
          <w:szCs w:val="20"/>
        </w:rPr>
        <w:t xml:space="preserve"> das 09:00 horas às 17:00 horas, mesmo endereço e período no qual os autos do processo administrativo permanecerão com vista franqueada aos interessados.</w:t>
      </w:r>
    </w:p>
    <w:p>
      <w:pPr>
        <w:pStyle w:val="73"/>
        <w:keepNext w:val="0"/>
        <w:widowControl/>
        <w:numPr>
          <w:ilvl w:val="1"/>
          <w:numId w:val="6"/>
        </w:numPr>
        <w:shd w:val="clear" w:color="auto" w:fill="FFFFFF"/>
        <w:spacing w:before="120" w:after="120"/>
        <w:textAlignment w:val="auto"/>
        <w:rPr>
          <w:rFonts w:ascii="Verdana" w:hAnsi="Verdana" w:cs="Arial"/>
          <w:szCs w:val="20"/>
        </w:rPr>
      </w:pPr>
      <w:r>
        <w:rPr>
          <w:rFonts w:ascii="Verdana" w:hAnsi="Verdana" w:cs="Arial"/>
          <w:color w:val="000000"/>
          <w:szCs w:val="20"/>
        </w:rPr>
        <w:t>Integram este Edital, para todos os fins e efeitos, os seguintes anexos:</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 – Termo de Referência;</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II – Memorial Descritivo;</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III-A – Planilha Resumo do Orçamento;</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 xml:space="preserve">Anexo III-B – Planilha de Orçamento; </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III-C – Cronograma Físico e Financeiro;</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IV A e B - Modelo de planilha de Composição de BDI;</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V – Modelo de planilha de Composição de Encargos Sociais;</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VI – Modelo da Carta de Apresentação da Proposta;</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VII – Modelo de Declaração de Vistoria;</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VIII – Modelo de Declaração de não realização de Vistoria;</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IX - Modelo de Declaração de Responsabilidade; e</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Anexo X - Minuta de Termo de Contrato;</w:t>
      </w:r>
    </w:p>
    <w:p>
      <w:pPr>
        <w:pStyle w:val="73"/>
        <w:keepNext w:val="0"/>
        <w:widowControl/>
        <w:numPr>
          <w:ilvl w:val="2"/>
          <w:numId w:val="6"/>
        </w:numPr>
        <w:shd w:val="clear" w:color="auto" w:fill="FFFFFF"/>
        <w:spacing w:before="120" w:after="120"/>
        <w:textAlignment w:val="auto"/>
        <w:rPr>
          <w:rFonts w:ascii="Verdana" w:hAnsi="Verdana" w:cs="Arial"/>
          <w:sz w:val="18"/>
          <w:szCs w:val="18"/>
        </w:rPr>
      </w:pPr>
      <w:r>
        <w:rPr>
          <w:rFonts w:ascii="Verdana" w:hAnsi="Verdana" w:cs="Arial"/>
          <w:color w:val="000000"/>
          <w:sz w:val="18"/>
          <w:szCs w:val="18"/>
        </w:rPr>
        <w:t xml:space="preserve">Anexo XI – Projetos Executivos (11 </w:t>
      </w:r>
      <w:bookmarkStart w:id="6" w:name="_GoBack"/>
      <w:bookmarkEnd w:id="6"/>
      <w:r>
        <w:rPr>
          <w:rFonts w:ascii="Verdana" w:hAnsi="Verdana" w:cs="Arial"/>
          <w:color w:val="000000"/>
          <w:sz w:val="18"/>
          <w:szCs w:val="18"/>
        </w:rPr>
        <w:t>arquivos)</w:t>
      </w:r>
      <w:r>
        <w:rPr>
          <w:rFonts w:hint="default" w:ascii="Verdana" w:hAnsi="Verdana" w:cs="Arial"/>
          <w:color w:val="000000"/>
          <w:sz w:val="18"/>
          <w:szCs w:val="18"/>
          <w:lang w:val="pt-BR"/>
        </w:rPr>
        <w:t xml:space="preserve"> - link(</w:t>
      </w:r>
      <w:r>
        <w:rPr>
          <w:rFonts w:hint="default" w:ascii="Verdana" w:hAnsi="Verdana"/>
          <w:b/>
          <w:bCs/>
          <w:color w:val="000000"/>
          <w:sz w:val="20"/>
          <w:szCs w:val="20"/>
          <w:lang w:val="pt-BR"/>
        </w:rPr>
        <w:t>https://drive.google.com/file/d/1IM1B80i9-QPYAYGZYDf83nUC4V3QyT0n/view?usp=sharing</w:t>
      </w:r>
      <w:r>
        <w:rPr>
          <w:rFonts w:hint="default" w:ascii="Verdana" w:hAnsi="Verdana"/>
          <w:color w:val="000000"/>
          <w:sz w:val="18"/>
          <w:szCs w:val="18"/>
          <w:lang w:val="pt-BR"/>
        </w:rPr>
        <w:t>)</w:t>
      </w:r>
      <w:r>
        <w:rPr>
          <w:rFonts w:ascii="Verdana" w:hAnsi="Verdana" w:cs="Arial"/>
          <w:color w:val="000000"/>
          <w:sz w:val="18"/>
          <w:szCs w:val="18"/>
        </w:rPr>
        <w:t>:</w:t>
      </w:r>
    </w:p>
    <w:p>
      <w:pPr>
        <w:pStyle w:val="114"/>
        <w:numPr>
          <w:ilvl w:val="0"/>
          <w:numId w:val="8"/>
        </w:numPr>
        <w:spacing w:after="13"/>
        <w:rPr>
          <w:sz w:val="20"/>
          <w:szCs w:val="20"/>
        </w:rPr>
      </w:pPr>
      <w:r>
        <w:rPr>
          <w:sz w:val="20"/>
          <w:szCs w:val="20"/>
        </w:rPr>
        <w:t xml:space="preserve">Projeto de Arquitetura (plantas, cortes e fachadas, detalhes, perspectivas e caderno de esquadrias; </w:t>
      </w:r>
    </w:p>
    <w:p>
      <w:pPr>
        <w:pStyle w:val="114"/>
        <w:numPr>
          <w:ilvl w:val="0"/>
          <w:numId w:val="8"/>
        </w:numPr>
        <w:spacing w:after="13"/>
        <w:rPr>
          <w:sz w:val="20"/>
          <w:szCs w:val="20"/>
        </w:rPr>
      </w:pPr>
      <w:r>
        <w:rPr>
          <w:sz w:val="20"/>
          <w:szCs w:val="20"/>
        </w:rPr>
        <w:t xml:space="preserve">Projeto de Urbanização; </w:t>
      </w:r>
    </w:p>
    <w:p>
      <w:pPr>
        <w:pStyle w:val="114"/>
        <w:numPr>
          <w:ilvl w:val="0"/>
          <w:numId w:val="8"/>
        </w:numPr>
        <w:spacing w:after="13"/>
        <w:rPr>
          <w:sz w:val="20"/>
          <w:szCs w:val="20"/>
        </w:rPr>
      </w:pPr>
      <w:r>
        <w:rPr>
          <w:sz w:val="20"/>
          <w:szCs w:val="20"/>
        </w:rPr>
        <w:t xml:space="preserve">Projeto de Comunicação Visual Tátil e Sonora; </w:t>
      </w:r>
    </w:p>
    <w:p>
      <w:pPr>
        <w:pStyle w:val="114"/>
        <w:numPr>
          <w:ilvl w:val="0"/>
          <w:numId w:val="8"/>
        </w:numPr>
        <w:spacing w:after="13"/>
        <w:rPr>
          <w:sz w:val="20"/>
          <w:szCs w:val="20"/>
        </w:rPr>
      </w:pPr>
      <w:r>
        <w:rPr>
          <w:sz w:val="20"/>
          <w:szCs w:val="20"/>
        </w:rPr>
        <w:t xml:space="preserve">Projeto de Fundações e Estruturas; </w:t>
      </w:r>
    </w:p>
    <w:p>
      <w:pPr>
        <w:pStyle w:val="114"/>
        <w:numPr>
          <w:ilvl w:val="0"/>
          <w:numId w:val="8"/>
        </w:numPr>
        <w:spacing w:after="13"/>
        <w:rPr>
          <w:sz w:val="20"/>
          <w:szCs w:val="20"/>
        </w:rPr>
      </w:pPr>
      <w:r>
        <w:rPr>
          <w:sz w:val="20"/>
          <w:szCs w:val="20"/>
        </w:rPr>
        <w:t xml:space="preserve">Projeto de Instalações Hidrossanitárias e Pluvial; </w:t>
      </w:r>
    </w:p>
    <w:p>
      <w:pPr>
        <w:pStyle w:val="114"/>
        <w:numPr>
          <w:ilvl w:val="0"/>
          <w:numId w:val="8"/>
        </w:numPr>
        <w:spacing w:after="13"/>
        <w:rPr>
          <w:sz w:val="20"/>
          <w:szCs w:val="20"/>
        </w:rPr>
      </w:pPr>
      <w:r>
        <w:rPr>
          <w:sz w:val="20"/>
          <w:szCs w:val="20"/>
        </w:rPr>
        <w:t xml:space="preserve">Projeto de Instalações Elétricas; </w:t>
      </w:r>
    </w:p>
    <w:p>
      <w:pPr>
        <w:pStyle w:val="114"/>
        <w:numPr>
          <w:ilvl w:val="0"/>
          <w:numId w:val="8"/>
        </w:numPr>
        <w:spacing w:after="13"/>
        <w:rPr>
          <w:sz w:val="20"/>
          <w:szCs w:val="20"/>
        </w:rPr>
      </w:pPr>
      <w:r>
        <w:rPr>
          <w:sz w:val="20"/>
          <w:szCs w:val="20"/>
        </w:rPr>
        <w:t xml:space="preserve">Projeto de Cabeamento Estruturado e VSS-CFTV; </w:t>
      </w:r>
    </w:p>
    <w:p>
      <w:pPr>
        <w:pStyle w:val="114"/>
        <w:numPr>
          <w:ilvl w:val="0"/>
          <w:numId w:val="8"/>
        </w:numPr>
        <w:spacing w:after="13"/>
        <w:rPr>
          <w:sz w:val="20"/>
          <w:szCs w:val="20"/>
        </w:rPr>
      </w:pPr>
      <w:r>
        <w:rPr>
          <w:sz w:val="20"/>
          <w:szCs w:val="20"/>
        </w:rPr>
        <w:t xml:space="preserve">Projeto de SPDA; </w:t>
      </w:r>
    </w:p>
    <w:p>
      <w:pPr>
        <w:pStyle w:val="114"/>
        <w:numPr>
          <w:ilvl w:val="0"/>
          <w:numId w:val="8"/>
        </w:numPr>
        <w:spacing w:after="13"/>
        <w:rPr>
          <w:sz w:val="20"/>
          <w:szCs w:val="20"/>
        </w:rPr>
      </w:pPr>
      <w:r>
        <w:rPr>
          <w:sz w:val="20"/>
          <w:szCs w:val="20"/>
        </w:rPr>
        <w:t xml:space="preserve">Projeto de Climatização e Renovação de Ar; </w:t>
      </w:r>
    </w:p>
    <w:p>
      <w:pPr>
        <w:pStyle w:val="114"/>
        <w:numPr>
          <w:ilvl w:val="0"/>
          <w:numId w:val="8"/>
        </w:numPr>
        <w:spacing w:after="13"/>
        <w:rPr>
          <w:sz w:val="20"/>
          <w:szCs w:val="20"/>
        </w:rPr>
      </w:pPr>
      <w:r>
        <w:rPr>
          <w:sz w:val="20"/>
          <w:szCs w:val="20"/>
        </w:rPr>
        <w:t xml:space="preserve">Projeto de Instalações Mecânicas; </w:t>
      </w:r>
    </w:p>
    <w:p>
      <w:pPr>
        <w:pStyle w:val="114"/>
        <w:numPr>
          <w:ilvl w:val="0"/>
          <w:numId w:val="8"/>
        </w:numPr>
        <w:spacing w:after="13"/>
        <w:rPr>
          <w:sz w:val="20"/>
          <w:szCs w:val="20"/>
        </w:rPr>
      </w:pPr>
      <w:r>
        <w:rPr>
          <w:sz w:val="20"/>
          <w:szCs w:val="20"/>
        </w:rPr>
        <w:t xml:space="preserve">Projeto de Instalações de Combate a Incêndio e Pânico. </w:t>
      </w:r>
    </w:p>
    <w:p>
      <w:pPr>
        <w:pStyle w:val="73"/>
        <w:keepNext w:val="0"/>
        <w:jc w:val="center"/>
        <w:rPr>
          <w:rFonts w:ascii="Verdana" w:hAnsi="Verdana" w:cs="Arial"/>
          <w:color w:val="000000"/>
          <w:sz w:val="18"/>
          <w:szCs w:val="18"/>
        </w:rPr>
      </w:pPr>
    </w:p>
    <w:p>
      <w:pPr>
        <w:pStyle w:val="73"/>
        <w:keepNext w:val="0"/>
        <w:jc w:val="center"/>
        <w:rPr>
          <w:rFonts w:ascii="Verdana" w:hAnsi="Verdana" w:cs="Arial"/>
          <w:sz w:val="18"/>
          <w:szCs w:val="18"/>
        </w:rPr>
      </w:pPr>
      <w:r>
        <w:rPr>
          <w:rFonts w:ascii="Verdana" w:hAnsi="Verdana" w:cs="Arial"/>
          <w:color w:val="000000"/>
          <w:sz w:val="18"/>
          <w:szCs w:val="18"/>
        </w:rPr>
        <w:t>Niterói, 09 de maio de 2022.</w:t>
      </w:r>
    </w:p>
    <w:p>
      <w:pPr>
        <w:pStyle w:val="73"/>
        <w:keepNext w:val="0"/>
        <w:rPr>
          <w:rFonts w:ascii="Verdana" w:hAnsi="Verdana" w:cs="Arial"/>
          <w:sz w:val="18"/>
          <w:szCs w:val="18"/>
        </w:rPr>
      </w:pPr>
    </w:p>
    <w:p>
      <w:pPr>
        <w:jc w:val="center"/>
      </w:pPr>
      <w:r>
        <w:rPr>
          <w:rFonts w:ascii="Verdana" w:hAnsi="Verdana" w:cs="Arial"/>
          <w:szCs w:val="20"/>
        </w:rPr>
        <w:t>______________________</w:t>
      </w:r>
    </w:p>
    <w:p>
      <w:pPr>
        <w:jc w:val="center"/>
        <w:rPr>
          <w:rFonts w:ascii="Verdana" w:hAnsi="Verdana" w:cs="Arial"/>
          <w:sz w:val="16"/>
          <w:szCs w:val="16"/>
        </w:rPr>
      </w:pPr>
      <w:r>
        <w:rPr>
          <w:rFonts w:ascii="Verdana" w:hAnsi="Verdana" w:cs="Arial"/>
          <w:sz w:val="16"/>
          <w:szCs w:val="16"/>
        </w:rPr>
        <w:t>Coordena</w:t>
      </w:r>
      <w:r>
        <w:rPr>
          <w:rFonts w:hint="default" w:ascii="Verdana" w:hAnsi="Verdana" w:cs="Arial"/>
          <w:sz w:val="16"/>
          <w:szCs w:val="16"/>
          <w:lang w:val="pt-BR"/>
        </w:rPr>
        <w:t>ção</w:t>
      </w:r>
      <w:r>
        <w:rPr>
          <w:rFonts w:ascii="Verdana" w:hAnsi="Verdana" w:cs="Arial"/>
          <w:sz w:val="16"/>
          <w:szCs w:val="16"/>
        </w:rPr>
        <w:t xml:space="preserve"> de Licitação/CLi</w:t>
      </w:r>
    </w:p>
    <w:p>
      <w:pPr>
        <w:jc w:val="center"/>
        <w:rPr>
          <w:rFonts w:ascii="Verdana" w:hAnsi="Verdana" w:cs="Arial"/>
          <w:sz w:val="16"/>
          <w:szCs w:val="16"/>
        </w:rPr>
      </w:pPr>
      <w:r>
        <w:rPr>
          <w:rFonts w:ascii="Verdana" w:hAnsi="Verdana" w:cs="Arial"/>
          <w:sz w:val="16"/>
          <w:szCs w:val="16"/>
        </w:rPr>
        <w:t>Pró-Reitoria de Administração/PROAD</w:t>
      </w:r>
    </w:p>
    <w:p>
      <w:pPr>
        <w:jc w:val="center"/>
        <w:rPr>
          <w:rFonts w:ascii="Verdana" w:hAnsi="Verdana" w:cs="Arial"/>
          <w:sz w:val="16"/>
          <w:szCs w:val="16"/>
        </w:rPr>
      </w:pPr>
      <w:r>
        <w:rPr>
          <w:rFonts w:ascii="Verdana" w:hAnsi="Verdana" w:cs="Arial"/>
          <w:sz w:val="16"/>
          <w:szCs w:val="16"/>
        </w:rPr>
        <w:t>Universidade Federal Fluminense</w:t>
      </w:r>
    </w:p>
    <w:p>
      <w:pPr>
        <w:jc w:val="center"/>
        <w:rPr>
          <w:rFonts w:eastAsia="WenQuanYi Micro Hei" w:cs="Lohit Hindi"/>
          <w:color w:val="auto"/>
          <w:sz w:val="16"/>
          <w:szCs w:val="16"/>
          <w:lang w:eastAsia="zh-CN" w:bidi="hi-IN"/>
        </w:rPr>
      </w:pPr>
    </w:p>
    <w:sectPr>
      <w:headerReference r:id="rId3" w:type="default"/>
      <w:footerReference r:id="rId4" w:type="default"/>
      <w:pgSz w:w="11906" w:h="16838"/>
      <w:pgMar w:top="958" w:right="1134" w:bottom="1276" w:left="1531" w:header="425" w:footer="312" w:gutter="0"/>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Ecofont_Spranq_eco_Sans">
    <w:altName w:val="Calibri"/>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Liberation Sans">
    <w:panose1 w:val="020B0604020202020204"/>
    <w:charset w:val="00"/>
    <w:family w:val="roman"/>
    <w:pitch w:val="default"/>
    <w:sig w:usb0="E0000AFF" w:usb1="500078FF" w:usb2="00000021" w:usb3="00000000" w:csb0="600001BF" w:csb1="DFF70000"/>
  </w:font>
  <w:font w:name="WenQuanYi Micro Hei">
    <w:altName w:val="SimSun"/>
    <w:panose1 w:val="00000000000000000000"/>
    <w:charset w:val="86"/>
    <w:family w:val="roman"/>
    <w:pitch w:val="default"/>
    <w:sig w:usb0="00000000" w:usb1="00000000" w:usb2="00000000" w:usb3="00000000" w:csb0="00000000" w:csb1="00000000"/>
  </w:font>
  <w:font w:name="Lohit Hindi">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Mangal">
    <w:panose1 w:val="02040503050203030202"/>
    <w:charset w:val="00"/>
    <w:family w:val="roman"/>
    <w:pitch w:val="default"/>
    <w:sig w:usb0="00008003" w:usb1="00000000" w:usb2="00000000" w:usb3="00000000" w:csb0="00000001" w:csb1="00000000"/>
  </w:font>
  <w:font w:name="Liberation Serif">
    <w:panose1 w:val="02020603050405020304"/>
    <w:charset w:val="00"/>
    <w:family w:val="roman"/>
    <w:pitch w:val="default"/>
    <w:sig w:usb0="E0000AFF" w:usb1="500078FF" w:usb2="00000021" w:usb3="00000000" w:csb0="600001BF" w:csb1="DFF70000"/>
  </w:font>
  <w:font w:name="MS Mincho">
    <w:panose1 w:val="02020609040205080304"/>
    <w:charset w:val="80"/>
    <w:family w:val="modern"/>
    <w:pitch w:val="default"/>
    <w:sig w:usb0="E00002FF" w:usb1="6AC7FDFB" w:usb2="00000012" w:usb3="00000000" w:csb0="4002009F" w:csb1="DFD70000"/>
  </w:font>
  <w:font w:name="Segoe UI">
    <w:panose1 w:val="020B0502040204020203"/>
    <w:charset w:val="00"/>
    <w:family w:val="swiss"/>
    <w:pitch w:val="default"/>
    <w:sig w:usb0="E10022FF" w:usb1="C000E47F" w:usb2="00000029" w:usb3="00000000" w:csb0="200001DF" w:csb1="20000000"/>
  </w:font>
  <w:font w:name="Verdana">
    <w:panose1 w:val="020B0604030504040204"/>
    <w:charset w:val="00"/>
    <w:family w:val="swiss"/>
    <w:pitch w:val="default"/>
    <w:sig w:usb0="A10006FF" w:usb1="4000205B" w:usb2="00000010" w:usb3="00000000" w:csb0="2000019F" w:csb1="00000000"/>
  </w:font>
  <w:font w:name="Zurich BT">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TE4E87780t00">
    <w:altName w:val="Calibri"/>
    <w:panose1 w:val="00000000000000000000"/>
    <w:charset w:val="00"/>
    <w:family w:val="auto"/>
    <w:pitch w:val="default"/>
    <w:sig w:usb0="00000000" w:usb1="00000000" w:usb2="00000000" w:usb3="00000000" w:csb0="00000001" w:csb1="00000000"/>
  </w:font>
  <w:font w:name="TTE431A0A0t00">
    <w:altName w:val="Calibri"/>
    <w:panose1 w:val="00000000000000000000"/>
    <w:charset w:val="00"/>
    <w:family w:val="auto"/>
    <w:pitch w:val="default"/>
    <w:sig w:usb0="00000000" w:usb1="00000000" w:usb2="00000000" w:usb3="00000000" w:csb0="00000001" w:csb1="00000000"/>
  </w:font>
  <w:font w:name="Times-Bold">
    <w:altName w:val="Times New Roman"/>
    <w:panose1 w:val="00000000000000000000"/>
    <w:charset w:val="00"/>
    <w:family w:val="auto"/>
    <w:pitch w:val="default"/>
    <w:sig w:usb0="00000000" w:usb1="00000000" w:usb2="00000000" w:usb3="00000000" w:csb0="00000001" w:csb1="00000000"/>
  </w:font>
  <w:font w:name="Times-Roman">
    <w:altName w:val="Times New Roman"/>
    <w:panose1 w:val="00000000000000000000"/>
    <w:charset w:val="00"/>
    <w:family w:val="auto"/>
    <w:pitch w:val="default"/>
    <w:sig w:usb0="00000000" w:usb1="00000000" w:usb2="00000000" w:usb3="00000000" w:csb0="00000001" w:csb1="00000000"/>
  </w:font>
  <w:font w:name="TimesNewRoman">
    <w:altName w:val="MS Mincho"/>
    <w:panose1 w:val="00000000000000000000"/>
    <w:charset w:val="80"/>
    <w:family w:val="auto"/>
    <w:pitch w:val="default"/>
    <w:sig w:usb0="00000000" w:usb1="00000000" w:usb2="00000010" w:usb3="00000000" w:csb0="00020000" w:csb1="00000000"/>
  </w:font>
  <w:font w:name="Ecofont_Spranq_eco_Sans,Lohit H">
    <w:altName w:val="Times New Roman"/>
    <w:panose1 w:val="00000000000000000000"/>
    <w:charset w:val="00"/>
    <w:family w:val="roma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EndPr>
          <w:rPr>
            <w:rFonts w:ascii="Verdana" w:hAnsi="Verdana"/>
            <w:sz w:val="16"/>
            <w:szCs w:val="16"/>
          </w:rPr>
        </w:sdtEndPr>
        <w:sdtContent>
          <w:p>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24</w:t>
            </w:r>
            <w:r>
              <w:rPr>
                <w:rFonts w:ascii="Verdana" w:hAnsi="Verdana"/>
                <w:sz w:val="14"/>
                <w:szCs w:val="14"/>
              </w:rPr>
              <w:fldChar w:fldCharType="end"/>
            </w:r>
          </w:p>
        </w:sdtContent>
      </w:sdt>
    </w:sdtContent>
  </w:sdt>
  <w:p>
    <w:pPr>
      <w:pStyle w:val="19"/>
      <w:keepNext w:val="0"/>
    </w:pPr>
    <w:r>
      <w:t>___________________________________________________________________________</w:t>
    </w:r>
  </w:p>
  <w:p>
    <w:pPr>
      <w:pStyle w:val="19"/>
      <w:keepNext w:val="0"/>
      <w:rPr>
        <w:sz w:val="12"/>
        <w:szCs w:val="12"/>
      </w:rPr>
    </w:pPr>
    <w:r>
      <w:rPr>
        <w:sz w:val="12"/>
        <w:szCs w:val="12"/>
      </w:rPr>
      <w:t>Câmara Nacional de Modelos de Licitações e Contratos da Consultoria-Geral da União</w:t>
    </w:r>
  </w:p>
  <w:p>
    <w:pPr>
      <w:pStyle w:val="19"/>
      <w:keepNext w:val="0"/>
      <w:rPr>
        <w:sz w:val="12"/>
        <w:szCs w:val="12"/>
      </w:rPr>
    </w:pPr>
    <w:r>
      <w:rPr>
        <w:sz w:val="12"/>
        <w:szCs w:val="12"/>
      </w:rPr>
      <w:t>Edital modelo para Pregão Eletrônico: Serviços Comuns de engenharia</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Verdana" w:hAnsi="Verdana"/>
        <w:sz w:val="14"/>
        <w:szCs w:val="14"/>
      </w:rPr>
    </w:pPr>
    <w:r>
      <w:rPr>
        <w:rFonts w:ascii="Verdana" w:hAnsi="Verdana"/>
        <w:sz w:val="14"/>
        <w:szCs w:val="14"/>
      </w:rPr>
      <w:t>Fls:_______</w:t>
    </w:r>
  </w:p>
  <w:p>
    <w:pPr>
      <w:pStyle w:val="17"/>
      <w:jc w:val="right"/>
      <w:rPr>
        <w:rFonts w:ascii="Verdana" w:hAnsi="Verdana"/>
        <w:sz w:val="14"/>
        <w:szCs w:val="14"/>
      </w:rPr>
    </w:pPr>
    <w:r>
      <w:rPr>
        <w:rFonts w:ascii="Verdana" w:hAnsi="Verdana"/>
        <w:sz w:val="14"/>
        <w:szCs w:val="14"/>
      </w:rPr>
      <w:t>Processo n.º 23069.15636550/20222-12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15581"/>
    <w:multiLevelType w:val="multilevel"/>
    <w:tmpl w:val="07A15581"/>
    <w:lvl w:ilvl="0" w:tentative="0">
      <w:start w:val="1"/>
      <w:numFmt w:val="none"/>
      <w:pStyle w:val="2"/>
      <w:suff w:val="nothing"/>
      <w:lvlText w:val=""/>
      <w:lvlJc w:val="left"/>
      <w:pPr>
        <w:tabs>
          <w:tab w:val="left" w:pos="432"/>
        </w:tabs>
        <w:ind w:left="432" w:hanging="432"/>
      </w:pPr>
    </w:lvl>
    <w:lvl w:ilvl="1" w:tentative="0">
      <w:start w:val="1"/>
      <w:numFmt w:val="none"/>
      <w:pStyle w:val="5"/>
      <w:suff w:val="nothing"/>
      <w:lvlText w:val=""/>
      <w:lvlJc w:val="left"/>
      <w:pPr>
        <w:ind w:left="0" w:firstLine="0"/>
      </w:pPr>
    </w:lvl>
    <w:lvl w:ilvl="2" w:tentative="0">
      <w:start w:val="1"/>
      <w:numFmt w:val="none"/>
      <w:pStyle w:val="6"/>
      <w:suff w:val="nothing"/>
      <w:lvlText w:val=""/>
      <w:lvlJc w:val="left"/>
      <w:pPr>
        <w:tabs>
          <w:tab w:val="left" w:pos="720"/>
        </w:tabs>
        <w:ind w:left="720" w:hanging="720"/>
      </w:pPr>
    </w:lvl>
    <w:lvl w:ilvl="3" w:tentative="0">
      <w:start w:val="1"/>
      <w:numFmt w:val="none"/>
      <w:suff w:val="nothing"/>
      <w:lvlText w:val=""/>
      <w:lvlJc w:val="left"/>
      <w:pPr>
        <w:tabs>
          <w:tab w:val="left" w:pos="864"/>
        </w:tabs>
        <w:ind w:left="864" w:hanging="864"/>
      </w:pPr>
    </w:lvl>
    <w:lvl w:ilvl="4" w:tentative="0">
      <w:start w:val="1"/>
      <w:numFmt w:val="none"/>
      <w:suff w:val="nothing"/>
      <w:lvlText w:val=""/>
      <w:lvlJc w:val="left"/>
      <w:pPr>
        <w:tabs>
          <w:tab w:val="left" w:pos="1008"/>
        </w:tabs>
        <w:ind w:left="1008" w:hanging="1008"/>
      </w:pPr>
    </w:lvl>
    <w:lvl w:ilvl="5" w:tentative="0">
      <w:start w:val="1"/>
      <w:numFmt w:val="none"/>
      <w:suff w:val="nothing"/>
      <w:lvlText w:val=""/>
      <w:lvlJc w:val="left"/>
      <w:pPr>
        <w:tabs>
          <w:tab w:val="left" w:pos="1152"/>
        </w:tabs>
        <w:ind w:left="1152" w:hanging="1152"/>
      </w:pPr>
    </w:lvl>
    <w:lvl w:ilvl="6" w:tentative="0">
      <w:start w:val="1"/>
      <w:numFmt w:val="none"/>
      <w:suff w:val="nothing"/>
      <w:lvlText w:val=""/>
      <w:lvlJc w:val="left"/>
      <w:pPr>
        <w:tabs>
          <w:tab w:val="left" w:pos="1296"/>
        </w:tabs>
        <w:ind w:left="1296" w:hanging="1296"/>
      </w:pPr>
    </w:lvl>
    <w:lvl w:ilvl="7" w:tentative="0">
      <w:start w:val="1"/>
      <w:numFmt w:val="none"/>
      <w:suff w:val="nothing"/>
      <w:lvlText w:val=""/>
      <w:lvlJc w:val="left"/>
      <w:pPr>
        <w:tabs>
          <w:tab w:val="left" w:pos="1440"/>
        </w:tabs>
        <w:ind w:left="1440" w:hanging="1440"/>
      </w:pPr>
    </w:lvl>
    <w:lvl w:ilvl="8" w:tentative="0">
      <w:start w:val="1"/>
      <w:numFmt w:val="none"/>
      <w:suff w:val="nothing"/>
      <w:lvlText w:val=""/>
      <w:lvlJc w:val="left"/>
      <w:pPr>
        <w:tabs>
          <w:tab w:val="left" w:pos="1584"/>
        </w:tabs>
        <w:ind w:left="1584" w:hanging="1584"/>
      </w:pPr>
    </w:lvl>
  </w:abstractNum>
  <w:abstractNum w:abstractNumId="1">
    <w:nsid w:val="346250F7"/>
    <w:multiLevelType w:val="multilevel"/>
    <w:tmpl w:val="346250F7"/>
    <w:lvl w:ilvl="0" w:tentative="0">
      <w:start w:val="6"/>
      <w:numFmt w:val="decimal"/>
      <w:lvlText w:val="%1"/>
      <w:lvlJc w:val="left"/>
      <w:pPr>
        <w:ind w:left="360" w:hanging="360"/>
      </w:pPr>
      <w:rPr>
        <w:rFonts w:hint="default"/>
        <w:b/>
      </w:rPr>
    </w:lvl>
    <w:lvl w:ilvl="1" w:tentative="0">
      <w:start w:val="1"/>
      <w:numFmt w:val="decimal"/>
      <w:lvlText w:val="%1.%2"/>
      <w:lvlJc w:val="left"/>
      <w:pPr>
        <w:ind w:left="785" w:hanging="360"/>
      </w:pPr>
      <w:rPr>
        <w:rFonts w:hint="default"/>
        <w:b w:val="0"/>
        <w:color w:val="auto"/>
      </w:rPr>
    </w:lvl>
    <w:lvl w:ilvl="2" w:tentative="0">
      <w:start w:val="1"/>
      <w:numFmt w:val="decimal"/>
      <w:lvlText w:val="%1.%2.%3"/>
      <w:lvlJc w:val="left"/>
      <w:pPr>
        <w:ind w:left="1713" w:hanging="720"/>
      </w:pPr>
      <w:rPr>
        <w:rFonts w:hint="default"/>
        <w:color w:val="auto"/>
      </w:rPr>
    </w:lvl>
    <w:lvl w:ilvl="3" w:tentative="0">
      <w:start w:val="1"/>
      <w:numFmt w:val="decimal"/>
      <w:lvlText w:val="%1.%2.%3.%4"/>
      <w:lvlJc w:val="left"/>
      <w:pPr>
        <w:ind w:left="2847" w:hanging="720"/>
      </w:pPr>
      <w:rPr>
        <w:rFonts w:hint="default"/>
        <w:sz w:val="18"/>
        <w:szCs w:val="18"/>
      </w:rPr>
    </w:lvl>
    <w:lvl w:ilvl="4" w:tentative="0">
      <w:start w:val="1"/>
      <w:numFmt w:val="decimal"/>
      <w:lvlText w:val="%1.%2.%3.%4.%5"/>
      <w:lvlJc w:val="left"/>
      <w:pPr>
        <w:ind w:left="3064" w:hanging="1080"/>
      </w:pPr>
      <w:rPr>
        <w:rFonts w:hint="default"/>
        <w:sz w:val="18"/>
        <w:szCs w:val="18"/>
      </w:rPr>
    </w:lvl>
    <w:lvl w:ilvl="5" w:tentative="0">
      <w:start w:val="1"/>
      <w:numFmt w:val="decimal"/>
      <w:lvlText w:val="%1.%2.%3.%4.%5.%6"/>
      <w:lvlJc w:val="left"/>
      <w:pPr>
        <w:ind w:left="3560" w:hanging="1080"/>
      </w:pPr>
      <w:rPr>
        <w:rFonts w:hint="default"/>
        <w:sz w:val="16"/>
        <w:szCs w:val="16"/>
      </w:rPr>
    </w:lvl>
    <w:lvl w:ilvl="6" w:tentative="0">
      <w:start w:val="1"/>
      <w:numFmt w:val="decimal"/>
      <w:lvlText w:val="%1.%2.%3.%4.%5.%6.%7"/>
      <w:lvlJc w:val="left"/>
      <w:pPr>
        <w:ind w:left="4416" w:hanging="1440"/>
      </w:pPr>
      <w:rPr>
        <w:rFonts w:hint="default"/>
      </w:rPr>
    </w:lvl>
    <w:lvl w:ilvl="7" w:tentative="0">
      <w:start w:val="1"/>
      <w:numFmt w:val="decimal"/>
      <w:lvlText w:val="%1.%2.%3.%4.%5.%6.%7.%8"/>
      <w:lvlJc w:val="left"/>
      <w:pPr>
        <w:ind w:left="4912" w:hanging="1440"/>
      </w:pPr>
      <w:rPr>
        <w:rFonts w:hint="default"/>
      </w:rPr>
    </w:lvl>
    <w:lvl w:ilvl="8" w:tentative="0">
      <w:start w:val="1"/>
      <w:numFmt w:val="decimal"/>
      <w:lvlText w:val="%1.%2.%3.%4.%5.%6.%7.%8.%9"/>
      <w:lvlJc w:val="left"/>
      <w:pPr>
        <w:ind w:left="5768" w:hanging="1800"/>
      </w:pPr>
      <w:rPr>
        <w:rFonts w:hint="default"/>
      </w:rPr>
    </w:lvl>
  </w:abstractNum>
  <w:abstractNum w:abstractNumId="2">
    <w:nsid w:val="37516B2C"/>
    <w:multiLevelType w:val="multilevel"/>
    <w:tmpl w:val="37516B2C"/>
    <w:lvl w:ilvl="0" w:tentative="0">
      <w:start w:val="1"/>
      <w:numFmt w:val="decimal"/>
      <w:lvlText w:val="%1."/>
      <w:lvlJc w:val="left"/>
      <w:pPr>
        <w:ind w:left="360" w:hanging="360"/>
      </w:pPr>
      <w:rPr>
        <w:b/>
        <w:sz w:val="20"/>
        <w:szCs w:val="20"/>
      </w:rPr>
    </w:lvl>
    <w:lvl w:ilvl="1" w:tentative="0">
      <w:start w:val="1"/>
      <w:numFmt w:val="decimal"/>
      <w:lvlText w:val="%1.%2."/>
      <w:lvlJc w:val="left"/>
      <w:pPr>
        <w:ind w:left="792" w:hanging="432"/>
      </w:pPr>
      <w:rPr>
        <w:b w:val="0"/>
        <w:i w:val="0"/>
        <w:color w:val="auto"/>
      </w:rPr>
    </w:lvl>
    <w:lvl w:ilvl="2" w:tentative="0">
      <w:start w:val="1"/>
      <w:numFmt w:val="decimal"/>
      <w:lvlText w:val="%1.%2.%3."/>
      <w:lvlJc w:val="left"/>
      <w:pPr>
        <w:ind w:left="1224" w:hanging="504"/>
      </w:pPr>
      <w:rPr>
        <w:b w:val="0"/>
        <w:color w:val="auto"/>
      </w:rPr>
    </w:lvl>
    <w:lvl w:ilvl="3" w:tentative="0">
      <w:start w:val="1"/>
      <w:numFmt w:val="decimal"/>
      <w:lvlText w:val="%1.%2.%3.%4."/>
      <w:lvlJc w:val="left"/>
      <w:pPr>
        <w:ind w:left="1728" w:hanging="648"/>
      </w:pPr>
      <w:rPr>
        <w:color w:val="auto"/>
      </w:rPr>
    </w:lvl>
    <w:lvl w:ilvl="4" w:tentative="0">
      <w:start w:val="1"/>
      <w:numFmt w:val="decimal"/>
      <w:lvlText w:val="%1.%2.%3.%4.%5."/>
      <w:lvlJc w:val="left"/>
      <w:pPr>
        <w:ind w:left="2232" w:hanging="792"/>
      </w:pPr>
      <w:rPr>
        <w:color w:val="auto"/>
      </w:rPr>
    </w:lvl>
    <w:lvl w:ilvl="5" w:tentative="0">
      <w:start w:val="1"/>
      <w:numFmt w:val="decimal"/>
      <w:lvlText w:val="%1.%2.%3.%4.%5.%6."/>
      <w:lvlJc w:val="left"/>
      <w:pPr>
        <w:ind w:left="2736" w:hanging="936"/>
      </w:pPr>
      <w:rPr>
        <w:color w:val="auto"/>
      </w:rPr>
    </w:lvl>
    <w:lvl w:ilvl="6" w:tentative="0">
      <w:start w:val="1"/>
      <w:numFmt w:val="decimal"/>
      <w:lvlText w:val="%1.%2.%3.%4.%5.%6.%7."/>
      <w:lvlJc w:val="left"/>
      <w:pPr>
        <w:ind w:left="3240" w:hanging="1080"/>
      </w:pPr>
      <w:rPr>
        <w:color w:val="auto"/>
      </w:rPr>
    </w:lvl>
    <w:lvl w:ilvl="7" w:tentative="0">
      <w:start w:val="1"/>
      <w:numFmt w:val="decimal"/>
      <w:lvlText w:val="%1.%2.%3.%4.%5.%6.%7.%8."/>
      <w:lvlJc w:val="left"/>
      <w:pPr>
        <w:ind w:left="3744" w:hanging="1224"/>
      </w:pPr>
      <w:rPr>
        <w:color w:val="auto"/>
      </w:rPr>
    </w:lvl>
    <w:lvl w:ilvl="8" w:tentative="0">
      <w:start w:val="1"/>
      <w:numFmt w:val="decimal"/>
      <w:lvlText w:val="%1.%2.%3.%4.%5.%6.%7.%8.%9."/>
      <w:lvlJc w:val="left"/>
      <w:pPr>
        <w:ind w:left="4320" w:hanging="1440"/>
      </w:pPr>
      <w:rPr>
        <w:color w:val="auto"/>
      </w:rPr>
    </w:lvl>
  </w:abstractNum>
  <w:abstractNum w:abstractNumId="3">
    <w:nsid w:val="58C70088"/>
    <w:multiLevelType w:val="multilevel"/>
    <w:tmpl w:val="58C70088"/>
    <w:lvl w:ilvl="0" w:tentative="0">
      <w:start w:val="1"/>
      <w:numFmt w:val="decimal"/>
      <w:pStyle w:val="79"/>
      <w:lvlText w:val="%1."/>
      <w:lvlJc w:val="left"/>
      <w:pPr>
        <w:ind w:left="502" w:hanging="360"/>
      </w:pPr>
      <w:rPr>
        <w:b/>
        <w:i w:val="0"/>
        <w:strike w:val="0"/>
        <w:dstrike w:val="0"/>
      </w:rPr>
    </w:lvl>
    <w:lvl w:ilvl="1" w:tentative="0">
      <w:start w:val="1"/>
      <w:numFmt w:val="decimal"/>
      <w:pStyle w:val="78"/>
      <w:lvlText w:val="%1.%2."/>
      <w:lvlJc w:val="left"/>
      <w:pPr>
        <w:ind w:left="858" w:hanging="432"/>
      </w:pPr>
      <w:rPr>
        <w:b w:val="0"/>
        <w:strike w:val="0"/>
      </w:rPr>
    </w:lvl>
    <w:lvl w:ilvl="2" w:tentative="0">
      <w:start w:val="1"/>
      <w:numFmt w:val="decimal"/>
      <w:pStyle w:val="80"/>
      <w:lvlText w:val="%1.%2.%3."/>
      <w:lvlJc w:val="left"/>
      <w:pPr>
        <w:ind w:left="1224" w:hanging="504"/>
      </w:pPr>
      <w:rPr>
        <w:i w:val="0"/>
        <w:strike w:val="0"/>
      </w:rPr>
    </w:lvl>
    <w:lvl w:ilvl="3" w:tentative="0">
      <w:start w:val="1"/>
      <w:numFmt w:val="decimal"/>
      <w:pStyle w:val="81"/>
      <w:lvlText w:val="%1.%2.%3.%4."/>
      <w:lvlJc w:val="left"/>
      <w:pPr>
        <w:ind w:left="1728" w:hanging="648"/>
      </w:pPr>
    </w:lvl>
    <w:lvl w:ilvl="4" w:tentative="0">
      <w:start w:val="1"/>
      <w:numFmt w:val="decimal"/>
      <w:pStyle w:val="82"/>
      <w:lvlText w:val="%1.%2.%3.%4.%5."/>
      <w:lvlJc w:val="left"/>
      <w:pPr>
        <w:ind w:left="4053"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6B416A47"/>
    <w:multiLevelType w:val="multilevel"/>
    <w:tmpl w:val="6B416A47"/>
    <w:lvl w:ilvl="0" w:tentative="0">
      <w:start w:val="4"/>
      <w:numFmt w:val="decimal"/>
      <w:lvlText w:val="%1"/>
      <w:lvlJc w:val="left"/>
      <w:pPr>
        <w:ind w:left="435" w:hanging="435"/>
      </w:pPr>
      <w:rPr>
        <w:rFonts w:hint="default"/>
      </w:rPr>
    </w:lvl>
    <w:lvl w:ilvl="1" w:tentative="0">
      <w:start w:val="4"/>
      <w:numFmt w:val="decimal"/>
      <w:lvlText w:val="%1.%2"/>
      <w:lvlJc w:val="left"/>
      <w:pPr>
        <w:ind w:left="1002" w:hanging="435"/>
      </w:pPr>
      <w:rPr>
        <w:rFonts w:hint="default"/>
      </w:rPr>
    </w:lvl>
    <w:lvl w:ilvl="2" w:tentative="0">
      <w:start w:val="1"/>
      <w:numFmt w:val="decimal"/>
      <w:lvlText w:val="%1.%2.%3"/>
      <w:lvlJc w:val="left"/>
      <w:pPr>
        <w:ind w:left="1854" w:hanging="720"/>
      </w:pPr>
      <w:rPr>
        <w:rFonts w:hint="default"/>
      </w:rPr>
    </w:lvl>
    <w:lvl w:ilvl="3" w:tentative="0">
      <w:start w:val="1"/>
      <w:numFmt w:val="decimal"/>
      <w:lvlText w:val="%1.%2.%3.%4"/>
      <w:lvlJc w:val="left"/>
      <w:pPr>
        <w:ind w:left="2421" w:hanging="720"/>
      </w:pPr>
      <w:rPr>
        <w:rFonts w:hint="default"/>
      </w:rPr>
    </w:lvl>
    <w:lvl w:ilvl="4" w:tentative="0">
      <w:start w:val="1"/>
      <w:numFmt w:val="decimal"/>
      <w:lvlText w:val="%1.%2.%3.%4.%5"/>
      <w:lvlJc w:val="left"/>
      <w:pPr>
        <w:ind w:left="3348" w:hanging="1080"/>
      </w:pPr>
      <w:rPr>
        <w:rFonts w:hint="default"/>
      </w:rPr>
    </w:lvl>
    <w:lvl w:ilvl="5" w:tentative="0">
      <w:start w:val="1"/>
      <w:numFmt w:val="decimal"/>
      <w:lvlText w:val="%1.%2.%3.%4.%5.%6"/>
      <w:lvlJc w:val="left"/>
      <w:pPr>
        <w:ind w:left="3915" w:hanging="1080"/>
      </w:pPr>
      <w:rPr>
        <w:rFonts w:hint="default"/>
      </w:rPr>
    </w:lvl>
    <w:lvl w:ilvl="6" w:tentative="0">
      <w:start w:val="1"/>
      <w:numFmt w:val="decimal"/>
      <w:lvlText w:val="%1.%2.%3.%4.%5.%6.%7"/>
      <w:lvlJc w:val="left"/>
      <w:pPr>
        <w:ind w:left="4842" w:hanging="1440"/>
      </w:pPr>
      <w:rPr>
        <w:rFonts w:hint="default"/>
      </w:rPr>
    </w:lvl>
    <w:lvl w:ilvl="7" w:tentative="0">
      <w:start w:val="1"/>
      <w:numFmt w:val="decimal"/>
      <w:lvlText w:val="%1.%2.%3.%4.%5.%6.%7.%8"/>
      <w:lvlJc w:val="left"/>
      <w:pPr>
        <w:ind w:left="5409" w:hanging="1440"/>
      </w:pPr>
      <w:rPr>
        <w:rFonts w:hint="default"/>
      </w:rPr>
    </w:lvl>
    <w:lvl w:ilvl="8" w:tentative="0">
      <w:start w:val="1"/>
      <w:numFmt w:val="decimal"/>
      <w:lvlText w:val="%1.%2.%3.%4.%5.%6.%7.%8.%9"/>
      <w:lvlJc w:val="left"/>
      <w:pPr>
        <w:ind w:left="6336" w:hanging="1800"/>
      </w:pPr>
      <w:rPr>
        <w:rFonts w:hint="default"/>
      </w:rPr>
    </w:lvl>
  </w:abstractNum>
  <w:abstractNum w:abstractNumId="5">
    <w:nsid w:val="6C2D4641"/>
    <w:multiLevelType w:val="multilevel"/>
    <w:tmpl w:val="6C2D4641"/>
    <w:lvl w:ilvl="0" w:tentative="0">
      <w:start w:val="4"/>
      <w:numFmt w:val="decimal"/>
      <w:lvlText w:val="%1"/>
      <w:lvlJc w:val="left"/>
      <w:pPr>
        <w:ind w:left="405" w:hanging="405"/>
      </w:pPr>
      <w:rPr>
        <w:rFonts w:hint="default"/>
      </w:rPr>
    </w:lvl>
    <w:lvl w:ilvl="1" w:tentative="0">
      <w:start w:val="2"/>
      <w:numFmt w:val="decimal"/>
      <w:lvlText w:val="%1.%2"/>
      <w:lvlJc w:val="left"/>
      <w:pPr>
        <w:ind w:left="1114" w:hanging="405"/>
      </w:pPr>
      <w:rPr>
        <w:rFonts w:hint="default"/>
      </w:rPr>
    </w:lvl>
    <w:lvl w:ilvl="2" w:tentative="0">
      <w:start w:val="1"/>
      <w:numFmt w:val="decimal"/>
      <w:lvlText w:val="%1.%2.%3"/>
      <w:lvlJc w:val="left"/>
      <w:pPr>
        <w:ind w:left="2216" w:hanging="720"/>
      </w:pPr>
      <w:rPr>
        <w:rFonts w:hint="default" w:ascii="Arial" w:hAnsi="Arial" w:cs="Arial"/>
      </w:rPr>
    </w:lvl>
    <w:lvl w:ilvl="3" w:tentative="0">
      <w:start w:val="1"/>
      <w:numFmt w:val="decimal"/>
      <w:lvlText w:val="%1.%2.%3.%4"/>
      <w:lvlJc w:val="left"/>
      <w:pPr>
        <w:ind w:left="2964" w:hanging="720"/>
      </w:pPr>
      <w:rPr>
        <w:rFonts w:hint="default"/>
      </w:rPr>
    </w:lvl>
    <w:lvl w:ilvl="4" w:tentative="0">
      <w:start w:val="1"/>
      <w:numFmt w:val="decimal"/>
      <w:lvlText w:val="%1.%2.%3.%4.%5"/>
      <w:lvlJc w:val="left"/>
      <w:pPr>
        <w:ind w:left="3712" w:hanging="720"/>
      </w:pPr>
      <w:rPr>
        <w:rFonts w:hint="default"/>
      </w:rPr>
    </w:lvl>
    <w:lvl w:ilvl="5" w:tentative="0">
      <w:start w:val="1"/>
      <w:numFmt w:val="decimal"/>
      <w:lvlText w:val="%1.%2.%3.%4.%5.%6"/>
      <w:lvlJc w:val="left"/>
      <w:pPr>
        <w:ind w:left="4820" w:hanging="1080"/>
      </w:pPr>
      <w:rPr>
        <w:rFonts w:hint="default"/>
      </w:rPr>
    </w:lvl>
    <w:lvl w:ilvl="6" w:tentative="0">
      <w:start w:val="1"/>
      <w:numFmt w:val="decimal"/>
      <w:lvlText w:val="%1.%2.%3.%4.%5.%6.%7"/>
      <w:lvlJc w:val="left"/>
      <w:pPr>
        <w:ind w:left="5568" w:hanging="1080"/>
      </w:pPr>
      <w:rPr>
        <w:rFonts w:hint="default"/>
      </w:rPr>
    </w:lvl>
    <w:lvl w:ilvl="7" w:tentative="0">
      <w:start w:val="1"/>
      <w:numFmt w:val="decimal"/>
      <w:lvlText w:val="%1.%2.%3.%4.%5.%6.%7.%8"/>
      <w:lvlJc w:val="left"/>
      <w:pPr>
        <w:ind w:left="6676" w:hanging="1440"/>
      </w:pPr>
      <w:rPr>
        <w:rFonts w:hint="default"/>
      </w:rPr>
    </w:lvl>
    <w:lvl w:ilvl="8" w:tentative="0">
      <w:start w:val="1"/>
      <w:numFmt w:val="decimal"/>
      <w:lvlText w:val="%1.%2.%3.%4.%5.%6.%7.%8.%9"/>
      <w:lvlJc w:val="left"/>
      <w:pPr>
        <w:ind w:left="7424" w:hanging="1440"/>
      </w:pPr>
      <w:rPr>
        <w:rFonts w:hint="default"/>
      </w:rPr>
    </w:lvl>
  </w:abstractNum>
  <w:abstractNum w:abstractNumId="6">
    <w:nsid w:val="6EC66869"/>
    <w:multiLevelType w:val="multilevel"/>
    <w:tmpl w:val="6EC66869"/>
    <w:lvl w:ilvl="0" w:tentative="0">
      <w:start w:val="1"/>
      <w:numFmt w:val="bullet"/>
      <w:lvlText w:val="o"/>
      <w:lvlJc w:val="left"/>
      <w:pPr>
        <w:ind w:left="1380" w:hanging="360"/>
      </w:pPr>
      <w:rPr>
        <w:rFonts w:hint="default" w:ascii="Courier New" w:hAnsi="Courier New" w:cs="Courier New"/>
      </w:rPr>
    </w:lvl>
    <w:lvl w:ilvl="1" w:tentative="0">
      <w:start w:val="1"/>
      <w:numFmt w:val="bullet"/>
      <w:lvlText w:val="o"/>
      <w:lvlJc w:val="left"/>
      <w:pPr>
        <w:ind w:left="2100" w:hanging="360"/>
      </w:pPr>
      <w:rPr>
        <w:rFonts w:hint="default" w:ascii="Courier New" w:hAnsi="Courier New" w:cs="Courier New"/>
      </w:rPr>
    </w:lvl>
    <w:lvl w:ilvl="2" w:tentative="0">
      <w:start w:val="1"/>
      <w:numFmt w:val="bullet"/>
      <w:lvlText w:val=""/>
      <w:lvlJc w:val="left"/>
      <w:pPr>
        <w:ind w:left="2820" w:hanging="360"/>
      </w:pPr>
      <w:rPr>
        <w:rFonts w:hint="default" w:ascii="Wingdings" w:hAnsi="Wingdings"/>
      </w:rPr>
    </w:lvl>
    <w:lvl w:ilvl="3" w:tentative="0">
      <w:start w:val="1"/>
      <w:numFmt w:val="bullet"/>
      <w:lvlText w:val=""/>
      <w:lvlJc w:val="left"/>
      <w:pPr>
        <w:ind w:left="3540" w:hanging="360"/>
      </w:pPr>
      <w:rPr>
        <w:rFonts w:hint="default" w:ascii="Symbol" w:hAnsi="Symbol"/>
      </w:rPr>
    </w:lvl>
    <w:lvl w:ilvl="4" w:tentative="0">
      <w:start w:val="1"/>
      <w:numFmt w:val="bullet"/>
      <w:lvlText w:val="o"/>
      <w:lvlJc w:val="left"/>
      <w:pPr>
        <w:ind w:left="4260" w:hanging="360"/>
      </w:pPr>
      <w:rPr>
        <w:rFonts w:hint="default" w:ascii="Courier New" w:hAnsi="Courier New" w:cs="Courier New"/>
      </w:rPr>
    </w:lvl>
    <w:lvl w:ilvl="5" w:tentative="0">
      <w:start w:val="1"/>
      <w:numFmt w:val="bullet"/>
      <w:lvlText w:val=""/>
      <w:lvlJc w:val="left"/>
      <w:pPr>
        <w:ind w:left="4980" w:hanging="360"/>
      </w:pPr>
      <w:rPr>
        <w:rFonts w:hint="default" w:ascii="Wingdings" w:hAnsi="Wingdings"/>
      </w:rPr>
    </w:lvl>
    <w:lvl w:ilvl="6" w:tentative="0">
      <w:start w:val="1"/>
      <w:numFmt w:val="bullet"/>
      <w:lvlText w:val=""/>
      <w:lvlJc w:val="left"/>
      <w:pPr>
        <w:ind w:left="5700" w:hanging="360"/>
      </w:pPr>
      <w:rPr>
        <w:rFonts w:hint="default" w:ascii="Symbol" w:hAnsi="Symbol"/>
      </w:rPr>
    </w:lvl>
    <w:lvl w:ilvl="7" w:tentative="0">
      <w:start w:val="1"/>
      <w:numFmt w:val="bullet"/>
      <w:lvlText w:val="o"/>
      <w:lvlJc w:val="left"/>
      <w:pPr>
        <w:ind w:left="6420" w:hanging="360"/>
      </w:pPr>
      <w:rPr>
        <w:rFonts w:hint="default" w:ascii="Courier New" w:hAnsi="Courier New" w:cs="Courier New"/>
      </w:rPr>
    </w:lvl>
    <w:lvl w:ilvl="8" w:tentative="0">
      <w:start w:val="1"/>
      <w:numFmt w:val="bullet"/>
      <w:lvlText w:val=""/>
      <w:lvlJc w:val="left"/>
      <w:pPr>
        <w:ind w:left="7140" w:hanging="360"/>
      </w:pPr>
      <w:rPr>
        <w:rFonts w:hint="default" w:ascii="Wingdings" w:hAnsi="Wingdings"/>
      </w:rPr>
    </w:lvl>
  </w:abstractNum>
  <w:abstractNum w:abstractNumId="7">
    <w:nsid w:val="7D9624EC"/>
    <w:multiLevelType w:val="multilevel"/>
    <w:tmpl w:val="7D9624EC"/>
    <w:lvl w:ilvl="0" w:tentative="0">
      <w:start w:val="3"/>
      <w:numFmt w:val="decimal"/>
      <w:lvlText w:val="%1."/>
      <w:lvlJc w:val="left"/>
      <w:pPr>
        <w:ind w:left="375" w:hanging="375"/>
      </w:pPr>
      <w:rPr>
        <w:rFonts w:hint="default" w:cs="Times New Roman"/>
        <w:color w:val="000000"/>
      </w:rPr>
    </w:lvl>
    <w:lvl w:ilvl="1" w:tentative="0">
      <w:start w:val="1"/>
      <w:numFmt w:val="decimal"/>
      <w:lvlText w:val="%1.%2."/>
      <w:lvlJc w:val="left"/>
      <w:pPr>
        <w:ind w:left="1287" w:hanging="720"/>
      </w:pPr>
      <w:rPr>
        <w:color w:val="000000"/>
      </w:rPr>
    </w:lvl>
    <w:lvl w:ilvl="2" w:tentative="0">
      <w:start w:val="1"/>
      <w:numFmt w:val="decimal"/>
      <w:lvlText w:val="%1.%2.%3."/>
      <w:lvlJc w:val="left"/>
      <w:pPr>
        <w:ind w:left="1854" w:hanging="720"/>
      </w:pPr>
      <w:rPr>
        <w:color w:val="000000"/>
      </w:rPr>
    </w:lvl>
    <w:lvl w:ilvl="3" w:tentative="0">
      <w:start w:val="1"/>
      <w:numFmt w:val="decimal"/>
      <w:lvlText w:val="%1.%2.%3.%4."/>
      <w:lvlJc w:val="left"/>
      <w:pPr>
        <w:ind w:left="2781" w:hanging="1080"/>
      </w:pPr>
      <w:rPr>
        <w:rFonts w:hint="default" w:cs="Times New Roman"/>
        <w:color w:val="000000"/>
      </w:rPr>
    </w:lvl>
    <w:lvl w:ilvl="4" w:tentative="0">
      <w:start w:val="1"/>
      <w:numFmt w:val="decimal"/>
      <w:lvlText w:val="%1.%2.%3.%4.%5."/>
      <w:lvlJc w:val="left"/>
      <w:pPr>
        <w:ind w:left="3708" w:hanging="1440"/>
      </w:pPr>
      <w:rPr>
        <w:rFonts w:hint="default" w:cs="Times New Roman"/>
        <w:color w:val="000000"/>
      </w:rPr>
    </w:lvl>
    <w:lvl w:ilvl="5" w:tentative="0">
      <w:start w:val="1"/>
      <w:numFmt w:val="decimal"/>
      <w:lvlText w:val="%1.%2.%3.%4.%5.%6."/>
      <w:lvlJc w:val="left"/>
      <w:pPr>
        <w:ind w:left="4275" w:hanging="1440"/>
      </w:pPr>
      <w:rPr>
        <w:rFonts w:hint="default" w:cs="Times New Roman"/>
        <w:color w:val="000000"/>
      </w:rPr>
    </w:lvl>
    <w:lvl w:ilvl="6" w:tentative="0">
      <w:start w:val="1"/>
      <w:numFmt w:val="decimal"/>
      <w:lvlText w:val="%1.%2.%3.%4.%5.%6.%7."/>
      <w:lvlJc w:val="left"/>
      <w:pPr>
        <w:ind w:left="5202" w:hanging="1800"/>
      </w:pPr>
      <w:rPr>
        <w:rFonts w:hint="default" w:cs="Times New Roman"/>
        <w:color w:val="000000"/>
      </w:rPr>
    </w:lvl>
    <w:lvl w:ilvl="7" w:tentative="0">
      <w:start w:val="1"/>
      <w:numFmt w:val="decimal"/>
      <w:lvlText w:val="%1.%2.%3.%4.%5.%6.%7.%8."/>
      <w:lvlJc w:val="left"/>
      <w:pPr>
        <w:ind w:left="6129" w:hanging="2160"/>
      </w:pPr>
      <w:rPr>
        <w:rFonts w:hint="default" w:cs="Times New Roman"/>
        <w:color w:val="000000"/>
      </w:rPr>
    </w:lvl>
    <w:lvl w:ilvl="8" w:tentative="0">
      <w:start w:val="1"/>
      <w:numFmt w:val="decimal"/>
      <w:lvlText w:val="%1.%2.%3.%4.%5.%6.%7.%8.%9."/>
      <w:lvlJc w:val="left"/>
      <w:pPr>
        <w:ind w:left="6696" w:hanging="2160"/>
      </w:pPr>
      <w:rPr>
        <w:rFonts w:hint="default" w:cs="Times New Roman"/>
        <w:color w:val="000000"/>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9"/>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2"/>
  </w:compat>
  <w:rsids>
    <w:rsidRoot w:val="00D00846"/>
    <w:rsid w:val="00000CC9"/>
    <w:rsid w:val="000022E3"/>
    <w:rsid w:val="00003DC8"/>
    <w:rsid w:val="00003F6F"/>
    <w:rsid w:val="00020A23"/>
    <w:rsid w:val="0002173F"/>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91358"/>
    <w:rsid w:val="00092281"/>
    <w:rsid w:val="00094592"/>
    <w:rsid w:val="000B02B7"/>
    <w:rsid w:val="000B2ECB"/>
    <w:rsid w:val="000B79B0"/>
    <w:rsid w:val="000C2DFC"/>
    <w:rsid w:val="000C633E"/>
    <w:rsid w:val="000C78AD"/>
    <w:rsid w:val="000D1118"/>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7D80"/>
    <w:rsid w:val="0015089E"/>
    <w:rsid w:val="001537E3"/>
    <w:rsid w:val="00156910"/>
    <w:rsid w:val="00161EFF"/>
    <w:rsid w:val="001701E5"/>
    <w:rsid w:val="001718F3"/>
    <w:rsid w:val="00186725"/>
    <w:rsid w:val="00195DD6"/>
    <w:rsid w:val="001B64FC"/>
    <w:rsid w:val="001C6CF6"/>
    <w:rsid w:val="001D054A"/>
    <w:rsid w:val="001D2FF2"/>
    <w:rsid w:val="001D63EC"/>
    <w:rsid w:val="001E00F8"/>
    <w:rsid w:val="001E4BD9"/>
    <w:rsid w:val="001F3184"/>
    <w:rsid w:val="00200969"/>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91491"/>
    <w:rsid w:val="00294347"/>
    <w:rsid w:val="00294744"/>
    <w:rsid w:val="002960BC"/>
    <w:rsid w:val="002A0063"/>
    <w:rsid w:val="002A05D0"/>
    <w:rsid w:val="002A162E"/>
    <w:rsid w:val="002C5B60"/>
    <w:rsid w:val="002C758F"/>
    <w:rsid w:val="002D0E4D"/>
    <w:rsid w:val="002D4952"/>
    <w:rsid w:val="002E2954"/>
    <w:rsid w:val="002F462F"/>
    <w:rsid w:val="00303F02"/>
    <w:rsid w:val="003041C3"/>
    <w:rsid w:val="00304366"/>
    <w:rsid w:val="00307ABB"/>
    <w:rsid w:val="003127DB"/>
    <w:rsid w:val="00312DC1"/>
    <w:rsid w:val="003135DC"/>
    <w:rsid w:val="00325986"/>
    <w:rsid w:val="00340CD7"/>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7DE4"/>
    <w:rsid w:val="003E3732"/>
    <w:rsid w:val="003E5D32"/>
    <w:rsid w:val="003F1687"/>
    <w:rsid w:val="003F39E8"/>
    <w:rsid w:val="004001C8"/>
    <w:rsid w:val="004047E5"/>
    <w:rsid w:val="0040653D"/>
    <w:rsid w:val="00416873"/>
    <w:rsid w:val="00420ED9"/>
    <w:rsid w:val="004238E9"/>
    <w:rsid w:val="00423CFC"/>
    <w:rsid w:val="004408DA"/>
    <w:rsid w:val="00440DB9"/>
    <w:rsid w:val="004432FD"/>
    <w:rsid w:val="0044340A"/>
    <w:rsid w:val="00445448"/>
    <w:rsid w:val="00446E0B"/>
    <w:rsid w:val="00447F9F"/>
    <w:rsid w:val="00447FA8"/>
    <w:rsid w:val="0045174B"/>
    <w:rsid w:val="004534F6"/>
    <w:rsid w:val="00453712"/>
    <w:rsid w:val="00460E8B"/>
    <w:rsid w:val="00464C98"/>
    <w:rsid w:val="00465F78"/>
    <w:rsid w:val="00471933"/>
    <w:rsid w:val="00473109"/>
    <w:rsid w:val="0047346C"/>
    <w:rsid w:val="00481B8F"/>
    <w:rsid w:val="004823EC"/>
    <w:rsid w:val="00483E66"/>
    <w:rsid w:val="0048473A"/>
    <w:rsid w:val="00484D9F"/>
    <w:rsid w:val="00495A10"/>
    <w:rsid w:val="004A5793"/>
    <w:rsid w:val="004B05BE"/>
    <w:rsid w:val="004B6C55"/>
    <w:rsid w:val="004B6CA4"/>
    <w:rsid w:val="004C447A"/>
    <w:rsid w:val="004C65AD"/>
    <w:rsid w:val="004C7DD8"/>
    <w:rsid w:val="004D40E6"/>
    <w:rsid w:val="004D52B0"/>
    <w:rsid w:val="004E063D"/>
    <w:rsid w:val="004E3A5C"/>
    <w:rsid w:val="004E595C"/>
    <w:rsid w:val="004F2265"/>
    <w:rsid w:val="005000A6"/>
    <w:rsid w:val="00503783"/>
    <w:rsid w:val="00510916"/>
    <w:rsid w:val="00511126"/>
    <w:rsid w:val="0051114F"/>
    <w:rsid w:val="00512D1A"/>
    <w:rsid w:val="00520B75"/>
    <w:rsid w:val="00522713"/>
    <w:rsid w:val="00524B89"/>
    <w:rsid w:val="0052574A"/>
    <w:rsid w:val="0052759B"/>
    <w:rsid w:val="00530EC4"/>
    <w:rsid w:val="005472B5"/>
    <w:rsid w:val="005625A5"/>
    <w:rsid w:val="005653E2"/>
    <w:rsid w:val="00581604"/>
    <w:rsid w:val="00596404"/>
    <w:rsid w:val="005A46CA"/>
    <w:rsid w:val="005B3CD9"/>
    <w:rsid w:val="005B55B2"/>
    <w:rsid w:val="005C3AD0"/>
    <w:rsid w:val="005C555B"/>
    <w:rsid w:val="005D3BC2"/>
    <w:rsid w:val="005E2AE4"/>
    <w:rsid w:val="005E32AA"/>
    <w:rsid w:val="005F2397"/>
    <w:rsid w:val="005F5338"/>
    <w:rsid w:val="005F56B2"/>
    <w:rsid w:val="005F6F2E"/>
    <w:rsid w:val="005F78D2"/>
    <w:rsid w:val="0060190D"/>
    <w:rsid w:val="00604296"/>
    <w:rsid w:val="00611FA3"/>
    <w:rsid w:val="00616CBB"/>
    <w:rsid w:val="0062031E"/>
    <w:rsid w:val="006204FB"/>
    <w:rsid w:val="006213C2"/>
    <w:rsid w:val="00621D2C"/>
    <w:rsid w:val="00630EFD"/>
    <w:rsid w:val="00635C6A"/>
    <w:rsid w:val="00650692"/>
    <w:rsid w:val="00656EB6"/>
    <w:rsid w:val="00657A30"/>
    <w:rsid w:val="00657CE1"/>
    <w:rsid w:val="00657EF1"/>
    <w:rsid w:val="0066165D"/>
    <w:rsid w:val="0066797A"/>
    <w:rsid w:val="00667AEF"/>
    <w:rsid w:val="00683576"/>
    <w:rsid w:val="00684822"/>
    <w:rsid w:val="0069666A"/>
    <w:rsid w:val="006A56ED"/>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4338"/>
    <w:rsid w:val="007C72AA"/>
    <w:rsid w:val="007D0242"/>
    <w:rsid w:val="007D1EA1"/>
    <w:rsid w:val="007D2BF7"/>
    <w:rsid w:val="007D6248"/>
    <w:rsid w:val="007D6BFA"/>
    <w:rsid w:val="007D7EE1"/>
    <w:rsid w:val="007E2177"/>
    <w:rsid w:val="007E239F"/>
    <w:rsid w:val="007F5F14"/>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770D"/>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FE6"/>
    <w:rsid w:val="009471F3"/>
    <w:rsid w:val="0095178B"/>
    <w:rsid w:val="0095353A"/>
    <w:rsid w:val="00956DD0"/>
    <w:rsid w:val="009627CA"/>
    <w:rsid w:val="00964980"/>
    <w:rsid w:val="00965748"/>
    <w:rsid w:val="00967922"/>
    <w:rsid w:val="009700A4"/>
    <w:rsid w:val="00973804"/>
    <w:rsid w:val="00977174"/>
    <w:rsid w:val="0098026A"/>
    <w:rsid w:val="009809A2"/>
    <w:rsid w:val="0098333E"/>
    <w:rsid w:val="009840DF"/>
    <w:rsid w:val="009857D1"/>
    <w:rsid w:val="009871CC"/>
    <w:rsid w:val="00993C17"/>
    <w:rsid w:val="009A2C12"/>
    <w:rsid w:val="009A3A2E"/>
    <w:rsid w:val="009A5162"/>
    <w:rsid w:val="009B10FA"/>
    <w:rsid w:val="009B1F55"/>
    <w:rsid w:val="009B4E79"/>
    <w:rsid w:val="009B59AA"/>
    <w:rsid w:val="009B77AB"/>
    <w:rsid w:val="009B781A"/>
    <w:rsid w:val="009C0766"/>
    <w:rsid w:val="009C2B8A"/>
    <w:rsid w:val="009C4EC5"/>
    <w:rsid w:val="009D2CDE"/>
    <w:rsid w:val="009D5EBA"/>
    <w:rsid w:val="009E6F22"/>
    <w:rsid w:val="009F07ED"/>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7B3"/>
    <w:rsid w:val="00AA2AA4"/>
    <w:rsid w:val="00AB0091"/>
    <w:rsid w:val="00AC4437"/>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B6E68"/>
    <w:rsid w:val="00BC066D"/>
    <w:rsid w:val="00BC6C80"/>
    <w:rsid w:val="00BC754C"/>
    <w:rsid w:val="00BE13FA"/>
    <w:rsid w:val="00BE2449"/>
    <w:rsid w:val="00BE5F79"/>
    <w:rsid w:val="00BE7F4C"/>
    <w:rsid w:val="00C01226"/>
    <w:rsid w:val="00C033F4"/>
    <w:rsid w:val="00C0561B"/>
    <w:rsid w:val="00C06917"/>
    <w:rsid w:val="00C17FDA"/>
    <w:rsid w:val="00C22716"/>
    <w:rsid w:val="00C22CC7"/>
    <w:rsid w:val="00C23F17"/>
    <w:rsid w:val="00C30648"/>
    <w:rsid w:val="00C327E3"/>
    <w:rsid w:val="00C34869"/>
    <w:rsid w:val="00C35203"/>
    <w:rsid w:val="00C40376"/>
    <w:rsid w:val="00C41722"/>
    <w:rsid w:val="00C43FC5"/>
    <w:rsid w:val="00C45F43"/>
    <w:rsid w:val="00C46991"/>
    <w:rsid w:val="00C50C7B"/>
    <w:rsid w:val="00C53F93"/>
    <w:rsid w:val="00C561E1"/>
    <w:rsid w:val="00C5707B"/>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5913"/>
    <w:rsid w:val="00DD60B8"/>
    <w:rsid w:val="00DE0DFB"/>
    <w:rsid w:val="00DE608C"/>
    <w:rsid w:val="00DE772C"/>
    <w:rsid w:val="00DF2542"/>
    <w:rsid w:val="00DF6C2C"/>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40564"/>
    <w:rsid w:val="00E525E5"/>
    <w:rsid w:val="00E609CA"/>
    <w:rsid w:val="00E675C7"/>
    <w:rsid w:val="00E723A0"/>
    <w:rsid w:val="00E72627"/>
    <w:rsid w:val="00E802FA"/>
    <w:rsid w:val="00E80A0F"/>
    <w:rsid w:val="00E81226"/>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E6854"/>
    <w:rsid w:val="00EF3FAE"/>
    <w:rsid w:val="00EF4724"/>
    <w:rsid w:val="00EF4C77"/>
    <w:rsid w:val="00F06811"/>
    <w:rsid w:val="00F248FE"/>
    <w:rsid w:val="00F2643D"/>
    <w:rsid w:val="00F265E3"/>
    <w:rsid w:val="00F371C9"/>
    <w:rsid w:val="00F42EE6"/>
    <w:rsid w:val="00F45D1D"/>
    <w:rsid w:val="00F47CC6"/>
    <w:rsid w:val="00F510B3"/>
    <w:rsid w:val="00F5519E"/>
    <w:rsid w:val="00F55E47"/>
    <w:rsid w:val="00F61072"/>
    <w:rsid w:val="00F61A35"/>
    <w:rsid w:val="00F61AFA"/>
    <w:rsid w:val="00F66D01"/>
    <w:rsid w:val="00F716B7"/>
    <w:rsid w:val="00F71FFD"/>
    <w:rsid w:val="00F808A0"/>
    <w:rsid w:val="00F82A83"/>
    <w:rsid w:val="00F9390C"/>
    <w:rsid w:val="00F96052"/>
    <w:rsid w:val="00F974C2"/>
    <w:rsid w:val="00FA1115"/>
    <w:rsid w:val="00FA5124"/>
    <w:rsid w:val="00FB13C7"/>
    <w:rsid w:val="00FB4721"/>
    <w:rsid w:val="00FC182D"/>
    <w:rsid w:val="00FC2087"/>
    <w:rsid w:val="00FC3CB0"/>
    <w:rsid w:val="00FD0CFA"/>
    <w:rsid w:val="00FD3823"/>
    <w:rsid w:val="00FE3C50"/>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4D767A"/>
    <w:rsid w:val="1ED0382D"/>
    <w:rsid w:val="1F6FCC30"/>
    <w:rsid w:val="1FFEA7A4"/>
    <w:rsid w:val="221E1ADB"/>
    <w:rsid w:val="234110F7"/>
    <w:rsid w:val="244E1F36"/>
    <w:rsid w:val="26E71322"/>
    <w:rsid w:val="2701BBCF"/>
    <w:rsid w:val="2B5CB754"/>
    <w:rsid w:val="2CE41E6C"/>
    <w:rsid w:val="2DCCFC28"/>
    <w:rsid w:val="2F7EF4F6"/>
    <w:rsid w:val="31D431B3"/>
    <w:rsid w:val="322B78EA"/>
    <w:rsid w:val="327B69C8"/>
    <w:rsid w:val="32EC8777"/>
    <w:rsid w:val="33EDD487"/>
    <w:rsid w:val="3466878E"/>
    <w:rsid w:val="34E5C65A"/>
    <w:rsid w:val="365304A7"/>
    <w:rsid w:val="39DE6FB2"/>
    <w:rsid w:val="3A612B6C"/>
    <w:rsid w:val="3A73173A"/>
    <w:rsid w:val="3C15D3EA"/>
    <w:rsid w:val="3D5415FC"/>
    <w:rsid w:val="3EB07F14"/>
    <w:rsid w:val="4017BF77"/>
    <w:rsid w:val="411B7F00"/>
    <w:rsid w:val="425A78EE"/>
    <w:rsid w:val="42644E04"/>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0C942A8"/>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0"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34" w:semiHidden="0" w:name="List Paragraph"/>
    <w:lsdException w:qFormat="1" w:unhideWhenUsed="0" w:uiPriority="0" w:semiHidden="0" w:name="Quote"/>
    <w:lsdException w:qFormat="1" w:uiPriority="0" w:name="Medium Grid 2 Accent 2"/>
  </w:latentStyles>
  <w:style w:type="paragraph" w:default="1" w:styleId="1">
    <w:name w:val="Normal"/>
    <w:qFormat/>
    <w:uiPriority w:val="0"/>
    <w:pPr>
      <w:keepNext/>
      <w:shd w:val="clear" w:color="auto" w:fill="FFFFFF"/>
      <w:tabs>
        <w:tab w:val="left" w:pos="708"/>
      </w:tabs>
      <w:suppressAutoHyphens/>
      <w:overflowPunct w:val="0"/>
      <w:textAlignment w:val="baseline"/>
    </w:pPr>
    <w:rPr>
      <w:rFonts w:ascii="Ecofont_Spranq_eco_Sans" w:hAnsi="Ecofont_Spranq_eco_Sans" w:eastAsia="Times New Roman" w:cs="Tahoma"/>
      <w:color w:val="00000A"/>
      <w:sz w:val="24"/>
      <w:szCs w:val="24"/>
      <w:lang w:val="pt-BR" w:eastAsia="pt-BR" w:bidi="ar-SA"/>
    </w:rPr>
  </w:style>
  <w:style w:type="paragraph" w:styleId="2">
    <w:name w:val="heading 1"/>
    <w:basedOn w:val="3"/>
    <w:next w:val="4"/>
    <w:uiPriority w:val="0"/>
    <w:pPr>
      <w:numPr>
        <w:ilvl w:val="0"/>
        <w:numId w:val="1"/>
      </w:numPr>
      <w:tabs>
        <w:tab w:val="left" w:pos="708"/>
      </w:tabs>
      <w:outlineLvl w:val="0"/>
    </w:pPr>
    <w:rPr>
      <w:b/>
      <w:bCs/>
      <w:sz w:val="36"/>
      <w:szCs w:val="36"/>
    </w:rPr>
  </w:style>
  <w:style w:type="paragraph" w:styleId="5">
    <w:name w:val="heading 2"/>
    <w:basedOn w:val="1"/>
    <w:next w:val="4"/>
    <w:qFormat/>
    <w:uiPriority w:val="0"/>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6">
    <w:name w:val="heading 3"/>
    <w:basedOn w:val="3"/>
    <w:next w:val="4"/>
    <w:qFormat/>
    <w:uiPriority w:val="0"/>
    <w:pPr>
      <w:numPr>
        <w:ilvl w:val="2"/>
        <w:numId w:val="1"/>
      </w:numPr>
      <w:tabs>
        <w:tab w:val="left" w:pos="708"/>
      </w:tabs>
      <w:spacing w:before="140"/>
      <w:outlineLvl w:val="2"/>
    </w:pPr>
    <w:rPr>
      <w:b/>
      <w:bCs/>
      <w:color w:val="808080"/>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4"/>
    <w:qFormat/>
    <w:uiPriority w:val="0"/>
    <w:pPr>
      <w:spacing w:before="240" w:after="120"/>
    </w:pPr>
    <w:rPr>
      <w:rFonts w:ascii="Liberation Sans" w:hAnsi="Liberation Sans" w:eastAsia="WenQuanYi Micro Hei" w:cs="Lohit Hindi"/>
      <w:sz w:val="28"/>
      <w:szCs w:val="28"/>
    </w:rPr>
  </w:style>
  <w:style w:type="paragraph" w:customStyle="1" w:styleId="4">
    <w:name w:val="Corpo do texto"/>
    <w:basedOn w:val="1"/>
    <w:qFormat/>
    <w:uiPriority w:val="0"/>
    <w:pPr>
      <w:spacing w:after="120"/>
    </w:pPr>
  </w:style>
  <w:style w:type="character" w:styleId="9">
    <w:name w:val="annotation reference"/>
    <w:basedOn w:val="7"/>
    <w:unhideWhenUsed/>
    <w:qFormat/>
    <w:uiPriority w:val="99"/>
    <w:rPr>
      <w:sz w:val="16"/>
      <w:szCs w:val="16"/>
    </w:rPr>
  </w:style>
  <w:style w:type="character" w:styleId="10">
    <w:name w:val="Hyperlink"/>
    <w:basedOn w:val="7"/>
    <w:qFormat/>
    <w:uiPriority w:val="0"/>
    <w:rPr>
      <w:color w:val="0563C1"/>
      <w:u w:val="single"/>
    </w:rPr>
  </w:style>
  <w:style w:type="paragraph" w:styleId="11">
    <w:name w:val="List"/>
    <w:basedOn w:val="4"/>
    <w:qFormat/>
    <w:uiPriority w:val="0"/>
    <w:rPr>
      <w:rFonts w:cs="Lohit Hindi"/>
    </w:rPr>
  </w:style>
  <w:style w:type="paragraph" w:styleId="12">
    <w:name w:val="Body Text"/>
    <w:basedOn w:val="1"/>
    <w:link w:val="77"/>
    <w:qFormat/>
    <w:uiPriority w:val="0"/>
    <w:pPr>
      <w:keepNext w:val="0"/>
      <w:widowControl w:val="0"/>
      <w:shd w:val="clear" w:color="auto" w:fill="auto"/>
      <w:tabs>
        <w:tab w:val="clear" w:pos="708"/>
      </w:tabs>
      <w:overflowPunct/>
      <w:spacing w:after="120"/>
      <w:textAlignment w:val="auto"/>
    </w:pPr>
    <w:rPr>
      <w:rFonts w:ascii="Times New Roman" w:hAnsi="Times New Roman" w:eastAsia="Arial Unicode MS" w:cs="Times New Roman"/>
      <w:color w:val="auto"/>
      <w:szCs w:val="20"/>
    </w:rPr>
  </w:style>
  <w:style w:type="paragraph" w:styleId="13">
    <w:name w:val="annotation text"/>
    <w:basedOn w:val="1"/>
    <w:link w:val="76"/>
    <w:unhideWhenUsed/>
    <w:qFormat/>
    <w:uiPriority w:val="99"/>
    <w:rPr>
      <w:sz w:val="20"/>
      <w:szCs w:val="20"/>
    </w:rPr>
  </w:style>
  <w:style w:type="paragraph" w:styleId="14">
    <w:name w:val="List Bullet 5"/>
    <w:basedOn w:val="1"/>
    <w:qFormat/>
    <w:uiPriority w:val="0"/>
  </w:style>
  <w:style w:type="paragraph" w:styleId="15">
    <w:name w:val="Normal (Web)"/>
    <w:basedOn w:val="1"/>
    <w:qFormat/>
    <w:uiPriority w:val="99"/>
    <w:pPr>
      <w:spacing w:before="28" w:after="28"/>
    </w:pPr>
    <w:rPr>
      <w:rFonts w:ascii="Times New Roman" w:hAnsi="Times New Roman" w:cs="Times New Roman"/>
    </w:rPr>
  </w:style>
  <w:style w:type="paragraph" w:styleId="16">
    <w:name w:val="Plain Text"/>
    <w:basedOn w:val="1"/>
    <w:link w:val="104"/>
    <w:semiHidden/>
    <w:unhideWhenUsed/>
    <w:qFormat/>
    <w:uiPriority w:val="99"/>
    <w:pPr>
      <w:keepNext w:val="0"/>
      <w:shd w:val="clear" w:color="auto" w:fill="auto"/>
      <w:tabs>
        <w:tab w:val="clear" w:pos="708"/>
      </w:tabs>
      <w:suppressAutoHyphens w:val="0"/>
      <w:overflowPunct/>
      <w:textAlignment w:val="auto"/>
    </w:pPr>
    <w:rPr>
      <w:rFonts w:ascii="Calibri" w:hAnsi="Calibri" w:eastAsiaTheme="minorHAnsi" w:cstheme="minorBidi"/>
      <w:color w:val="auto"/>
      <w:sz w:val="22"/>
      <w:szCs w:val="21"/>
      <w:lang w:eastAsia="en-US"/>
    </w:rPr>
  </w:style>
  <w:style w:type="paragraph" w:styleId="17">
    <w:name w:val="header"/>
    <w:basedOn w:val="1"/>
    <w:qFormat/>
    <w:uiPriority w:val="0"/>
    <w:pPr>
      <w:suppressLineNumbers/>
      <w:tabs>
        <w:tab w:val="center" w:pos="4252"/>
        <w:tab w:val="right" w:pos="8504"/>
      </w:tabs>
    </w:pPr>
  </w:style>
  <w:style w:type="paragraph" w:styleId="18">
    <w:name w:val="annotation subject"/>
    <w:basedOn w:val="13"/>
    <w:next w:val="13"/>
    <w:link w:val="86"/>
    <w:semiHidden/>
    <w:unhideWhenUsed/>
    <w:qFormat/>
    <w:uiPriority w:val="99"/>
    <w:rPr>
      <w:b/>
      <w:bCs/>
    </w:rPr>
  </w:style>
  <w:style w:type="paragraph" w:styleId="19">
    <w:name w:val="footer"/>
    <w:basedOn w:val="1"/>
    <w:qFormat/>
    <w:uiPriority w:val="99"/>
    <w:pPr>
      <w:suppressLineNumbers/>
      <w:tabs>
        <w:tab w:val="center" w:pos="4252"/>
        <w:tab w:val="right" w:pos="8504"/>
      </w:tabs>
    </w:pPr>
  </w:style>
  <w:style w:type="paragraph" w:styleId="20">
    <w:name w:val="caption"/>
    <w:basedOn w:val="1"/>
    <w:next w:val="1"/>
    <w:qFormat/>
    <w:uiPriority w:val="0"/>
    <w:pPr>
      <w:suppressLineNumbers/>
      <w:spacing w:before="120" w:after="120"/>
    </w:pPr>
    <w:rPr>
      <w:rFonts w:cs="Lohit Hindi"/>
      <w:i/>
      <w:iCs/>
    </w:rPr>
  </w:style>
  <w:style w:type="paragraph" w:styleId="21">
    <w:name w:val="Balloon Text"/>
    <w:basedOn w:val="1"/>
    <w:qFormat/>
    <w:uiPriority w:val="0"/>
    <w:rPr>
      <w:rFonts w:ascii="Tahoma" w:hAnsi="Tahoma"/>
      <w:sz w:val="16"/>
      <w:szCs w:val="16"/>
    </w:rPr>
  </w:style>
  <w:style w:type="paragraph" w:styleId="22">
    <w:name w:val="Subtitle"/>
    <w:basedOn w:val="3"/>
    <w:next w:val="4"/>
    <w:qFormat/>
    <w:uiPriority w:val="0"/>
    <w:pPr>
      <w:spacing w:before="60"/>
      <w:jc w:val="center"/>
    </w:pPr>
    <w:rPr>
      <w:sz w:val="36"/>
      <w:szCs w:val="3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4">
    <w:name w:val="Texto de balão Char"/>
    <w:qFormat/>
    <w:uiPriority w:val="0"/>
    <w:rPr>
      <w:rFonts w:ascii="Tahoma" w:hAnsi="Tahoma" w:cs="Tahoma"/>
      <w:sz w:val="16"/>
      <w:szCs w:val="16"/>
    </w:rPr>
  </w:style>
  <w:style w:type="character" w:customStyle="1" w:styleId="25">
    <w:name w:val="Título 2 Char"/>
    <w:qFormat/>
    <w:uiPriority w:val="0"/>
    <w:rPr>
      <w:b/>
      <w:color w:val="000000"/>
      <w:sz w:val="24"/>
    </w:rPr>
  </w:style>
  <w:style w:type="character" w:customStyle="1" w:styleId="26">
    <w:name w:val="normal__char1"/>
    <w:qFormat/>
    <w:uiPriority w:val="0"/>
    <w:rPr>
      <w:rFonts w:ascii="Arial" w:hAnsi="Arial" w:cs="Arial"/>
      <w:sz w:val="24"/>
      <w:szCs w:val="24"/>
      <w:u w:val="none"/>
    </w:rPr>
  </w:style>
  <w:style w:type="character" w:customStyle="1" w:styleId="27">
    <w:name w:val="apple-style-span"/>
    <w:basedOn w:val="7"/>
    <w:qFormat/>
    <w:uiPriority w:val="0"/>
  </w:style>
  <w:style w:type="character" w:customStyle="1" w:styleId="28">
    <w:name w:val="Link da Internet"/>
    <w:qFormat/>
    <w:uiPriority w:val="0"/>
    <w:rPr>
      <w:color w:val="000080"/>
      <w:u w:val="single"/>
      <w:lang w:val="en-US" w:eastAsia="en-US" w:bidi="en-US"/>
    </w:rPr>
  </w:style>
  <w:style w:type="character" w:customStyle="1" w:styleId="29">
    <w:name w:val="Citação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0">
    <w:name w:val="citação 2 Char"/>
    <w:qFormat/>
    <w:uiPriority w:val="0"/>
    <w:rPr>
      <w:rFonts w:ascii="Ecofont_Spranq_eco_Sans" w:hAnsi="Ecofont_Spranq_eco_Sans" w:eastAsia="Calibri" w:cs="Tahoma"/>
      <w:i/>
      <w:iCs/>
      <w:color w:val="000000"/>
      <w:szCs w:val="24"/>
      <w:shd w:val="clear" w:color="auto" w:fill="FFFFCC"/>
      <w:lang w:eastAsia="en-US"/>
    </w:rPr>
  </w:style>
  <w:style w:type="character" w:customStyle="1" w:styleId="31">
    <w:name w:val="Cabeçalho Char"/>
    <w:qFormat/>
    <w:uiPriority w:val="0"/>
    <w:rPr>
      <w:rFonts w:ascii="Ecofont_Spranq_eco_Sans" w:hAnsi="Ecofont_Spranq_eco_Sans" w:cs="Tahoma"/>
      <w:sz w:val="24"/>
      <w:szCs w:val="24"/>
    </w:rPr>
  </w:style>
  <w:style w:type="character" w:customStyle="1" w:styleId="32">
    <w:name w:val="Rodapé Char"/>
    <w:qFormat/>
    <w:uiPriority w:val="99"/>
    <w:rPr>
      <w:rFonts w:ascii="Ecofont_Spranq_eco_Sans" w:hAnsi="Ecofont_Spranq_eco_Sans" w:cs="Tahoma"/>
      <w:sz w:val="24"/>
      <w:szCs w:val="24"/>
    </w:rPr>
  </w:style>
  <w:style w:type="character" w:customStyle="1" w:styleId="33">
    <w:name w:val="cp_0020corpodespacho__char1"/>
    <w:qFormat/>
    <w:uiPriority w:val="0"/>
    <w:rPr>
      <w:rFonts w:ascii="Times New Roman" w:hAnsi="Times New Roman" w:cs="Times New Roman"/>
      <w:sz w:val="26"/>
      <w:szCs w:val="26"/>
      <w:u w:val="none"/>
    </w:rPr>
  </w:style>
  <w:style w:type="character" w:customStyle="1" w:styleId="34">
    <w:name w:val="em_0020ementa__char1"/>
    <w:qFormat/>
    <w:uiPriority w:val="0"/>
    <w:rPr>
      <w:rFonts w:ascii="Times New Roman" w:hAnsi="Times New Roman" w:cs="Times New Roman"/>
      <w:sz w:val="28"/>
      <w:szCs w:val="28"/>
      <w:u w:val="none"/>
    </w:rPr>
  </w:style>
  <w:style w:type="character" w:customStyle="1" w:styleId="35">
    <w:name w:val="ListLabel 1"/>
    <w:qFormat/>
    <w:uiPriority w:val="0"/>
    <w:rPr>
      <w:b/>
    </w:rPr>
  </w:style>
  <w:style w:type="character" w:customStyle="1" w:styleId="36">
    <w:name w:val="ListLabel 2"/>
    <w:qFormat/>
    <w:uiPriority w:val="0"/>
  </w:style>
  <w:style w:type="character" w:customStyle="1" w:styleId="37">
    <w:name w:val="ListLabel 3"/>
    <w:qFormat/>
    <w:uiPriority w:val="0"/>
    <w:rPr>
      <w:rFonts w:eastAsia="Arial Unicode MS"/>
    </w:rPr>
  </w:style>
  <w:style w:type="character" w:customStyle="1" w:styleId="38">
    <w:name w:val="ListLabel 4"/>
    <w:qFormat/>
    <w:uiPriority w:val="0"/>
    <w:rPr>
      <w:rFonts w:cs="Arial"/>
      <w:i/>
      <w:color w:val="FF0000"/>
    </w:rPr>
  </w:style>
  <w:style w:type="character" w:customStyle="1" w:styleId="39">
    <w:name w:val="ListLabel 5"/>
    <w:qFormat/>
    <w:uiPriority w:val="0"/>
    <w:rPr>
      <w:color w:val="0000FF"/>
    </w:rPr>
  </w:style>
  <w:style w:type="character" w:customStyle="1" w:styleId="40">
    <w:name w:val="ListLabel 6"/>
    <w:qFormat/>
    <w:uiPriority w:val="0"/>
    <w:rPr>
      <w:b/>
    </w:rPr>
  </w:style>
  <w:style w:type="character" w:customStyle="1" w:styleId="41">
    <w:name w:val="ListLabel 7"/>
    <w:qFormat/>
    <w:uiPriority w:val="0"/>
    <w:rPr>
      <w:b/>
      <w:color w:val="00000A"/>
    </w:rPr>
  </w:style>
  <w:style w:type="character" w:customStyle="1" w:styleId="42">
    <w:name w:val="ListLabel 8"/>
    <w:qFormat/>
    <w:uiPriority w:val="0"/>
  </w:style>
  <w:style w:type="character" w:customStyle="1" w:styleId="43">
    <w:name w:val="ListLabel 9"/>
    <w:qFormat/>
    <w:uiPriority w:val="0"/>
    <w:rPr>
      <w:color w:val="00000A"/>
    </w:rPr>
  </w:style>
  <w:style w:type="character" w:customStyle="1" w:styleId="44">
    <w:name w:val="ListLabel 10"/>
    <w:qFormat/>
    <w:uiPriority w:val="0"/>
    <w:rPr>
      <w:b/>
    </w:rPr>
  </w:style>
  <w:style w:type="character" w:customStyle="1" w:styleId="45">
    <w:name w:val="ListLabel 11"/>
    <w:qFormat/>
    <w:uiPriority w:val="0"/>
  </w:style>
  <w:style w:type="character" w:customStyle="1" w:styleId="46">
    <w:name w:val="ListLabel 12"/>
    <w:qFormat/>
    <w:uiPriority w:val="0"/>
    <w:rPr>
      <w:b/>
    </w:rPr>
  </w:style>
  <w:style w:type="character" w:customStyle="1" w:styleId="47">
    <w:name w:val="ListLabel 13"/>
    <w:qFormat/>
    <w:uiPriority w:val="0"/>
  </w:style>
  <w:style w:type="character" w:customStyle="1" w:styleId="48">
    <w:name w:val="WW_CharLFO2LVL1"/>
    <w:qFormat/>
    <w:uiPriority w:val="0"/>
    <w:rPr>
      <w:b/>
    </w:rPr>
  </w:style>
  <w:style w:type="character" w:customStyle="1" w:styleId="49">
    <w:name w:val="WW_CharLFO2LVL2"/>
    <w:qFormat/>
    <w:uiPriority w:val="0"/>
  </w:style>
  <w:style w:type="character" w:customStyle="1" w:styleId="50">
    <w:name w:val="WW_CharLFO2LVL3"/>
    <w:qFormat/>
    <w:uiPriority w:val="0"/>
  </w:style>
  <w:style w:type="character" w:customStyle="1" w:styleId="51">
    <w:name w:val="WW_CharLFO3LVL1"/>
    <w:qFormat/>
    <w:uiPriority w:val="0"/>
    <w:rPr>
      <w:b/>
    </w:rPr>
  </w:style>
  <w:style w:type="character" w:customStyle="1" w:styleId="52">
    <w:name w:val="WW_CharLFO3LVL2"/>
    <w:qFormat/>
    <w:uiPriority w:val="0"/>
  </w:style>
  <w:style w:type="character" w:customStyle="1" w:styleId="53">
    <w:name w:val="WW_CharLFO3LVL3"/>
    <w:qFormat/>
    <w:uiPriority w:val="0"/>
  </w:style>
  <w:style w:type="character" w:customStyle="1" w:styleId="54">
    <w:name w:val="WW_CharLFO4LVL1"/>
    <w:qFormat/>
    <w:uiPriority w:val="0"/>
    <w:rPr>
      <w:b/>
    </w:rPr>
  </w:style>
  <w:style w:type="character" w:customStyle="1" w:styleId="55">
    <w:name w:val="WW_CharLFO4LVL2"/>
    <w:qFormat/>
    <w:uiPriority w:val="0"/>
  </w:style>
  <w:style w:type="character" w:customStyle="1" w:styleId="56">
    <w:name w:val="WW_CharLFO4LVL3"/>
    <w:qFormat/>
    <w:uiPriority w:val="0"/>
  </w:style>
  <w:style w:type="character" w:customStyle="1" w:styleId="57">
    <w:name w:val="Comment Text Char"/>
    <w:basedOn w:val="7"/>
    <w:qFormat/>
    <w:uiPriority w:val="0"/>
    <w:rPr>
      <w:rFonts w:cs="Mangal"/>
      <w:sz w:val="20"/>
      <w:szCs w:val="18"/>
    </w:rPr>
  </w:style>
  <w:style w:type="character" w:customStyle="1" w:styleId="58">
    <w:name w:val="Comment Reference"/>
    <w:basedOn w:val="7"/>
    <w:qFormat/>
    <w:uiPriority w:val="0"/>
    <w:rPr>
      <w:sz w:val="16"/>
      <w:szCs w:val="16"/>
    </w:rPr>
  </w:style>
  <w:style w:type="character" w:customStyle="1" w:styleId="59">
    <w:name w:val="Quote Char"/>
    <w:basedOn w:val="7"/>
    <w:link w:val="60"/>
    <w:qFormat/>
    <w:uiPriority w:val="0"/>
    <w:rPr>
      <w:rFonts w:ascii="Ecofont_Spranq_eco_Sans" w:hAnsi="Ecofont_Spranq_eco_Sans" w:eastAsia="Calibri" w:cs="Tahoma"/>
      <w:i/>
      <w:iCs/>
      <w:color w:val="000000"/>
      <w:sz w:val="20"/>
      <w:shd w:val="clear" w:color="auto" w:fill="FFFFCC"/>
      <w:lang w:eastAsia="en-US" w:bidi="ar-SA"/>
    </w:rPr>
  </w:style>
  <w:style w:type="paragraph" w:customStyle="1" w:styleId="60">
    <w:name w:val="Citação1"/>
    <w:basedOn w:val="1"/>
    <w:next w:val="1"/>
    <w:link w:val="59"/>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61">
    <w:name w:val="Manoel"/>
    <w:qFormat/>
    <w:uiPriority w:val="0"/>
    <w:rPr>
      <w:rFonts w:ascii="Arial" w:hAnsi="Arial" w:cs="Arial"/>
      <w:color w:val="7030A0"/>
      <w:sz w:val="20"/>
    </w:rPr>
  </w:style>
  <w:style w:type="paragraph" w:customStyle="1" w:styleId="62">
    <w:name w:val="LO-Normal"/>
    <w:qFormat/>
    <w:uiPriority w:val="0"/>
    <w:pPr>
      <w:keepNext/>
      <w:widowControl w:val="0"/>
      <w:shd w:val="clear" w:color="auto" w:fill="FFFFFF"/>
      <w:suppressAutoHyphens/>
      <w:textAlignment w:val="baseline"/>
    </w:pPr>
    <w:rPr>
      <w:rFonts w:ascii="Liberation Serif" w:hAnsi="Liberation Serif" w:eastAsia="WenQuanYi Micro Hei" w:cs="Lohit Hindi"/>
      <w:sz w:val="24"/>
      <w:szCs w:val="24"/>
      <w:lang w:val="pt-BR" w:eastAsia="zh-CN" w:bidi="hi-IN"/>
    </w:rPr>
  </w:style>
  <w:style w:type="paragraph" w:customStyle="1" w:styleId="63">
    <w:name w:val="Índice"/>
    <w:basedOn w:val="1"/>
    <w:qFormat/>
    <w:uiPriority w:val="0"/>
    <w:pPr>
      <w:suppressLineNumbers/>
    </w:pPr>
    <w:rPr>
      <w:rFonts w:cs="Lohit Hindi"/>
    </w:rPr>
  </w:style>
  <w:style w:type="paragraph" w:styleId="64">
    <w:name w:val="List Paragraph"/>
    <w:basedOn w:val="1"/>
    <w:qFormat/>
    <w:uiPriority w:val="34"/>
    <w:pPr>
      <w:tabs>
        <w:tab w:val="left" w:pos="-12"/>
      </w:tabs>
      <w:ind w:left="720"/>
    </w:pPr>
  </w:style>
  <w:style w:type="paragraph" w:customStyle="1" w:styleId="65">
    <w:name w:val="Nível 2"/>
    <w:qFormat/>
    <w:uiPriority w:val="0"/>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eastAsia="WenQuanYi Micro Hei" w:cs="Times New Roman"/>
      <w:sz w:val="20"/>
      <w:szCs w:val="20"/>
      <w:lang w:val="pt-BR" w:eastAsia="zh-CN" w:bidi="hi-IN"/>
    </w:rPr>
  </w:style>
  <w:style w:type="paragraph" w:styleId="66">
    <w:name w:val="Quote"/>
    <w:basedOn w:val="1"/>
    <w:qFormat/>
    <w:uiPriority w:val="0"/>
    <w:pPr>
      <w:pBdr>
        <w:top w:val="single" w:color="1F497D" w:sz="4" w:space="0"/>
        <w:left w:val="single" w:color="1F497D" w:sz="4" w:space="0"/>
        <w:bottom w:val="single" w:color="1F497D" w:sz="4" w:space="0"/>
        <w:right w:val="single" w:color="1F497D" w:sz="4" w:space="0"/>
      </w:pBdr>
      <w:shd w:val="clear" w:color="auto" w:fill="FFFFCC"/>
      <w:spacing w:before="120"/>
      <w:jc w:val="both"/>
    </w:pPr>
    <w:rPr>
      <w:rFonts w:eastAsia="Calibri"/>
      <w:i/>
      <w:iCs/>
      <w:color w:val="000000"/>
      <w:sz w:val="20"/>
      <w:lang w:eastAsia="en-US"/>
    </w:rPr>
  </w:style>
  <w:style w:type="paragraph" w:customStyle="1" w:styleId="67">
    <w:name w:val="citação 2"/>
    <w:basedOn w:val="66"/>
    <w:qFormat/>
    <w:uiPriority w:val="0"/>
    <w:rPr>
      <w:szCs w:val="20"/>
    </w:rPr>
  </w:style>
  <w:style w:type="paragraph" w:customStyle="1" w:styleId="68">
    <w:name w:val="em_0020ementa"/>
    <w:basedOn w:val="1"/>
    <w:qFormat/>
    <w:uiPriority w:val="0"/>
    <w:pPr>
      <w:tabs>
        <w:tab w:val="left" w:pos="-3452"/>
      </w:tabs>
      <w:ind w:left="4160"/>
      <w:jc w:val="both"/>
    </w:pPr>
    <w:rPr>
      <w:rFonts w:ascii="Times New Roman" w:hAnsi="Times New Roman" w:cs="Times New Roman"/>
      <w:sz w:val="28"/>
      <w:szCs w:val="28"/>
    </w:rPr>
  </w:style>
  <w:style w:type="paragraph" w:customStyle="1" w:styleId="69">
    <w:name w:val="Conteúdo da tabela"/>
    <w:basedOn w:val="1"/>
    <w:qFormat/>
    <w:uiPriority w:val="0"/>
    <w:pPr>
      <w:suppressLineNumbers/>
    </w:pPr>
  </w:style>
  <w:style w:type="paragraph" w:customStyle="1" w:styleId="70">
    <w:name w:val="Comment Text"/>
    <w:basedOn w:val="62"/>
    <w:qFormat/>
    <w:uiPriority w:val="0"/>
    <w:rPr>
      <w:rFonts w:cs="Mangal"/>
      <w:sz w:val="20"/>
      <w:szCs w:val="18"/>
    </w:rPr>
  </w:style>
  <w:style w:type="paragraph" w:customStyle="1" w:styleId="71">
    <w:name w:val="Citações"/>
    <w:basedOn w:val="1"/>
    <w:qFormat/>
    <w:uiPriority w:val="0"/>
    <w:pPr>
      <w:spacing w:after="283"/>
      <w:ind w:left="567" w:right="567"/>
    </w:pPr>
  </w:style>
  <w:style w:type="paragraph" w:customStyle="1" w:styleId="72">
    <w:name w:val="Título do documento"/>
    <w:basedOn w:val="3"/>
    <w:next w:val="4"/>
    <w:qFormat/>
    <w:uiPriority w:val="0"/>
    <w:pPr>
      <w:jc w:val="center"/>
    </w:pPr>
    <w:rPr>
      <w:b/>
      <w:bCs/>
      <w:sz w:val="56"/>
      <w:szCs w:val="56"/>
    </w:rPr>
  </w:style>
  <w:style w:type="paragraph" w:customStyle="1" w:styleId="73">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 w:val="20"/>
      <w:szCs w:val="24"/>
      <w:lang w:val="pt-BR" w:eastAsia="zh-CN" w:bidi="hi-IN"/>
    </w:rPr>
  </w:style>
  <w:style w:type="paragraph" w:customStyle="1" w:styleId="74">
    <w:name w:val="Linha horizontal"/>
    <w:basedOn w:val="1"/>
    <w:next w:val="4"/>
    <w:qFormat/>
    <w:uiPriority w:val="0"/>
    <w:pPr>
      <w:suppressLineNumbers/>
      <w:pBdr>
        <w:bottom w:val="double" w:color="808080" w:sz="2" w:space="0"/>
      </w:pBdr>
      <w:spacing w:after="283"/>
    </w:pPr>
    <w:rPr>
      <w:sz w:val="12"/>
      <w:szCs w:val="12"/>
    </w:rPr>
  </w:style>
  <w:style w:type="paragraph" w:customStyle="1" w:styleId="75">
    <w:name w:val="Título de tabela"/>
    <w:basedOn w:val="69"/>
    <w:qFormat/>
    <w:uiPriority w:val="0"/>
    <w:pPr>
      <w:jc w:val="center"/>
    </w:pPr>
    <w:rPr>
      <w:b/>
      <w:bCs/>
    </w:rPr>
  </w:style>
  <w:style w:type="character" w:customStyle="1" w:styleId="76">
    <w:name w:val="Texto de comentário Char"/>
    <w:basedOn w:val="7"/>
    <w:link w:val="13"/>
    <w:qFormat/>
    <w:uiPriority w:val="99"/>
    <w:rPr>
      <w:rFonts w:ascii="Ecofont_Spranq_eco_Sans" w:hAnsi="Ecofont_Spranq_eco_Sans" w:eastAsia="Times New Roman" w:cs="Tahoma"/>
      <w:color w:val="00000A"/>
      <w:sz w:val="20"/>
      <w:szCs w:val="20"/>
      <w:shd w:val="clear" w:color="auto" w:fill="FFFFFF"/>
      <w:lang w:eastAsia="pt-BR" w:bidi="ar-SA"/>
    </w:rPr>
  </w:style>
  <w:style w:type="character" w:customStyle="1" w:styleId="77">
    <w:name w:val="Corpo de texto Char"/>
    <w:basedOn w:val="7"/>
    <w:link w:val="12"/>
    <w:qFormat/>
    <w:uiPriority w:val="0"/>
    <w:rPr>
      <w:rFonts w:ascii="Times New Roman" w:hAnsi="Times New Roman" w:eastAsia="Arial Unicode MS" w:cs="Times New Roman"/>
      <w:szCs w:val="20"/>
      <w:lang w:eastAsia="pt-BR" w:bidi="ar-SA"/>
    </w:rPr>
  </w:style>
  <w:style w:type="paragraph" w:customStyle="1" w:styleId="78">
    <w:name w:val="Nivel 2"/>
    <w:link w:val="87"/>
    <w:qFormat/>
    <w:uiPriority w:val="0"/>
    <w:pPr>
      <w:numPr>
        <w:ilvl w:val="1"/>
        <w:numId w:val="2"/>
      </w:numPr>
      <w:spacing w:before="120" w:after="120" w:line="276" w:lineRule="auto"/>
      <w:jc w:val="both"/>
      <w:textAlignment w:val="auto"/>
    </w:pPr>
    <w:rPr>
      <w:rFonts w:ascii="Ecofont_Spranq_eco_Sans" w:hAnsi="Ecofont_Spranq_eco_Sans" w:eastAsia="Arial Unicode MS" w:cs="Times New Roman"/>
      <w:sz w:val="20"/>
      <w:szCs w:val="20"/>
      <w:lang w:val="pt-BR" w:eastAsia="pt-BR" w:bidi="ar-SA"/>
    </w:rPr>
  </w:style>
  <w:style w:type="paragraph" w:customStyle="1" w:styleId="79">
    <w:name w:val="Nivel 1"/>
    <w:basedOn w:val="78"/>
    <w:next w:val="78"/>
    <w:qFormat/>
    <w:uiPriority w:val="0"/>
    <w:pPr>
      <w:numPr>
        <w:ilvl w:val="0"/>
      </w:numPr>
    </w:pPr>
    <w:rPr>
      <w:rFonts w:cs="Arial"/>
      <w:b/>
    </w:rPr>
  </w:style>
  <w:style w:type="paragraph" w:customStyle="1" w:styleId="80">
    <w:name w:val="Nivel 3"/>
    <w:basedOn w:val="78"/>
    <w:link w:val="88"/>
    <w:qFormat/>
    <w:uiPriority w:val="0"/>
    <w:pPr>
      <w:numPr>
        <w:ilvl w:val="2"/>
      </w:numPr>
    </w:pPr>
    <w:rPr>
      <w:rFonts w:cs="Arial"/>
      <w:color w:val="000000"/>
    </w:rPr>
  </w:style>
  <w:style w:type="paragraph" w:customStyle="1" w:styleId="81">
    <w:name w:val="Nivel 4"/>
    <w:basedOn w:val="80"/>
    <w:link w:val="83"/>
    <w:qFormat/>
    <w:uiPriority w:val="0"/>
    <w:pPr>
      <w:numPr>
        <w:ilvl w:val="3"/>
      </w:numPr>
    </w:pPr>
    <w:rPr>
      <w:color w:val="auto"/>
    </w:rPr>
  </w:style>
  <w:style w:type="paragraph" w:customStyle="1" w:styleId="82">
    <w:name w:val="Nivel 5"/>
    <w:basedOn w:val="81"/>
    <w:qFormat/>
    <w:uiPriority w:val="0"/>
    <w:pPr>
      <w:numPr>
        <w:ilvl w:val="4"/>
      </w:numPr>
      <w:tabs>
        <w:tab w:val="left" w:pos="360"/>
      </w:tabs>
      <w:ind w:left="2496" w:hanging="1080"/>
    </w:pPr>
  </w:style>
  <w:style w:type="character" w:customStyle="1" w:styleId="83">
    <w:name w:val="Nivel 4 Char"/>
    <w:basedOn w:val="7"/>
    <w:link w:val="81"/>
    <w:qFormat/>
    <w:uiPriority w:val="0"/>
    <w:rPr>
      <w:rFonts w:ascii="Ecofont_Spranq_eco_Sans" w:hAnsi="Ecofont_Spranq_eco_Sans" w:eastAsia="Arial Unicode MS" w:cs="Arial"/>
      <w:sz w:val="20"/>
      <w:szCs w:val="20"/>
      <w:lang w:eastAsia="pt-BR" w:bidi="ar-SA"/>
    </w:rPr>
  </w:style>
  <w:style w:type="paragraph" w:customStyle="1" w:styleId="84">
    <w:name w:val="Grade Colorida - Ênfase 11"/>
    <w:basedOn w:val="1"/>
    <w:next w:val="1"/>
    <w:link w:val="85"/>
    <w:qFormat/>
    <w:uiPriority w:val="29"/>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85">
    <w:name w:val="Grade Colorida - Ênfase 1 Char"/>
    <w:link w:val="84"/>
    <w:qFormat/>
    <w:uiPriority w:val="29"/>
    <w:rPr>
      <w:rFonts w:ascii="Ecofont_Spranq_eco_Sans" w:hAnsi="Ecofont_Spranq_eco_Sans" w:eastAsia="Calibri" w:cs="Tahoma"/>
      <w:i/>
      <w:iCs/>
      <w:color w:val="000000"/>
      <w:sz w:val="20"/>
      <w:shd w:val="clear" w:color="auto" w:fill="FFFFCC"/>
      <w:lang w:eastAsia="en-US" w:bidi="ar-SA"/>
    </w:rPr>
  </w:style>
  <w:style w:type="character" w:customStyle="1" w:styleId="86">
    <w:name w:val="Assunto do comentário Char"/>
    <w:basedOn w:val="76"/>
    <w:link w:val="18"/>
    <w:semiHidden/>
    <w:qFormat/>
    <w:uiPriority w:val="99"/>
    <w:rPr>
      <w:rFonts w:ascii="Ecofont_Spranq_eco_Sans" w:hAnsi="Ecofont_Spranq_eco_Sans" w:eastAsia="Times New Roman" w:cs="Tahoma"/>
      <w:b/>
      <w:bCs/>
      <w:color w:val="00000A"/>
      <w:sz w:val="20"/>
      <w:szCs w:val="20"/>
      <w:shd w:val="clear" w:color="auto" w:fill="FFFFFF"/>
      <w:lang w:eastAsia="pt-BR" w:bidi="ar-SA"/>
    </w:rPr>
  </w:style>
  <w:style w:type="character" w:customStyle="1" w:styleId="87">
    <w:name w:val="Nivel 2 Char"/>
    <w:basedOn w:val="7"/>
    <w:link w:val="78"/>
    <w:qFormat/>
    <w:uiPriority w:val="0"/>
    <w:rPr>
      <w:rFonts w:ascii="Ecofont_Spranq_eco_Sans" w:hAnsi="Ecofont_Spranq_eco_Sans" w:eastAsia="Arial Unicode MS" w:cs="Times New Roman"/>
      <w:sz w:val="20"/>
      <w:szCs w:val="20"/>
      <w:lang w:eastAsia="pt-BR" w:bidi="ar-SA"/>
    </w:rPr>
  </w:style>
  <w:style w:type="character" w:customStyle="1" w:styleId="88">
    <w:name w:val="Nivel 3 Char"/>
    <w:basedOn w:val="7"/>
    <w:link w:val="80"/>
    <w:qFormat/>
    <w:uiPriority w:val="0"/>
    <w:rPr>
      <w:rFonts w:ascii="Ecofont_Spranq_eco_Sans" w:hAnsi="Ecofont_Spranq_eco_Sans" w:eastAsia="Arial Unicode MS" w:cs="Arial"/>
      <w:color w:val="000000"/>
      <w:sz w:val="20"/>
      <w:szCs w:val="20"/>
      <w:lang w:eastAsia="pt-BR" w:bidi="ar-SA"/>
    </w:rPr>
  </w:style>
  <w:style w:type="character" w:customStyle="1" w:styleId="89">
    <w:name w:val="Grade Média 2 - Ênfase 2 Char"/>
    <w:qFormat/>
    <w:uiPriority w:val="0"/>
    <w:rPr>
      <w:rFonts w:ascii="Ecofont_Spranq_eco_Sans" w:hAnsi="Ecofont_Spranq_eco_Sans" w:eastAsia="Calibri" w:cs="Ecofont_Spranq_eco_Sans"/>
      <w:i/>
      <w:iCs/>
      <w:color w:val="000000"/>
      <w:szCs w:val="24"/>
      <w:shd w:val="clear" w:color="auto" w:fill="FFFFCC"/>
    </w:rPr>
  </w:style>
  <w:style w:type="table" w:styleId="90">
    <w:name w:val="Medium Grid 2 Accent 2"/>
    <w:basedOn w:val="8"/>
    <w:semiHidden/>
    <w:unhideWhenUsed/>
    <w:qFormat/>
    <w:uiPriority w:val="0"/>
    <w:rPr>
      <w:rFonts w:ascii="Ecofont_Spranq_eco_Sans" w:hAnsi="Ecofont_Spranq_eco_Sans" w:eastAsia="Calibri" w:cs="Ecofont_Spranq_eco_Sans"/>
      <w:i/>
      <w:iCs/>
      <w:color w:val="000000"/>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3" w:themeFill="accent2" w:themeFillTint="3F"/>
    </w:tcPr>
    <w:tblStylePr w:type="firstRow">
      <w:tcPr>
        <w:shd w:val="clear" w:color="auto" w:fill="F8EDED" w:themeFill="accent2" w:themeFillTint="19"/>
      </w:tcPr>
    </w:tblStylePr>
    <w:tblStylePr w:type="lastRow">
      <w:tcPr>
        <w:tcBorders>
          <w:top w:val="single" w:color="000000" w:themeColor="text1" w:sz="12" w:space="0"/>
          <w:left w:val="nil"/>
          <w:bottom w:val="nil"/>
          <w:right w:val="nil"/>
          <w:insideH w:val="nil"/>
          <w:insideV w:val="nil"/>
        </w:tcBorders>
        <w:shd w:val="clear" w:color="auto" w:fill="FFFFFF" w:themeFill="background1"/>
      </w:tcPr>
    </w:tblStylePr>
    <w:tblStylePr w:type="firstCol">
      <w:tcPr>
        <w:tcBorders>
          <w:top w:val="nil"/>
          <w:left w:val="nil"/>
          <w:bottom w:val="nil"/>
          <w:right w:val="nil"/>
          <w:insideH w:val="nil"/>
          <w:insideV w:val="nil"/>
        </w:tcBorders>
        <w:shd w:val="clear" w:color="auto" w:fill="FFFFFF" w:themeFill="background1"/>
      </w:tcPr>
    </w:tblStylePr>
    <w:tblStylePr w:type="lastCol">
      <w:tcPr>
        <w:tcBorders>
          <w:top w:val="nil"/>
          <w:left w:val="nil"/>
          <w:bottom w:val="nil"/>
          <w:right w:val="nil"/>
          <w:insideH w:val="nil"/>
          <w:insideV w:val="nil"/>
        </w:tcBorders>
        <w:shd w:val="clear" w:color="auto" w:fill="F2DBDB" w:themeFill="accent2" w:themeFillTint="33"/>
      </w:tcPr>
    </w:tblStylePr>
    <w:tblStylePr w:type="band1Vert">
      <w:tcPr>
        <w:shd w:val="clear" w:color="auto" w:fill="DFA7A6" w:themeFill="accent2" w:themeFillTint="7F"/>
      </w:tcPr>
    </w:tblStylePr>
    <w:tblStylePr w:type="band1Horz">
      <w:tcPr>
        <w:tcBorders>
          <w:insideH w:val="single" w:sz="6" w:space="0"/>
          <w:insideV w:val="single" w:sz="6" w:space="0"/>
        </w:tcBorders>
        <w:shd w:val="clear" w:color="auto" w:fill="DFA7A6" w:themeFill="accent2" w:themeFillTint="7F"/>
      </w:tcPr>
    </w:tblStylePr>
    <w:tblStylePr w:type="nwCell">
      <w:tcPr>
        <w:shd w:val="clear" w:color="auto" w:fill="FFFFFF" w:themeFill="background1"/>
      </w:tcPr>
    </w:tblStylePr>
  </w:style>
  <w:style w:type="paragraph" w:customStyle="1" w:styleId="91">
    <w:name w:val="Revision"/>
    <w:hidden/>
    <w:semiHidden/>
    <w:qFormat/>
    <w:uiPriority w:val="99"/>
    <w:pPr>
      <w:textAlignment w:val="auto"/>
    </w:pPr>
    <w:rPr>
      <w:rFonts w:ascii="Ecofont_Spranq_eco_Sans" w:hAnsi="Ecofont_Spranq_eco_Sans" w:eastAsia="Times New Roman" w:cs="Tahoma"/>
      <w:color w:val="00000A"/>
      <w:sz w:val="24"/>
      <w:szCs w:val="24"/>
      <w:lang w:val="pt-BR" w:eastAsia="pt-BR" w:bidi="ar-SA"/>
    </w:rPr>
  </w:style>
  <w:style w:type="paragraph" w:customStyle="1" w:styleId="92">
    <w:name w:val="Citação10"/>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93">
    <w:name w:val="Normal + Times New Roman"/>
    <w:basedOn w:val="1"/>
    <w:qFormat/>
    <w:uiPriority w:val="0"/>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94">
    <w:name w:val="Parágrafo da Lista1"/>
    <w:basedOn w:val="1"/>
    <w:qFormat/>
    <w:uiPriority w:val="0"/>
    <w:pPr>
      <w:keepNext w:val="0"/>
      <w:shd w:val="clear" w:color="auto" w:fill="auto"/>
      <w:tabs>
        <w:tab w:val="clear" w:pos="708"/>
      </w:tabs>
      <w:suppressAutoHyphens w:val="0"/>
      <w:overflowPunct/>
      <w:ind w:left="720"/>
      <w:textAlignment w:val="auto"/>
    </w:pPr>
    <w:rPr>
      <w:color w:val="auto"/>
    </w:rPr>
  </w:style>
  <w:style w:type="paragraph" w:customStyle="1" w:styleId="95">
    <w:name w:val="Nivel1"/>
    <w:basedOn w:val="2"/>
    <w:next w:val="1"/>
    <w:link w:val="101"/>
    <w:qFormat/>
    <w:uiPriority w:val="0"/>
    <w:pPr>
      <w:keepLines/>
      <w:numPr>
        <w:ilvl w:val="0"/>
        <w:numId w:val="0"/>
      </w:numPr>
      <w:shd w:val="clear" w:color="auto" w:fill="auto"/>
      <w:tabs>
        <w:tab w:val="left" w:pos="360"/>
        <w:tab w:val="clear" w:pos="708"/>
      </w:tabs>
      <w:suppressAutoHyphens w:val="0"/>
      <w:overflowPunct/>
      <w:spacing w:before="480" w:line="276" w:lineRule="auto"/>
      <w:ind w:left="357" w:hanging="357"/>
      <w:jc w:val="both"/>
      <w:textAlignment w:val="auto"/>
    </w:pPr>
    <w:rPr>
      <w:rFonts w:ascii="Arial" w:hAnsi="Arial" w:cs="Arial" w:eastAsiaTheme="majorEastAsia"/>
      <w:bCs w:val="0"/>
      <w:color w:val="000000"/>
      <w:sz w:val="20"/>
      <w:szCs w:val="20"/>
    </w:rPr>
  </w:style>
  <w:style w:type="paragraph" w:customStyle="1" w:styleId="96">
    <w:name w:val="paragraph"/>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97">
    <w:name w:val="normaltextrun"/>
    <w:basedOn w:val="7"/>
    <w:qFormat/>
    <w:uiPriority w:val="0"/>
  </w:style>
  <w:style w:type="character" w:customStyle="1" w:styleId="98">
    <w:name w:val="eop"/>
    <w:basedOn w:val="7"/>
    <w:qFormat/>
    <w:uiPriority w:val="0"/>
  </w:style>
  <w:style w:type="character" w:customStyle="1" w:styleId="99">
    <w:name w:val="spellingerror"/>
    <w:basedOn w:val="7"/>
    <w:qFormat/>
    <w:uiPriority w:val="0"/>
  </w:style>
  <w:style w:type="paragraph" w:customStyle="1" w:styleId="100">
    <w:name w:val="Citação2"/>
    <w:basedOn w:val="1"/>
    <w:next w:val="1"/>
    <w:qFormat/>
    <w:uiPriority w:val="0"/>
    <w:pPr>
      <w:keepNext w:val="0"/>
      <w:pBdr>
        <w:top w:val="single" w:color="1F497D" w:sz="4" w:space="1"/>
        <w:left w:val="single" w:color="1F497D" w:sz="4" w:space="4"/>
        <w:bottom w:val="single" w:color="1F497D" w:sz="4" w:space="1"/>
        <w:right w:val="single" w:color="1F497D" w:sz="4" w:space="4"/>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101">
    <w:name w:val="Nivel1 Char"/>
    <w:basedOn w:val="7"/>
    <w:link w:val="95"/>
    <w:qFormat/>
    <w:locked/>
    <w:uiPriority w:val="0"/>
    <w:rPr>
      <w:rFonts w:ascii="Arial" w:hAnsi="Arial" w:cs="Arial" w:eastAsiaTheme="majorEastAsia"/>
      <w:b/>
      <w:color w:val="000000"/>
      <w:sz w:val="20"/>
      <w:szCs w:val="20"/>
      <w:lang w:eastAsia="pt-BR" w:bidi="ar-SA"/>
    </w:rPr>
  </w:style>
  <w:style w:type="paragraph" w:customStyle="1" w:styleId="102">
    <w:name w:val="Nivel 01"/>
    <w:basedOn w:val="2"/>
    <w:next w:val="1"/>
    <w:link w:val="103"/>
    <w:qFormat/>
    <w:uiPriority w:val="0"/>
    <w:pPr>
      <w:keepLines/>
      <w:numPr>
        <w:ilvl w:val="0"/>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hAnsi="Arial" w:eastAsiaTheme="majorEastAsia" w:cstheme="majorBidi"/>
      <w:color w:val="000000"/>
      <w:sz w:val="32"/>
      <w:szCs w:val="32"/>
    </w:rPr>
  </w:style>
  <w:style w:type="character" w:customStyle="1" w:styleId="103">
    <w:name w:val="Nivel 01 Char"/>
    <w:basedOn w:val="7"/>
    <w:link w:val="102"/>
    <w:qFormat/>
    <w:uiPriority w:val="0"/>
    <w:rPr>
      <w:rFonts w:ascii="Arial" w:hAnsi="Arial" w:eastAsiaTheme="majorEastAsia" w:cstheme="majorBidi"/>
      <w:b/>
      <w:bCs/>
      <w:color w:val="000000"/>
      <w:sz w:val="32"/>
      <w:szCs w:val="32"/>
      <w:lang w:eastAsia="pt-BR" w:bidi="ar-SA"/>
    </w:rPr>
  </w:style>
  <w:style w:type="character" w:customStyle="1" w:styleId="104">
    <w:name w:val="Texto sem Formatação Char"/>
    <w:basedOn w:val="7"/>
    <w:link w:val="16"/>
    <w:semiHidden/>
    <w:qFormat/>
    <w:uiPriority w:val="99"/>
    <w:rPr>
      <w:rFonts w:ascii="Calibri" w:hAnsi="Calibri" w:eastAsiaTheme="minorHAnsi" w:cstheme="minorBidi"/>
      <w:sz w:val="22"/>
      <w:szCs w:val="21"/>
      <w:lang w:eastAsia="en-US" w:bidi="ar-SA"/>
    </w:rPr>
  </w:style>
  <w:style w:type="paragraph" w:customStyle="1" w:styleId="105">
    <w:name w:val="x_western"/>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6">
    <w:name w:val="Normal_1"/>
    <w:qFormat/>
    <w:uiPriority w:val="0"/>
    <w:pPr>
      <w:textAlignment w:val="auto"/>
    </w:pPr>
    <w:rPr>
      <w:rFonts w:ascii="Times New Roman" w:hAnsi="Times New Roman" w:eastAsia="Times New Roman" w:cs="Times New Roman"/>
      <w:sz w:val="24"/>
      <w:szCs w:val="22"/>
      <w:lang w:val="pt-BR" w:eastAsia="en-US" w:bidi="ar-SA"/>
    </w:rPr>
  </w:style>
  <w:style w:type="paragraph" w:customStyle="1" w:styleId="107">
    <w:name w:val="textbody"/>
    <w:basedOn w:val="1"/>
    <w:qFormat/>
    <w:uiPriority w:val="0"/>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108">
    <w:name w:val="xl72"/>
    <w:basedOn w:val="1"/>
    <w:qFormat/>
    <w:uiPriority w:val="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109">
    <w:name w:val="Standard"/>
    <w:qFormat/>
    <w:uiPriority w:val="0"/>
    <w:pPr>
      <w:suppressAutoHyphens/>
      <w:autoSpaceDN w:val="0"/>
      <w:spacing w:after="200" w:line="276" w:lineRule="auto"/>
      <w:textAlignment w:val="baseline"/>
    </w:pPr>
    <w:rPr>
      <w:rFonts w:ascii="Calibri" w:hAnsi="Calibri" w:eastAsia="Segoe UI" w:cs="Tahoma"/>
      <w:sz w:val="22"/>
      <w:szCs w:val="22"/>
      <w:lang w:val="pt-BR" w:eastAsia="pt-BR" w:bidi="ar-SA"/>
    </w:rPr>
  </w:style>
  <w:style w:type="character" w:customStyle="1" w:styleId="110">
    <w:name w:val="w8qarf"/>
    <w:basedOn w:val="7"/>
    <w:qFormat/>
    <w:uiPriority w:val="0"/>
  </w:style>
  <w:style w:type="character" w:customStyle="1" w:styleId="111">
    <w:name w:val="lrzxr"/>
    <w:basedOn w:val="7"/>
    <w:qFormat/>
    <w:uiPriority w:val="0"/>
  </w:style>
  <w:style w:type="paragraph" w:customStyle="1" w:styleId="112">
    <w:name w:val="Título do Conteúdo"/>
    <w:basedOn w:val="109"/>
    <w:qFormat/>
    <w:uiPriority w:val="0"/>
    <w:pPr>
      <w:keepNext/>
      <w:suppressLineNumbers/>
      <w:spacing w:before="240" w:after="120" w:line="360" w:lineRule="auto"/>
      <w:jc w:val="both"/>
    </w:pPr>
    <w:rPr>
      <w:rFonts w:ascii="Arial" w:hAnsi="Arial" w:eastAsia="Times New Roman"/>
      <w:b/>
      <w:bCs/>
      <w:sz w:val="32"/>
      <w:szCs w:val="32"/>
      <w:lang w:eastAsia="ar-SA"/>
    </w:rPr>
  </w:style>
  <w:style w:type="character" w:customStyle="1" w:styleId="113">
    <w:name w:val="Unresolved Mention"/>
    <w:basedOn w:val="7"/>
    <w:semiHidden/>
    <w:unhideWhenUsed/>
    <w:qFormat/>
    <w:uiPriority w:val="99"/>
    <w:rPr>
      <w:color w:val="605E5C"/>
      <w:shd w:val="clear" w:color="auto" w:fill="E1DFDD"/>
    </w:rPr>
  </w:style>
  <w:style w:type="paragraph" w:customStyle="1" w:styleId="114">
    <w:name w:val="Default"/>
    <w:qFormat/>
    <w:uiPriority w:val="0"/>
    <w:pPr>
      <w:autoSpaceDE w:val="0"/>
      <w:autoSpaceDN w:val="0"/>
      <w:adjustRightInd w:val="0"/>
      <w:textAlignment w:val="auto"/>
    </w:pPr>
    <w:rPr>
      <w:rFonts w:ascii="Calibri" w:hAnsi="Calibri" w:eastAsia="WenQuanYi Micro Hei" w:cs="Calibri"/>
      <w:color w:val="000000"/>
      <w:sz w:val="24"/>
      <w:szCs w:val="24"/>
      <w:lang w:val="pt-BR"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D8ED6-DC5C-4AC2-A75D-A7D1347451F0}">
  <ds:schemaRefs/>
</ds:datastoreItem>
</file>

<file path=customXml/itemProps2.xml><?xml version="1.0" encoding="utf-8"?>
<ds:datastoreItem xmlns:ds="http://schemas.openxmlformats.org/officeDocument/2006/customXml" ds:itemID="{04619D80-AE0E-4FC5-8646-B7029223346D}">
  <ds:schemaRefs/>
</ds:datastoreItem>
</file>

<file path=customXml/itemProps3.xml><?xml version="1.0" encoding="utf-8"?>
<ds:datastoreItem xmlns:ds="http://schemas.openxmlformats.org/officeDocument/2006/customXml" ds:itemID="{D0FA922B-301D-4229-A9FF-8B2F047859B0}">
  <ds:schemaRefs/>
</ds:datastoreItem>
</file>

<file path=customXml/itemProps4.xml><?xml version="1.0" encoding="utf-8"?>
<ds:datastoreItem xmlns:ds="http://schemas.openxmlformats.org/officeDocument/2006/customXml" ds:itemID="{552F9D9B-A10A-4DD0-9B11-62F741C79D1E}">
  <ds:schemaRefs/>
</ds:datastoreItem>
</file>

<file path=docProps/app.xml><?xml version="1.0" encoding="utf-8"?>
<Properties xmlns="http://schemas.openxmlformats.org/officeDocument/2006/extended-properties" xmlns:vt="http://schemas.openxmlformats.org/officeDocument/2006/docPropsVTypes">
  <Template>Normal</Template>
  <Pages>24</Pages>
  <Words>10448</Words>
  <Characters>56425</Characters>
  <Lines>470</Lines>
  <Paragraphs>133</Paragraphs>
  <TotalTime>32</TotalTime>
  <ScaleCrop>false</ScaleCrop>
  <LinksUpToDate>false</LinksUpToDate>
  <CharactersWithSpaces>66740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2022-03-01T13:19:00Z</dcterms:created>
  <dc:creator>Carlota Vargas Buranello</dc:creator>
  <cp:lastModifiedBy>Juliana Borsoi</cp:lastModifiedBy>
  <cp:lastPrinted>2020-05-06T13:48:00Z</cp:lastPrinted>
  <dcterms:modified xsi:type="dcterms:W3CDTF">2022-05-16T22:12:00Z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1046-11.2.0.11074</vt:lpwstr>
  </property>
  <property fmtid="{D5CDD505-2E9C-101B-9397-08002B2CF9AE}" pid="4" name="ICV">
    <vt:lpwstr>DF2BD85B10474901B31C150A96564B55</vt:lpwstr>
  </property>
</Properties>
</file>