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045C7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6045C7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045C7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175298FB" w14:textId="77777777" w:rsidR="006E4496" w:rsidRPr="006045C7" w:rsidRDefault="00E23909" w:rsidP="008C54E4">
      <w:pPr>
        <w:jc w:val="center"/>
        <w:rPr>
          <w:rFonts w:asciiTheme="minorHAnsi" w:hAnsiTheme="minorHAnsi" w:cstheme="minorHAnsi"/>
          <w:b/>
          <w:sz w:val="24"/>
        </w:rPr>
      </w:pPr>
      <w:r w:rsidRPr="006045C7">
        <w:rPr>
          <w:rFonts w:asciiTheme="minorHAnsi" w:hAnsiTheme="minorHAnsi" w:cstheme="minorHAnsi"/>
          <w:b/>
          <w:sz w:val="24"/>
        </w:rPr>
        <w:t>PRO REITORIA DE ADMINISTRAÇÃO</w:t>
      </w:r>
    </w:p>
    <w:p w14:paraId="56C392D9" w14:textId="559019A8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3530A1" w14:textId="4011299B" w:rsidR="006045C7" w:rsidRPr="006045C7" w:rsidRDefault="006045C7" w:rsidP="006045C7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FF0000"/>
          <w:sz w:val="24"/>
        </w:rPr>
      </w:pPr>
      <w:r w:rsidRPr="006045C7">
        <w:rPr>
          <w:rFonts w:asciiTheme="minorHAnsi" w:hAnsiTheme="minorHAnsi" w:cstheme="minorHAnsi"/>
          <w:b/>
          <w:bCs/>
          <w:color w:val="FF0000"/>
          <w:sz w:val="24"/>
        </w:rPr>
        <w:t>MODELO DE ESTUDO PRELIMINAR DIGITAL</w:t>
      </w:r>
    </w:p>
    <w:p w14:paraId="6D75ECEF" w14:textId="31AA1DDC" w:rsidR="006045C7" w:rsidRPr="006045C7" w:rsidRDefault="006045C7" w:rsidP="006045C7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6045C7">
        <w:rPr>
          <w:rFonts w:asciiTheme="minorHAnsi" w:hAnsiTheme="minorHAnsi" w:cstheme="minorHAnsi"/>
          <w:b/>
          <w:bCs/>
          <w:color w:val="000000"/>
          <w:sz w:val="24"/>
        </w:rPr>
        <w:t>(Serviços, Materiais</w:t>
      </w:r>
      <w:r w:rsidR="00BF1DC1">
        <w:rPr>
          <w:rFonts w:asciiTheme="minorHAnsi" w:hAnsiTheme="minorHAnsi" w:cstheme="minorHAnsi"/>
          <w:b/>
          <w:bCs/>
          <w:color w:val="000000"/>
          <w:sz w:val="24"/>
        </w:rPr>
        <w:t>, Obras, Inexigibilidade</w:t>
      </w:r>
      <w:r w:rsidRPr="006045C7">
        <w:rPr>
          <w:rFonts w:asciiTheme="minorHAnsi" w:hAnsiTheme="minorHAnsi" w:cstheme="minorHAnsi"/>
          <w:b/>
          <w:bCs/>
          <w:color w:val="000000"/>
          <w:sz w:val="24"/>
        </w:rPr>
        <w:t xml:space="preserve"> e TI)</w:t>
      </w:r>
    </w:p>
    <w:p w14:paraId="3C04F9B5" w14:textId="4068980F" w:rsidR="006045C7" w:rsidRDefault="006045C7" w:rsidP="006045C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A0E2CE" w14:textId="5AB1107B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6045C7">
        <w:rPr>
          <w:rFonts w:asciiTheme="minorHAnsi" w:hAnsiTheme="minorHAnsi" w:cstheme="minorHAnsi"/>
          <w:b/>
          <w:bCs/>
          <w:color w:val="000000"/>
          <w:sz w:val="24"/>
        </w:rPr>
        <w:t>Informações Básicas</w:t>
      </w:r>
    </w:p>
    <w:p w14:paraId="55D22C14" w14:textId="381630FD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Responsável pelo Cadastramento:</w:t>
      </w:r>
    </w:p>
    <w:p w14:paraId="4662352C" w14:textId="76040643" w:rsidR="006045C7" w:rsidRPr="006045C7" w:rsidRDefault="006045C7" w:rsidP="006045C7">
      <w:pPr>
        <w:spacing w:after="120" w:line="276" w:lineRule="auto"/>
        <w:ind w:left="709" w:right="-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color w:val="000000"/>
          <w:sz w:val="22"/>
          <w:szCs w:val="22"/>
        </w:rPr>
        <w:t>Servidor da Unidade Gestora que fará o lançamento no Sistema.</w:t>
      </w:r>
    </w:p>
    <w:p w14:paraId="27A7A1DD" w14:textId="13711FF8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Processo Administrativo</w:t>
      </w:r>
    </w:p>
    <w:p w14:paraId="75E428A9" w14:textId="1547F53C" w:rsidR="006045C7" w:rsidRPr="006045C7" w:rsidRDefault="006045C7" w:rsidP="006045C7">
      <w:pPr>
        <w:spacing w:after="120" w:line="276" w:lineRule="auto"/>
        <w:ind w:left="709" w:right="-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color w:val="000000"/>
          <w:sz w:val="22"/>
          <w:szCs w:val="22"/>
        </w:rPr>
        <w:t>Informar se já foi aberto o Processo administrativo.</w:t>
      </w:r>
    </w:p>
    <w:p w14:paraId="142A6180" w14:textId="1ABEBFC3" w:rsidR="006045C7" w:rsidRPr="006045C7" w:rsidRDefault="006045C7" w:rsidP="006045C7">
      <w:pPr>
        <w:spacing w:after="120" w:line="276" w:lineRule="auto"/>
        <w:ind w:left="360"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CF6712" w14:textId="743D2F24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6045C7">
        <w:rPr>
          <w:rFonts w:asciiTheme="minorHAnsi" w:hAnsiTheme="minorHAnsi" w:cstheme="minorHAnsi"/>
          <w:b/>
          <w:bCs/>
          <w:color w:val="000000"/>
          <w:sz w:val="24"/>
        </w:rPr>
        <w:t>Descrição da Necessidade</w:t>
      </w:r>
    </w:p>
    <w:p w14:paraId="7EFA8D3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6A4662EC" w14:textId="58A64D9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O órgão demandante deve descrever a necessidade da compra/contratação, evidenciando o problema identificado e a real necessidade que ele gera, bem como o que se almeja alcançar com a contratação. (inciso I, art. 7º, IN 40/2020). De acordo com o art. 7º, §2º, este campo é obrigatório.</w:t>
      </w:r>
    </w:p>
    <w:p w14:paraId="723EC6B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Contratações de TIC: </w:t>
      </w:r>
    </w:p>
    <w:p w14:paraId="3E4ABE48" w14:textId="6AA47F00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I, do art. 11, da IN SGD/ME nº 1, de 2019, é necessário definir e especificar as necessidades de negócio e tecnológicas, que servirão de base para o prosseguimento do processo de planejamento da contratação. Caso necessário, inclua novos campos para uma melhor organização do documento e atendimento ao disposto na norma de contratações de TIC (IN SGD/ME nº 1/2019).</w:t>
      </w:r>
    </w:p>
    <w:p w14:paraId="5D8649AC" w14:textId="4935DB41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left="709"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Área Requisitante</w:t>
      </w:r>
    </w:p>
    <w:p w14:paraId="32291CDD" w14:textId="782B5433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left="709"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Nome da Unidade Organizacional:</w:t>
      </w:r>
    </w:p>
    <w:p w14:paraId="3802CE1D" w14:textId="047C8619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left="709"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Responsável pela Solicitação:</w:t>
      </w:r>
    </w:p>
    <w:p w14:paraId="383111C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</w:p>
    <w:p w14:paraId="1761F524" w14:textId="37813A48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Descrição dos Requisitos da Contratação</w:t>
      </w:r>
    </w:p>
    <w:p w14:paraId="766C532B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056246D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Especificar quais são os requisitos indispensáveis de que o objeto a adquirir/contratar deve dispor para atender à demanda, incluindo padrões mínimos de qualidade, de forma a permitir a seleção da proposta mais vantajosa. Incluir, critérios e práticas de sustentabilidade que devem ser veiculados como especificações técnicas do objeto ou como obrigação da contratada.(inciso 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600CA5F4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lastRenderedPageBreak/>
        <w:t>Contratações de TIC:</w:t>
      </w:r>
    </w:p>
    <w:p w14:paraId="73A5ABA7" w14:textId="02144E4E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I, do art. 11, da IN SGD/ME nº 1, de 2019, também é necessário definir e especificar os requisitos necessários e suficientes à escolha da solução de TIC.</w:t>
      </w:r>
    </w:p>
    <w:p w14:paraId="3BD846AA" w14:textId="731BBAC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9D94807" w14:textId="7E18F73E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Levantamento de Mercado</w:t>
      </w:r>
    </w:p>
    <w:p w14:paraId="277ACF3A" w14:textId="16C3E72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37818AE9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O levantamento de mercado consiste na prospecção e análise das alternativas possíveis de soluções, podendo, entre outras opções:</w:t>
      </w:r>
    </w:p>
    <w:p w14:paraId="2FDE44B9" w14:textId="7CFF4252" w:rsidR="006045C7" w:rsidRPr="006045C7" w:rsidRDefault="006045C7" w:rsidP="006045C7">
      <w:pPr>
        <w:pStyle w:val="PargrafodaLista"/>
        <w:numPr>
          <w:ilvl w:val="0"/>
          <w:numId w:val="38"/>
        </w:num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ser consideradas contratações similares feitas por outros órgãos e entidades, com objetivo de identificar a existência de novas metodologias, tecnologias ou inovações que melhor atendam às necessidades da administração; e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b) ser realizada consulta, audiência pública ou realizar diálogo transparente com potenciais contratadas, para coleta de contribuições.</w:t>
      </w:r>
    </w:p>
    <w:p w14:paraId="7C38D1FB" w14:textId="77777777" w:rsidR="006045C7" w:rsidRPr="006045C7" w:rsidRDefault="006045C7" w:rsidP="006045C7">
      <w:pPr>
        <w:pStyle w:val="PargrafodaLista"/>
        <w:numPr>
          <w:ilvl w:val="0"/>
          <w:numId w:val="38"/>
        </w:num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De acordo com o art. 7º, §2º, em caso do não preenchimento deste campo, devem ser apresentadas as devidas justificativas. </w:t>
      </w:r>
    </w:p>
    <w:p w14:paraId="43299CD3" w14:textId="7486ACF9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2B77E41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II, do art. 11, da IN SGD/ME nº 1, de 2019, é necessário identificar e realizar a análise comparativa das soluções que possam atender à necessidade de negócio.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 análise comparativa de soluções deve considerar, além do aspecto econômico, os aspectos qualitativos em termos de benefícios para o alcance dos objetivos da contratação, observando:</w:t>
      </w:r>
    </w:p>
    <w:p w14:paraId="7165BF8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a) a disponibilidade de solução similar em outro órgão ou entidade da Administração Pública;</w:t>
      </w:r>
    </w:p>
    <w:p w14:paraId="4A2C888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b) as alternativas do mercado;</w:t>
      </w:r>
    </w:p>
    <w:p w14:paraId="6944063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c) a existência de softwares disponíveis conforme descrito na Portaria STI/MP nº 46, de 28 de setembro de 2016;</w:t>
      </w:r>
    </w:p>
    <w:p w14:paraId="17957CA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d) as políticas, os modelos e os padrões de governo (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ePing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eMag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ePwg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ICP-Brasil, e-ARQ </w:t>
      </w:r>
      <w:proofErr w:type="gram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Brasil, etc.</w:t>
      </w:r>
      <w:proofErr w:type="gram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), quando aplicáveis;</w:t>
      </w:r>
    </w:p>
    <w:p w14:paraId="68E0C729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e) as necessidades de adequação do ambiente do órgão ou entidade para viabilizar a execução contratual;</w:t>
      </w:r>
    </w:p>
    <w:p w14:paraId="04348ED9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f) os diferentes modelos de prestação do serviço;</w:t>
      </w:r>
    </w:p>
    <w:p w14:paraId="4F3935A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g) os diferentes tipos de soluções em termos de especificação, composição ou características dos bens e serviços integrantes;</w:t>
      </w:r>
    </w:p>
    <w:p w14:paraId="6903290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h) a possibilidade de aquisição na forma de bens ou contratação como serviço; e</w:t>
      </w:r>
    </w:p>
    <w:p w14:paraId="580E324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i) a ampliação ou substituição da solução implantada;</w:t>
      </w:r>
    </w:p>
    <w:p w14:paraId="07FD832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Para as soluções técnica e funcionalmente viáveis, é necessário realizar a análise comparativa de custos (inciso III, do art. 11, da IN SGD/ME nº 1, de 2019), incluindo:</w:t>
      </w:r>
    </w:p>
    <w:p w14:paraId="5AC4F46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lastRenderedPageBreak/>
        <w:t xml:space="preserve">a) comparação de custos totais de propriedade (Total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Cost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Ownership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- TCO) por meio da obtenção dos custos inerentes ao ciclo de vida dos bens e serviços de cada solução, a exemplo dos valores de aquisição dos ativos, insumos, garantia, manutenção; e</w:t>
      </w:r>
    </w:p>
    <w:p w14:paraId="2EB1968B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b) memória de cálculo que referencie os preços e os custos utilizados na análise, com vistas a permitir a verificação da origem dos dados.</w:t>
      </w:r>
    </w:p>
    <w:p w14:paraId="088287F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Com base nestas análises e informações, a Equipe de Planejamento da Contratação poderá apresentar a solução que será adotada para a contratação.</w:t>
      </w:r>
    </w:p>
    <w:p w14:paraId="1ED1FF6F" w14:textId="2148FF9A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Para uma melhor organização, podem ser criados campos adicionais para distribuir os registros relacionados às alíneas do inciso II do art. 11, da IN SGD/ME nº 1/2019.</w:t>
      </w:r>
    </w:p>
    <w:p w14:paraId="49728909" w14:textId="49FFF064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AB60929" w14:textId="0A11EFF3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Descrição da Solução como um todo</w:t>
      </w:r>
    </w:p>
    <w:p w14:paraId="3E551F9A" w14:textId="62AA1C4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539A5FF8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</w:t>
      </w:r>
    </w:p>
    <w:p w14:paraId="4DB0163B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De acordo com o art. 7º, §2º, este campo é obrigatório. </w:t>
      </w:r>
    </w:p>
    <w:p w14:paraId="62C86AD7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6D2EFCF7" w14:textId="5D42B28B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Descrição da solução que será adotada para atendimento da necessidade de negócio, decorrente das análises realizadas na etapa anterior (incisos II e III, art. 11, da IN SGD/ME nº 1, de 2019.</w:t>
      </w:r>
    </w:p>
    <w:p w14:paraId="7166D197" w14:textId="10838F2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218C555" w14:textId="32CB52A6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Estimativa das quantidades a serem adquiridas</w:t>
      </w:r>
    </w:p>
    <w:p w14:paraId="24C1CE78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4C4408A0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Em observância ao disposto no Art. 15, § 7°, II, da Lei n° 8.666/93, as quantidades a serem adquiridas devem ser justificadas em função do consumo e provável utilização, devendo a estimativa ser obtida, a partir de fatos concretos (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Ex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etc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).</w:t>
      </w:r>
    </w:p>
    <w:p w14:paraId="208E819B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 estimativa das quantidades a serem contratadas devem ser acompanhadas das memórias de cálculo e dos documentos que lhe dão suporte, considerando a interdependência com outras contratações, de modo a possibilitar economia de escala. (inciso V, art. 7º, IN 40/2020)</w:t>
      </w:r>
    </w:p>
    <w:p w14:paraId="5B261355" w14:textId="7CD8B46C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64D21F6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Contratações de TIC: </w:t>
      </w:r>
    </w:p>
    <w:p w14:paraId="3D2E86D7" w14:textId="4AB03445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I, do art. 11, da IN SGD/ME nº 1, de 2019, é necessário registrar, de forma detalhada, motivada e justificada, inclusive quanto à forma de cálculo, o quantitativo de bens e serviços necessários para a sua composição.</w:t>
      </w:r>
    </w:p>
    <w:p w14:paraId="0F754E00" w14:textId="223E11A5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237B0E5" w14:textId="734A85E0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Estimativa do valor da Contratação</w:t>
      </w:r>
    </w:p>
    <w:p w14:paraId="67395FA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lastRenderedPageBreak/>
        <w:t>Contratações Gerais:</w:t>
      </w:r>
    </w:p>
    <w:p w14:paraId="0FA998F0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licitação.(inciso, VI,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035D287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0CFEC67C" w14:textId="62EEEF3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IV, do art. 11, da IN SGD/ME nº 1, de 2019, é necessário registrar a Estimativa do Custo Total da Contratação (considerando a solução escolhida), apresentando os preços individualizados quando a solução for composta por itens.</w:t>
      </w:r>
    </w:p>
    <w:p w14:paraId="7035B869" w14:textId="57F076E6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3F0E3EFB" w14:textId="54EB1665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Justificativa para o Parcelamento ou não da Solução</w:t>
      </w:r>
    </w:p>
    <w:p w14:paraId="372B24B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4AA8FD5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No mesmo sentido, e especificamente para compras, o § 7º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27AA1CB8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59C6F73B" w14:textId="12E2F3A8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dispõe o Inciso I, § 2º, art. 12, da IN SGD/ME nº 1/2019, a Equipe de Planejamento da Contratação avaliará a viabilidade de realizar o parcelamento da solução de TIC a ser contratada, em tantos itens quanto se comprovarem técnica e economicamente viáveis, justificando-se a decisão de parcelamento ou não da solução.</w:t>
      </w:r>
    </w:p>
    <w:p w14:paraId="4A181FFE" w14:textId="441C8A85" w:rsidR="006045C7" w:rsidRPr="006045C7" w:rsidRDefault="006045C7" w:rsidP="006045C7">
      <w:p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É importante observar o que dispõe a SÚMULA TCU nº 247:</w:t>
      </w:r>
    </w:p>
    <w:p w14:paraId="1A902AF1" w14:textId="77454424" w:rsidR="006045C7" w:rsidRPr="006045C7" w:rsidRDefault="006045C7" w:rsidP="006045C7">
      <w:pPr>
        <w:suppressAutoHyphens w:val="0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t>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</w:r>
    </w:p>
    <w:p w14:paraId="4235BC6A" w14:textId="297EAF4A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C1768AB" w14:textId="44D5E83C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Contratações Correlatas e/ou Interdependentes</w:t>
      </w:r>
    </w:p>
    <w:p w14:paraId="7EB8D76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759809EA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 se há contratações que guardam relação/afinidade com o objeto da compra/contratação pretendida, sejam elas já realizadas, ou contratações futuras.(inciso VIII,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09D0D2D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lastRenderedPageBreak/>
        <w:t xml:space="preserve">Contratações de TIC: </w:t>
      </w:r>
    </w:p>
    <w:p w14:paraId="551DEAC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Informar, quando houver, as contratações do órgão (realizadas, em andamento ou futuras) que guardam relação/afinidade com o objeto da compra/contratação pretendida.</w:t>
      </w:r>
    </w:p>
    <w:p w14:paraId="5D3B1286" w14:textId="548388A4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Para uma melhor organização, podem ser criados campos adicionais para distribuir os registros relacionados às alíneas do inciso II do art. 11, da IN SGD/ME nº 1/2019.</w:t>
      </w:r>
    </w:p>
    <w:p w14:paraId="6405D576" w14:textId="4EDB097A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4075F97" w14:textId="259EAAB1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Alinhamento entra a contratação e o Planejamento</w:t>
      </w:r>
    </w:p>
    <w:p w14:paraId="6A831BF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0073E60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Demonstração do alinhamento entre a contratação e o planejamento do órgão ou entidade, identificando a previsão no Plano Anual de Contratações ou, se for o caso, justificando a ausência de previsão;(inciso IX, art. 7º, IN 40/2020)</w:t>
      </w:r>
    </w:p>
    <w:p w14:paraId="41D30BCA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4497080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32027921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Registrar o alinhamento desta contratação com os instrumentos de planejamento tático e estratégicos (Art. 6º da IN SGD/ME nº 1/2019):</w:t>
      </w:r>
    </w:p>
    <w:p w14:paraId="6DA965D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- Alinhamento ao PDTIC;</w:t>
      </w:r>
    </w:p>
    <w:p w14:paraId="342EBA9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- Previsão no Plano Anual de Contratações;</w:t>
      </w:r>
    </w:p>
    <w:p w14:paraId="53070C7D" w14:textId="615FD30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- Alinhamento à Estratégia de Governo Digital.</w:t>
      </w:r>
    </w:p>
    <w:p w14:paraId="69710580" w14:textId="2FECE10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D82C2F5" w14:textId="1937AA9F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Resultados Pretendidos</w:t>
      </w:r>
    </w:p>
    <w:p w14:paraId="63C84421" w14:textId="6DA6C13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003E045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</w:t>
      </w:r>
      <w:proofErr w:type="gram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disponíveis.(</w:t>
      </w:r>
      <w:proofErr w:type="gram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inciso X, art. 7º, IN 40/2020)</w:t>
      </w:r>
    </w:p>
    <w:p w14:paraId="2A772EE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7FC7C48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0799439F" w14:textId="282DCAB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Registrar os benefícios a serem alcançados com a contratação, em termos de eficácia, eficiência, efetividade e economicidade (Inciso V, art. Art. 11, da IN SGD/ME nº 1/2019).</w:t>
      </w:r>
    </w:p>
    <w:p w14:paraId="782DADE0" w14:textId="0B74681C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BCABCC9" w14:textId="29EB791D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Providência a serem adotadas</w:t>
      </w:r>
    </w:p>
    <w:p w14:paraId="79D7C62A" w14:textId="65DA2022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514BA797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lastRenderedPageBreak/>
        <w:t>De acordo com o art. 7º, §2º, em caso do não preenchimento deste campo, devem ser apresentadas as devidas justificativas.</w:t>
      </w:r>
    </w:p>
    <w:p w14:paraId="07D39444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45CF1247" w14:textId="11410E70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Informar, se houver, todas as providências e as necessidades de adequação do ambiente do órgão ou entidade para viabilizar a execução contratual (alínea "e", Inciso II, art. 11, da IN SGD/ME nº1/2019).</w:t>
      </w:r>
    </w:p>
    <w:p w14:paraId="4EA17119" w14:textId="227CA4CD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2CB0259" w14:textId="37BA3DB1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Possíveis Impactos Ambientais</w:t>
      </w:r>
    </w:p>
    <w:p w14:paraId="1476AC1A" w14:textId="49920788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4D1D0AB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Descrever os possíveis impactos ambientais e respectivas medidas de tratamento ou mitigadoras buscando sanar os riscos ambientais existentes. (inciso XII,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213B160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7EDD846A" w14:textId="7EB5D862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Descrever, quando couber, os possíveis impactos ambientais e respectivas medidas de tratamento ou mitigadoras buscando sanar os riscos ambientais existentes.</w:t>
      </w:r>
    </w:p>
    <w:p w14:paraId="7C6A3ED6" w14:textId="12F98969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A1949C1" w14:textId="586E03A9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 xml:space="preserve">Declaração de Viabilidade </w:t>
      </w:r>
    </w:p>
    <w:p w14:paraId="50517651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Contratações Gerais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2C5801B5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Declarar expressamente se a contratação é viável e razoável (ou não), justificando com base nos elementos colhidos durante os Estudos Preliminares.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604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(inciso XIII, art. 7º, IN 40/2020)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06915D76" w14:textId="1FA8DDF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5BD0E55E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Contratações de TIC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0F8F5FA9" w14:textId="3646F926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Registrar a declaração da viabilidade da contratação, contendo a justificativa da solução escolhida, levando em consideração os estudos realizados na análise comparativa de soluções, aspectos econômicos e qualitativos, registrados ao longo do Estudo Técnico Preliminar (Inciso V, art. 11, da IN SGD/ME nº 1/2019).</w:t>
      </w:r>
    </w:p>
    <w:p w14:paraId="5A9AEF72" w14:textId="77777777" w:rsidR="006045C7" w:rsidRPr="006045C7" w:rsidRDefault="006045C7" w:rsidP="006045C7">
      <w:pPr>
        <w:shd w:val="clear" w:color="auto" w:fill="FFFFFF"/>
        <w:suppressAutoHyphens w:val="0"/>
        <w:spacing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</w:rPr>
        <w:t>Informe abaixo 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viabilidade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do objeto deste ETP. Caso o projeto seja inviável, é obrigatório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informar a justificativa de inviabilidade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4E0D54A" w14:textId="495E5FA8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</w:rPr>
        <w:object w:dxaOrig="360" w:dyaOrig="324" w14:anchorId="732B2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6.2pt" o:ole="">
            <v:imagedata r:id="rId9" o:title=""/>
          </v:shape>
          <w:control r:id="rId10" w:name="DefaultOcxName" w:shapeid="_x0000_i1040"/>
        </w:objec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Esta equipe de planejamento declara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viável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esta contratação com base neste Estudo Técnico Preliminar.</w:t>
      </w:r>
    </w:p>
    <w:p w14:paraId="411588EB" w14:textId="25E4D4C1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object w:dxaOrig="360" w:dyaOrig="324" w14:anchorId="2E845F3A">
          <v:shape id="_x0000_i1037" type="#_x0000_t75" style="width:18pt;height:16.2pt" o:ole="">
            <v:imagedata r:id="rId11" o:title=""/>
          </v:shape>
          <w:control r:id="rId12" w:name="DefaultOcxName2" w:shapeid="_x0000_i1037"/>
        </w:objec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Esta equipe de planejamento declara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viável com restrições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esta contratação com base neste Estudo Técnico Preliminar.</w:t>
      </w:r>
    </w:p>
    <w:p w14:paraId="72327370" w14:textId="44888380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</w:rPr>
        <w:object w:dxaOrig="360" w:dyaOrig="324" w14:anchorId="2745F004">
          <v:shape id="_x0000_i1039" type="#_x0000_t75" style="width:18pt;height:16.2pt" o:ole="">
            <v:imagedata r:id="rId11" o:title=""/>
          </v:shape>
          <w:control r:id="rId13" w:name="DefaultOcxName1" w:shapeid="_x0000_i1039"/>
        </w:objec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Esta equipe de planejamento declara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inviável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esta contratação com base neste Estudo Técnico Preliminar.</w:t>
      </w:r>
    </w:p>
    <w:p w14:paraId="4429ACAD" w14:textId="0DD24743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078FFFC9" w14:textId="77777777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570483B8" w14:textId="02F4E208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b/>
          <w:bCs/>
          <w:color w:val="333333"/>
          <w:sz w:val="24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</w:rPr>
        <w:t>ANEXOS (se houver)</w:t>
      </w:r>
    </w:p>
    <w:p w14:paraId="26BC557E" w14:textId="77777777" w:rsidR="006045C7" w:rsidRPr="006045C7" w:rsidRDefault="006045C7" w:rsidP="006045C7">
      <w:pPr>
        <w:spacing w:after="120" w:line="276" w:lineRule="auto"/>
        <w:ind w:right="-15"/>
        <w:rPr>
          <w:rFonts w:asciiTheme="minorHAnsi" w:hAnsiTheme="minorHAnsi" w:cstheme="minorHAnsi"/>
          <w:sz w:val="22"/>
          <w:szCs w:val="22"/>
        </w:rPr>
      </w:pPr>
    </w:p>
    <w:p w14:paraId="4C4FA00F" w14:textId="77777777" w:rsidR="006045C7" w:rsidRPr="006045C7" w:rsidRDefault="006045C7" w:rsidP="006045C7">
      <w:pPr>
        <w:spacing w:after="120" w:line="276" w:lineRule="auto"/>
        <w:ind w:left="360"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6045C7" w:rsidRPr="006045C7" w:rsidSect="00135BEF">
      <w:headerReference w:type="default" r:id="rId14"/>
      <w:footerReference w:type="default" r:id="rId15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1EE4" w14:textId="77777777" w:rsidR="006045C7" w:rsidRDefault="006045C7" w:rsidP="00195787">
      <w:r>
        <w:separator/>
      </w:r>
    </w:p>
  </w:endnote>
  <w:endnote w:type="continuationSeparator" w:id="0">
    <w:p w14:paraId="16642405" w14:textId="77777777" w:rsidR="006045C7" w:rsidRDefault="006045C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6045C7" w:rsidRDefault="006045C7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6045C7" w:rsidRPr="007D1C2C" w:rsidRDefault="006045C7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6045C7" w:rsidRDefault="006045C7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4A1A" w14:textId="77777777" w:rsidR="006045C7" w:rsidRDefault="006045C7" w:rsidP="00195787">
      <w:r>
        <w:separator/>
      </w:r>
    </w:p>
  </w:footnote>
  <w:footnote w:type="continuationSeparator" w:id="0">
    <w:p w14:paraId="6738C4D3" w14:textId="77777777" w:rsidR="006045C7" w:rsidRDefault="006045C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6045C7" w:rsidRDefault="006045C7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6045C7" w:rsidRDefault="006045C7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6045C7" w:rsidRDefault="006045C7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7F3827"/>
    <w:multiLevelType w:val="multilevel"/>
    <w:tmpl w:val="AA1CA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79F0C57"/>
    <w:multiLevelType w:val="hybridMultilevel"/>
    <w:tmpl w:val="2C4E0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40"/>
  </w:num>
  <w:num w:numId="4">
    <w:abstractNumId w:val="32"/>
  </w:num>
  <w:num w:numId="5">
    <w:abstractNumId w:val="27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5"/>
  </w:num>
  <w:num w:numId="9">
    <w:abstractNumId w:val="38"/>
  </w:num>
  <w:num w:numId="10">
    <w:abstractNumId w:val="45"/>
  </w:num>
  <w:num w:numId="11">
    <w:abstractNumId w:val="28"/>
  </w:num>
  <w:num w:numId="12">
    <w:abstractNumId w:val="20"/>
  </w:num>
  <w:num w:numId="13">
    <w:abstractNumId w:val="29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4"/>
  </w:num>
  <w:num w:numId="29">
    <w:abstractNumId w:val="46"/>
  </w:num>
  <w:num w:numId="30">
    <w:abstractNumId w:val="43"/>
  </w:num>
  <w:num w:numId="31">
    <w:abstractNumId w:val="21"/>
  </w:num>
  <w:num w:numId="32">
    <w:abstractNumId w:val="34"/>
  </w:num>
  <w:num w:numId="33">
    <w:abstractNumId w:val="41"/>
  </w:num>
  <w:num w:numId="34">
    <w:abstractNumId w:val="23"/>
  </w:num>
  <w:num w:numId="35">
    <w:abstractNumId w:val="36"/>
  </w:num>
  <w:num w:numId="36">
    <w:abstractNumId w:val="22"/>
  </w:num>
  <w:num w:numId="37">
    <w:abstractNumId w:val="26"/>
  </w:num>
  <w:num w:numId="38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E3F89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045C7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1DC1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268744"/>
            <w:bottom w:val="none" w:sz="0" w:space="0" w:color="auto"/>
            <w:right w:val="none" w:sz="0" w:space="0" w:color="auto"/>
          </w:divBdr>
        </w:div>
      </w:divsChild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2140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2019-06-11T23:15:00Z</cp:lastPrinted>
  <dcterms:created xsi:type="dcterms:W3CDTF">2020-08-23T02:37:00Z</dcterms:created>
  <dcterms:modified xsi:type="dcterms:W3CDTF">2020-08-23T03:43:00Z</dcterms:modified>
  <dc:language>pt-BR</dc:language>
</cp:coreProperties>
</file>