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spacing w:before="240" w:after="120" w:line="276" w:lineRule="auto"/>
        <w:ind w:right="-15"/>
        <w:jc w:val="center"/>
        <w:rPr>
          <w:rFonts w:ascii="Verdana" w:hAnsi="Verdana" w:cs="Arial"/>
          <w:b/>
          <w:bCs/>
          <w:color w:val="000000"/>
          <w:sz w:val="18"/>
          <w:szCs w:val="18"/>
        </w:rPr>
      </w:pPr>
      <w:r>
        <w:rPr>
          <w:rFonts w:ascii="Verdana" w:hAnsi="Verdana" w:cs="Arial"/>
          <w:b/>
          <w:bCs/>
          <w:color w:val="000000"/>
          <w:sz w:val="18"/>
          <w:szCs w:val="1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12700</wp:posOffset>
            </wp:positionV>
            <wp:extent cx="638175" cy="687070"/>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2" cstate="print"/>
                    <a:srcRect/>
                    <a:stretch>
                      <a:fillRect/>
                    </a:stretch>
                  </pic:blipFill>
                  <pic:spPr>
                    <a:xfrm>
                      <a:off x="0" y="0"/>
                      <a:ext cx="637988" cy="687294"/>
                    </a:xfrm>
                    <a:prstGeom prst="rect">
                      <a:avLst/>
                    </a:prstGeom>
                    <a:solidFill>
                      <a:srgbClr val="FFFFFF"/>
                    </a:solidFill>
                    <a:ln w="1">
                      <a:miter lim="800000"/>
                      <a:headEnd/>
                      <a:tailEnd/>
                    </a:ln>
                  </pic:spPr>
                </pic:pic>
              </a:graphicData>
            </a:graphic>
          </wp:anchor>
        </w:drawing>
      </w: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rPr>
      </w:pPr>
      <w:r>
        <w:rPr>
          <w:rFonts w:ascii="Verdana" w:hAnsi="Verdana" w:cs="Arial"/>
          <w:b/>
          <w:bCs/>
          <w:color w:val="auto"/>
        </w:rPr>
        <w:t>MINISTÉRIO DA EDUCAÇÃO</w:t>
      </w:r>
    </w:p>
    <w:p>
      <w:pPr>
        <w:keepNext w:val="0"/>
        <w:spacing w:after="120"/>
        <w:ind w:right="-17"/>
        <w:jc w:val="center"/>
        <w:rPr>
          <w:rFonts w:ascii="Verdana" w:hAnsi="Verdana" w:cs="Arial"/>
          <w:b/>
          <w:bCs/>
          <w:color w:val="auto"/>
        </w:rPr>
      </w:pPr>
      <w:r>
        <w:rPr>
          <w:rFonts w:ascii="Verdana" w:hAnsi="Verdana" w:cs="Arial"/>
          <w:b/>
          <w:bCs/>
          <w:color w:val="auto"/>
        </w:rPr>
        <w:t>UNIVERSIDADE FEDERAL FLUMINENSE</w:t>
      </w:r>
    </w:p>
    <w:p>
      <w:pPr>
        <w:keepNext w:val="0"/>
        <w:spacing w:after="120"/>
        <w:ind w:right="-17"/>
        <w:jc w:val="center"/>
        <w:rPr>
          <w:rFonts w:ascii="Verdana" w:hAnsi="Verdana" w:cs="Arial"/>
          <w:b/>
          <w:bCs/>
          <w:color w:val="auto"/>
        </w:rPr>
      </w:pPr>
      <w:r>
        <w:rPr>
          <w:rFonts w:ascii="Verdana" w:hAnsi="Verdana" w:cs="Arial"/>
          <w:b/>
          <w:bCs/>
          <w:color w:val="auto"/>
        </w:rPr>
        <w:t>PRÓ-REITORIA DE ADMINISTRAÇÃO</w:t>
      </w:r>
    </w:p>
    <w:p>
      <w:pPr>
        <w:keepNext w:val="0"/>
        <w:spacing w:after="120"/>
        <w:ind w:right="-17"/>
        <w:jc w:val="center"/>
        <w:rPr>
          <w:rFonts w:ascii="Verdana" w:hAnsi="Verdana" w:cs="Arial"/>
          <w:color w:val="auto"/>
        </w:rPr>
      </w:pPr>
      <w:r>
        <w:rPr>
          <w:rFonts w:ascii="Verdana" w:hAnsi="Verdana" w:cs="Arial"/>
          <w:b/>
          <w:bCs/>
          <w:color w:val="auto"/>
        </w:rPr>
        <w:t>COORDENAÇÃO DE LICITAÇÃO</w:t>
      </w:r>
    </w:p>
    <w:p>
      <w:pPr>
        <w:keepNext w:val="0"/>
        <w:spacing w:before="240" w:after="120" w:line="276" w:lineRule="auto"/>
        <w:ind w:right="-15"/>
        <w:jc w:val="center"/>
        <w:rPr>
          <w:rFonts w:ascii="Verdana" w:hAnsi="Verdana" w:cs="Arial"/>
          <w:sz w:val="18"/>
          <w:szCs w:val="18"/>
        </w:rPr>
      </w:pPr>
      <w:r>
        <w:rPr>
          <w:rFonts w:ascii="Verdana" w:hAnsi="Verdana" w:cs="Arial"/>
          <w:b/>
          <w:bCs/>
          <w:color w:val="000000"/>
          <w:sz w:val="18"/>
          <w:szCs w:val="18"/>
        </w:rPr>
        <w:t>REGIME DIFERENCIADO DE CONTRATAÇÃO - RDC</w:t>
      </w:r>
    </w:p>
    <w:p>
      <w:pPr>
        <w:keepNext w:val="0"/>
        <w:spacing w:after="120"/>
        <w:ind w:right="-17"/>
        <w:jc w:val="center"/>
        <w:rPr>
          <w:rFonts w:ascii="Verdana" w:hAnsi="Verdana" w:cs="Arial"/>
          <w:b/>
          <w:bCs/>
          <w:color w:val="000000"/>
          <w:sz w:val="18"/>
          <w:szCs w:val="18"/>
        </w:rPr>
      </w:pPr>
    </w:p>
    <w:p>
      <w:pPr>
        <w:keepNext w:val="0"/>
        <w:spacing w:after="120"/>
        <w:ind w:right="-17"/>
        <w:jc w:val="center"/>
        <w:rPr>
          <w:rFonts w:ascii="Verdana" w:hAnsi="Verdana" w:cs="Arial"/>
          <w:color w:val="auto"/>
          <w:sz w:val="18"/>
          <w:szCs w:val="18"/>
        </w:rPr>
      </w:pPr>
      <w:r>
        <w:rPr>
          <w:rFonts w:ascii="Verdana" w:hAnsi="Verdana" w:cs="Arial"/>
          <w:b/>
          <w:bCs/>
          <w:color w:val="auto"/>
          <w:sz w:val="18"/>
          <w:szCs w:val="18"/>
        </w:rPr>
        <w:t>EDITAL DO RDC ELETRÔNICO Nº 01/2021/AD</w:t>
      </w:r>
    </w:p>
    <w:p>
      <w:pPr>
        <w:keepNext w:val="0"/>
        <w:spacing w:after="120"/>
        <w:ind w:right="-17"/>
        <w:jc w:val="center"/>
        <w:rPr>
          <w:rFonts w:ascii="Verdana" w:hAnsi="Verdana" w:cs="Arial"/>
          <w:sz w:val="18"/>
          <w:szCs w:val="18"/>
        </w:rPr>
      </w:pPr>
      <w:r>
        <w:rPr>
          <w:rFonts w:ascii="Verdana" w:hAnsi="Verdana" w:cs="Arial"/>
          <w:b/>
          <w:bCs/>
          <w:color w:val="000000"/>
          <w:sz w:val="18"/>
          <w:szCs w:val="18"/>
        </w:rPr>
        <w:t>(Processo Administrativo n.° 23069.152835/2021-98)</w:t>
      </w:r>
    </w:p>
    <w:p>
      <w:pPr>
        <w:keepNext w:val="0"/>
        <w:spacing w:after="120" w:line="276" w:lineRule="auto"/>
        <w:ind w:right="-30"/>
        <w:jc w:val="both"/>
        <w:rPr>
          <w:rFonts w:ascii="Verdana" w:hAnsi="Verdana" w:cs="Arial"/>
          <w:sz w:val="18"/>
          <w:szCs w:val="18"/>
        </w:rPr>
      </w:pPr>
    </w:p>
    <w:p>
      <w:pPr>
        <w:pStyle w:val="80"/>
        <w:keepNext w:val="0"/>
        <w:shd w:val="clear" w:color="auto" w:fill="auto"/>
        <w:rPr>
          <w:rFonts w:ascii="Verdana" w:hAnsi="Verdana" w:cs="Arial"/>
          <w:color w:val="000000"/>
          <w:sz w:val="18"/>
          <w:szCs w:val="18"/>
        </w:rPr>
      </w:pPr>
      <w:r>
        <w:rPr>
          <w:rFonts w:ascii="Verdana" w:hAnsi="Verdana" w:cs="Arial"/>
          <w:color w:val="000000"/>
          <w:sz w:val="18"/>
          <w:szCs w:val="18"/>
        </w:rPr>
        <w:t xml:space="preserve">Torna-se público que a Universidade Federal Fluminense, por meio da sua Coordenação de Licitação da Pró-Reitoria de Administração, </w:t>
      </w:r>
      <w:r>
        <w:rPr>
          <w:rFonts w:ascii="Verdana" w:hAnsi="Verdana"/>
          <w:sz w:val="18"/>
          <w:szCs w:val="18"/>
        </w:rPr>
        <w:t>instituída pela Portaria n.º 66.836 de 29 de maio de 2020</w:t>
      </w:r>
      <w:r>
        <w:rPr>
          <w:rFonts w:ascii="Verdana" w:hAnsi="Verdana" w:cs="Arial"/>
          <w:color w:val="000000"/>
          <w:sz w:val="18"/>
          <w:szCs w:val="18"/>
        </w:rPr>
        <w:t xml:space="preserve">, sediada à Rua Miguel de Frias n.º 09, bairro de Icaraí, Niterói, Estado do Rio de Janeiro, CEP 24220-900, realizará licitação, na modalidade </w:t>
      </w:r>
      <w:r>
        <w:rPr>
          <w:rFonts w:ascii="Verdana" w:hAnsi="Verdana" w:cs="Arial"/>
          <w:bCs/>
          <w:color w:val="000000"/>
          <w:sz w:val="18"/>
          <w:szCs w:val="18"/>
        </w:rPr>
        <w:t xml:space="preserve">RDC, </w:t>
      </w:r>
      <w:r>
        <w:rPr>
          <w:rFonts w:ascii="Verdana" w:hAnsi="Verdana" w:cs="Arial"/>
          <w:color w:val="000000"/>
          <w:sz w:val="18"/>
          <w:szCs w:val="18"/>
        </w:rPr>
        <w:t>na forma</w:t>
      </w:r>
      <w:r>
        <w:rPr>
          <w:rFonts w:ascii="Verdana" w:hAnsi="Verdana" w:cs="Arial"/>
          <w:bCs/>
          <w:color w:val="000000"/>
          <w:sz w:val="18"/>
          <w:szCs w:val="18"/>
        </w:rPr>
        <w:t xml:space="preserve"> ELETRÔNICA, </w:t>
      </w:r>
      <w:r>
        <w:rPr>
          <w:rFonts w:ascii="Verdana" w:hAnsi="Verdana"/>
          <w:sz w:val="18"/>
          <w:szCs w:val="18"/>
        </w:rPr>
        <w:t>em modo de disputa ABERTO</w:t>
      </w:r>
      <w:r>
        <w:rPr>
          <w:rFonts w:ascii="Verdana" w:hAnsi="Verdana" w:cs="Arial"/>
          <w:bCs/>
          <w:color w:val="000000"/>
          <w:sz w:val="18"/>
          <w:szCs w:val="18"/>
        </w:rPr>
        <w:t xml:space="preserve">, com critério de julgamento </w:t>
      </w:r>
      <w:r>
        <w:rPr>
          <w:rFonts w:ascii="Verdana" w:hAnsi="Verdana" w:cs="Arial"/>
          <w:bCs/>
          <w:i/>
          <w:sz w:val="18"/>
          <w:szCs w:val="18"/>
        </w:rPr>
        <w:t>maior desconto</w:t>
      </w:r>
      <w:r>
        <w:rPr>
          <w:rFonts w:ascii="Verdana" w:hAnsi="Verdana" w:cs="Arial"/>
          <w:bCs/>
          <w:sz w:val="18"/>
          <w:szCs w:val="18"/>
        </w:rPr>
        <w:t xml:space="preserve">, no regime de empreitada </w:t>
      </w:r>
      <w:r>
        <w:rPr>
          <w:rFonts w:ascii="Verdana" w:hAnsi="Verdana" w:cs="Arial"/>
          <w:bCs/>
          <w:i/>
          <w:iCs/>
          <w:sz w:val="18"/>
          <w:szCs w:val="18"/>
        </w:rPr>
        <w:t>por preço unitário,</w:t>
      </w:r>
      <w:r>
        <w:rPr>
          <w:rFonts w:ascii="Verdana" w:hAnsi="Verdana" w:cs="Arial"/>
          <w:bCs/>
          <w:i/>
          <w:iCs/>
          <w:color w:val="FF0000"/>
          <w:sz w:val="18"/>
          <w:szCs w:val="18"/>
        </w:rPr>
        <w:t xml:space="preserve"> </w:t>
      </w:r>
      <w:r>
        <w:rPr>
          <w:rFonts w:ascii="Verdana" w:hAnsi="Verdana" w:cs="Arial"/>
          <w:color w:val="000000"/>
          <w:sz w:val="18"/>
          <w:szCs w:val="18"/>
        </w:rPr>
        <w:t>nos termos da Lei nº 12.462, de 4 de agosto de 2011, do Decreto nº 7.581, de 11 de outubro de 2011</w:t>
      </w:r>
      <w:r>
        <w:rPr>
          <w:rFonts w:ascii="Verdana" w:hAnsi="Verdana" w:cs="Arial"/>
          <w:sz w:val="18"/>
          <w:szCs w:val="18"/>
        </w:rPr>
        <w:t xml:space="preserve">, </w:t>
      </w:r>
      <w:r>
        <w:rPr>
          <w:rFonts w:ascii="Verdana" w:hAnsi="Verdana" w:cs="Arial"/>
          <w:color w:val="000000" w:themeColor="text1"/>
          <w:sz w:val="18"/>
          <w:szCs w:val="18"/>
        </w:rPr>
        <w:t xml:space="preserve">da Lei Complementar n° 123, de 14 de dezembro de 2006, da Lei nº 11.488, de 15 de junho de 2007, do Decreto n° </w:t>
      </w:r>
      <w:r>
        <w:rPr>
          <w:rFonts w:ascii="Verdana" w:hAnsi="Verdana" w:cs="Arial"/>
          <w:sz w:val="18"/>
          <w:szCs w:val="18"/>
        </w:rPr>
        <w:t>8.538, de 06 de outubro de 2015, aplicando-se, subsidiariamente, no que couber, a</w:t>
      </w:r>
      <w:r>
        <w:rPr>
          <w:rFonts w:ascii="Verdana" w:hAnsi="Verdana" w:cs="Arial"/>
          <w:color w:val="000000"/>
          <w:sz w:val="18"/>
          <w:szCs w:val="18"/>
        </w:rPr>
        <w:t xml:space="preserve"> Lei nº 8.666, de 21 de junho de 1993, e as exigências estabelecidas neste Edital e seus anexos.</w:t>
      </w:r>
    </w:p>
    <w:p>
      <w:pPr>
        <w:pStyle w:val="80"/>
        <w:keepNext w:val="0"/>
        <w:widowControl/>
        <w:shd w:val="clear" w:color="auto" w:fill="auto"/>
        <w:spacing w:before="120" w:after="120"/>
        <w:ind w:firstLine="0"/>
        <w:jc w:val="center"/>
        <w:rPr>
          <w:rFonts w:hint="default" w:ascii="Verdana" w:hAnsi="Verdana" w:cs="Arial"/>
          <w:b/>
          <w:bCs/>
          <w:color w:val="auto"/>
          <w:sz w:val="18"/>
          <w:szCs w:val="18"/>
          <w:lang w:val="pt-BR"/>
        </w:rPr>
      </w:pPr>
      <w:r>
        <w:rPr>
          <w:rFonts w:ascii="Verdana" w:hAnsi="Verdana" w:cs="Arial"/>
          <w:sz w:val="18"/>
          <w:szCs w:val="18"/>
        </w:rPr>
        <w:t xml:space="preserve">Data da sessão: </w:t>
      </w:r>
      <w:r>
        <w:rPr>
          <w:rFonts w:hint="default" w:ascii="Verdana" w:hAnsi="Verdana" w:cs="Arial"/>
          <w:b/>
          <w:bCs/>
          <w:color w:val="auto"/>
          <w:sz w:val="18"/>
          <w:szCs w:val="18"/>
          <w:lang w:val="pt-BR"/>
        </w:rPr>
        <w:t>30/04/2021</w:t>
      </w:r>
    </w:p>
    <w:p>
      <w:pPr>
        <w:pStyle w:val="80"/>
        <w:keepNext w:val="0"/>
        <w:widowControl/>
        <w:shd w:val="clear" w:color="auto" w:fill="auto"/>
        <w:spacing w:before="120" w:after="120"/>
        <w:ind w:firstLine="0"/>
        <w:jc w:val="center"/>
        <w:rPr>
          <w:rFonts w:hint="default" w:ascii="Verdana" w:hAnsi="Verdana" w:cs="Arial"/>
          <w:b/>
          <w:bCs/>
          <w:color w:val="auto"/>
          <w:sz w:val="18"/>
          <w:szCs w:val="18"/>
          <w:lang w:val="pt-BR"/>
        </w:rPr>
      </w:pPr>
      <w:r>
        <w:rPr>
          <w:rFonts w:ascii="Verdana" w:hAnsi="Verdana" w:cs="Arial"/>
          <w:color w:val="auto"/>
          <w:sz w:val="18"/>
          <w:szCs w:val="18"/>
        </w:rPr>
        <w:t xml:space="preserve">Horário: </w:t>
      </w:r>
      <w:r>
        <w:rPr>
          <w:rFonts w:hint="default" w:ascii="Verdana" w:hAnsi="Verdana" w:cs="Arial"/>
          <w:b/>
          <w:bCs/>
          <w:color w:val="auto"/>
          <w:sz w:val="18"/>
          <w:szCs w:val="18"/>
          <w:lang w:val="pt-BR"/>
        </w:rPr>
        <w:t>09h</w:t>
      </w:r>
    </w:p>
    <w:p>
      <w:pPr>
        <w:pStyle w:val="80"/>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 xml:space="preserve">Local: Portal de Compras do Governo Federal </w:t>
      </w:r>
      <w:bookmarkStart w:id="6" w:name="_GoBack"/>
      <w:bookmarkEnd w:id="6"/>
      <w:r>
        <w:rPr>
          <w:rFonts w:ascii="Verdana" w:hAnsi="Verdana" w:cs="Arial"/>
          <w:sz w:val="18"/>
          <w:szCs w:val="18"/>
        </w:rPr>
        <w:t xml:space="preserve">– </w:t>
      </w:r>
      <w:r>
        <w:fldChar w:fldCharType="begin"/>
      </w:r>
      <w:r>
        <w:instrText xml:space="preserve"> HYPERLINK "http://www.gov.br/compras" </w:instrText>
      </w:r>
      <w:r>
        <w:fldChar w:fldCharType="separate"/>
      </w:r>
      <w:r>
        <w:rPr>
          <w:rStyle w:val="12"/>
          <w:rFonts w:ascii="Calibri" w:hAnsi="Calibri" w:cs="Calibri"/>
          <w:color w:val="000000"/>
          <w:sz w:val="22"/>
          <w:szCs w:val="22"/>
        </w:rPr>
        <w:t xml:space="preserve"> </w:t>
      </w:r>
      <w:r>
        <w:rPr>
          <w:rStyle w:val="12"/>
          <w:rFonts w:ascii="Calibri" w:hAnsi="Calibri" w:cs="Calibri"/>
          <w:b/>
          <w:bCs/>
          <w:sz w:val="22"/>
          <w:szCs w:val="22"/>
        </w:rPr>
        <w:t>www.gov.br/compras</w:t>
      </w:r>
      <w:r>
        <w:rPr>
          <w:rStyle w:val="12"/>
          <w:rFonts w:ascii="Calibri" w:hAnsi="Calibri" w:cs="Calibri"/>
          <w:b/>
          <w:bCs/>
          <w:sz w:val="22"/>
          <w:szCs w:val="22"/>
        </w:rPr>
        <w:fldChar w:fldCharType="end"/>
      </w:r>
    </w:p>
    <w:p>
      <w:pPr>
        <w:keepNext w:val="0"/>
        <w:shd w:val="clear" w:color="auto" w:fill="auto"/>
        <w:rPr>
          <w:rFonts w:ascii="Verdana" w:hAnsi="Verdana" w:cs="Arial"/>
          <w:sz w:val="18"/>
          <w:szCs w:val="18"/>
        </w:rPr>
      </w:pPr>
    </w:p>
    <w:p>
      <w:pPr>
        <w:pStyle w:val="80"/>
        <w:keepNext w:val="0"/>
        <w:widowControl/>
        <w:numPr>
          <w:ilvl w:val="0"/>
          <w:numId w:val="3"/>
        </w:numPr>
        <w:shd w:val="clear" w:color="auto" w:fill="auto"/>
        <w:spacing w:before="120" w:after="120"/>
        <w:ind w:left="284" w:hanging="284"/>
        <w:rPr>
          <w:rFonts w:ascii="Verdana" w:hAnsi="Verdana" w:cs="Arial"/>
          <w:sz w:val="18"/>
          <w:szCs w:val="18"/>
        </w:rPr>
      </w:pPr>
      <w:r>
        <w:rPr>
          <w:rFonts w:ascii="Verdana" w:hAnsi="Verdana" w:cs="Arial"/>
          <w:b/>
          <w:color w:val="000000"/>
          <w:sz w:val="18"/>
          <w:szCs w:val="18"/>
        </w:rPr>
        <w:t>DO OBJETO</w:t>
      </w:r>
    </w:p>
    <w:p>
      <w:pPr>
        <w:pStyle w:val="80"/>
        <w:keepNext w:val="0"/>
        <w:widowControl/>
        <w:numPr>
          <w:ilvl w:val="1"/>
          <w:numId w:val="3"/>
        </w:numPr>
        <w:shd w:val="clear" w:color="auto" w:fill="auto"/>
        <w:spacing w:before="120" w:after="120"/>
        <w:ind w:left="851" w:hanging="284"/>
        <w:rPr>
          <w:rFonts w:ascii="Verdana" w:hAnsi="Verdana" w:cs="Arial"/>
          <w:sz w:val="18"/>
          <w:szCs w:val="18"/>
        </w:rPr>
      </w:pPr>
      <w:bookmarkStart w:id="0" w:name="__DdeLink__1377_1703696864"/>
      <w:r>
        <w:rPr>
          <w:rFonts w:ascii="Verdana" w:hAnsi="Verdana" w:cs="Arial"/>
          <w:sz w:val="18"/>
          <w:szCs w:val="18"/>
        </w:rPr>
        <w:t>O objeto da presente licitação é a escolha da proposta mais vantajosa para a contratação de obra de reforma do anexo ao prédio do Instituto de Geociências (Física Velha) no Campus do Valonguinho, para instalação do Instituto de Estudos Comparados em Administração de Conflitos – INEAC (Fase 2), conforme condições, quantidades e exigências estabelecidas neste Edital e seus anexos.</w:t>
      </w:r>
    </w:p>
    <w:p>
      <w:pPr>
        <w:pStyle w:val="80"/>
        <w:keepNext w:val="0"/>
        <w:widowControl/>
        <w:numPr>
          <w:ilvl w:val="2"/>
          <w:numId w:val="3"/>
        </w:numPr>
        <w:shd w:val="clear" w:color="auto" w:fill="auto"/>
        <w:spacing w:before="120" w:after="120"/>
        <w:ind w:hanging="283"/>
        <w:rPr>
          <w:rFonts w:ascii="Verdana" w:hAnsi="Verdana" w:cs="Arial"/>
          <w:sz w:val="18"/>
          <w:szCs w:val="18"/>
        </w:rPr>
      </w:pPr>
      <w:r>
        <w:rPr>
          <w:rFonts w:ascii="Verdana" w:hAnsi="Verdana"/>
          <w:sz w:val="18"/>
          <w:szCs w:val="18"/>
        </w:rPr>
        <w:t xml:space="preserve">Localização da obra: Outeiro São João Batista, Campus do Valonguinho, Avenida Visconde do Rio Branco, s/n.º, Centro, Niterói, Estado do Rio de Janeiro. </w:t>
      </w:r>
    </w:p>
    <w:p>
      <w:pPr>
        <w:pStyle w:val="80"/>
        <w:keepNext w:val="0"/>
        <w:widowControl/>
        <w:numPr>
          <w:ilvl w:val="1"/>
          <w:numId w:val="3"/>
        </w:numPr>
        <w:shd w:val="clear" w:color="auto" w:fill="auto"/>
        <w:spacing w:before="120" w:after="120"/>
        <w:ind w:left="851" w:hanging="284"/>
        <w:rPr>
          <w:rFonts w:ascii="Verdana" w:hAnsi="Verdana" w:cs="Arial"/>
          <w:sz w:val="18"/>
          <w:szCs w:val="18"/>
        </w:rPr>
      </w:pPr>
      <w:r>
        <w:rPr>
          <w:rFonts w:ascii="Verdana" w:hAnsi="Verdana" w:cs="Times-Roman"/>
          <w:sz w:val="18"/>
          <w:szCs w:val="18"/>
        </w:rPr>
        <w:t xml:space="preserve">Esta licitação será realizada na forma </w:t>
      </w:r>
      <w:r>
        <w:rPr>
          <w:rFonts w:ascii="Verdana" w:hAnsi="Verdana" w:cs="Times-Bold"/>
          <w:bCs/>
          <w:sz w:val="18"/>
          <w:szCs w:val="18"/>
        </w:rPr>
        <w:t>eletrônica</w:t>
      </w:r>
      <w:r>
        <w:rPr>
          <w:rFonts w:ascii="Verdana" w:hAnsi="Verdana" w:cs="Times-Bold"/>
          <w:b/>
          <w:bCs/>
          <w:sz w:val="18"/>
          <w:szCs w:val="18"/>
        </w:rPr>
        <w:t xml:space="preserve"> </w:t>
      </w:r>
      <w:r>
        <w:rPr>
          <w:rFonts w:ascii="Verdana" w:hAnsi="Verdana" w:cs="Times-Roman"/>
          <w:sz w:val="18"/>
          <w:szCs w:val="18"/>
        </w:rPr>
        <w:t xml:space="preserve">e em modo de disputa </w:t>
      </w:r>
      <w:r>
        <w:rPr>
          <w:rFonts w:ascii="Verdana" w:hAnsi="Verdana" w:cs="Times-Bold"/>
          <w:bCs/>
          <w:sz w:val="18"/>
          <w:szCs w:val="18"/>
        </w:rPr>
        <w:t>aberto</w:t>
      </w:r>
      <w:r>
        <w:rPr>
          <w:rFonts w:ascii="Verdana" w:hAnsi="Verdana" w:cs="Times-Roman"/>
          <w:sz w:val="18"/>
          <w:szCs w:val="18"/>
        </w:rPr>
        <w:t>, conforme disposto nos artigos 18, 20 e 21 do Decreto nº 7.581/11.</w:t>
      </w:r>
      <w:bookmarkEnd w:id="0"/>
    </w:p>
    <w:p>
      <w:pPr>
        <w:pStyle w:val="80"/>
        <w:keepNext w:val="0"/>
        <w:widowControl/>
        <w:numPr>
          <w:ilvl w:val="1"/>
          <w:numId w:val="3"/>
        </w:numPr>
        <w:shd w:val="clear" w:color="auto" w:fill="auto"/>
        <w:spacing w:before="120" w:after="120"/>
        <w:ind w:left="851" w:hanging="284"/>
        <w:rPr>
          <w:rFonts w:ascii="Verdana" w:hAnsi="Verdana" w:cs="Arial"/>
          <w:sz w:val="18"/>
          <w:szCs w:val="18"/>
        </w:rPr>
      </w:pPr>
      <w:r>
        <w:rPr>
          <w:rFonts w:ascii="Verdana" w:hAnsi="Verdana" w:cs="Arial"/>
          <w:sz w:val="18"/>
          <w:szCs w:val="18"/>
        </w:rPr>
        <w:t>A licitação será efetuada em único grupo, formado por vários itens</w:t>
      </w:r>
      <w:r>
        <w:rPr>
          <w:rFonts w:ascii="Verdana" w:hAnsi="Verdana" w:cs="Arial"/>
          <w:b/>
          <w:sz w:val="18"/>
          <w:szCs w:val="18"/>
        </w:rPr>
        <w:t>,</w:t>
      </w:r>
      <w:r>
        <w:rPr>
          <w:rFonts w:ascii="Verdana" w:hAnsi="Verdana" w:cs="Arial"/>
          <w:sz w:val="18"/>
          <w:szCs w:val="18"/>
        </w:rPr>
        <w:t xml:space="preserve"> conforme planilha de custos e formação de preços constante no Anexo III-A a este edital; a licitante deverá oferecer proposta para todos os itens que a compõem. </w:t>
      </w:r>
    </w:p>
    <w:p>
      <w:pPr>
        <w:pStyle w:val="80"/>
        <w:keepNext w:val="0"/>
        <w:widowControl/>
        <w:numPr>
          <w:ilvl w:val="1"/>
          <w:numId w:val="3"/>
        </w:numPr>
        <w:shd w:val="clear" w:color="auto" w:fill="auto"/>
        <w:spacing w:before="120" w:after="120"/>
        <w:ind w:left="851" w:hanging="284"/>
        <w:rPr>
          <w:rFonts w:ascii="Verdana" w:hAnsi="Verdana" w:cs="Arial"/>
          <w:sz w:val="18"/>
          <w:szCs w:val="18"/>
        </w:rPr>
      </w:pPr>
      <w:r>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pPr>
        <w:pStyle w:val="80"/>
        <w:keepNext w:val="0"/>
        <w:widowControl/>
        <w:numPr>
          <w:ilvl w:val="1"/>
          <w:numId w:val="3"/>
        </w:numPr>
        <w:shd w:val="clear" w:color="auto" w:fill="auto"/>
        <w:spacing w:before="120" w:after="120"/>
        <w:ind w:left="851" w:hanging="284"/>
        <w:rPr>
          <w:rFonts w:ascii="Verdana" w:hAnsi="Verdana" w:cs="Arial"/>
          <w:sz w:val="18"/>
          <w:szCs w:val="18"/>
        </w:rPr>
      </w:pPr>
      <w:r>
        <w:rPr>
          <w:rFonts w:ascii="Verdana" w:hAnsi="Verdana" w:cs="Arial"/>
          <w:sz w:val="18"/>
          <w:szCs w:val="18"/>
        </w:rPr>
        <w:t>O critério de julgamento adotado será o de maior desconto percentual do grupo, observadas as exigências contidas neste Edital e seus Anexos quanto às especificações do objeto.</w:t>
      </w:r>
    </w:p>
    <w:p>
      <w:pPr>
        <w:pStyle w:val="80"/>
        <w:keepNext w:val="0"/>
        <w:widowControl/>
        <w:numPr>
          <w:ilvl w:val="1"/>
          <w:numId w:val="3"/>
        </w:numPr>
        <w:shd w:val="clear" w:color="auto" w:fill="auto"/>
        <w:spacing w:before="120" w:after="120"/>
        <w:ind w:left="851" w:hanging="284"/>
        <w:rPr>
          <w:rFonts w:ascii="Verdana" w:hAnsi="Verdana" w:cs="Arial"/>
          <w:sz w:val="18"/>
          <w:szCs w:val="18"/>
        </w:rPr>
      </w:pPr>
      <w:r>
        <w:rPr>
          <w:rFonts w:ascii="Verdana" w:hAnsi="Verdana" w:cs="Arial"/>
          <w:sz w:val="18"/>
          <w:szCs w:val="18"/>
        </w:rPr>
        <w:t>A licitação será realizada pelo regime de empreitada por preço unitário, sagrando-se vencedor o licitante que ofertar o maior desconto.</w:t>
      </w:r>
    </w:p>
    <w:p>
      <w:pPr>
        <w:pStyle w:val="80"/>
        <w:keepNext w:val="0"/>
        <w:widowControl/>
        <w:shd w:val="clear" w:color="auto" w:fill="auto"/>
        <w:spacing w:before="120" w:after="120"/>
        <w:ind w:left="851" w:hanging="284"/>
        <w:rPr>
          <w:rFonts w:ascii="Verdana" w:hAnsi="Verdana" w:cs="Arial"/>
          <w:sz w:val="18"/>
          <w:szCs w:val="18"/>
        </w:rPr>
      </w:pPr>
    </w:p>
    <w:p>
      <w:pPr>
        <w:pStyle w:val="67"/>
        <w:keepNext w:val="0"/>
        <w:numPr>
          <w:ilvl w:val="0"/>
          <w:numId w:val="4"/>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
          <w:vanish/>
          <w:color w:val="000000"/>
          <w:sz w:val="18"/>
          <w:szCs w:val="18"/>
          <w:lang w:eastAsia="zh-CN" w:bidi="hi-IN"/>
        </w:rPr>
      </w:pPr>
    </w:p>
    <w:p>
      <w:pPr>
        <w:pStyle w:val="80"/>
        <w:keepNext w:val="0"/>
        <w:widowControl/>
        <w:numPr>
          <w:ilvl w:val="0"/>
          <w:numId w:val="4"/>
        </w:numPr>
        <w:spacing w:before="120" w:after="120"/>
        <w:ind w:left="284" w:hanging="284"/>
        <w:rPr>
          <w:rFonts w:ascii="Verdana" w:hAnsi="Verdana" w:cs="Arial"/>
          <w:sz w:val="18"/>
          <w:szCs w:val="18"/>
        </w:rPr>
      </w:pPr>
      <w:r>
        <w:rPr>
          <w:rFonts w:ascii="Verdana" w:hAnsi="Verdana" w:cs="Arial"/>
          <w:b/>
          <w:color w:val="000000"/>
          <w:sz w:val="18"/>
          <w:szCs w:val="18"/>
        </w:rPr>
        <w:t>DOS RECURSOS ORÇAMENTÁRIOS</w:t>
      </w:r>
    </w:p>
    <w:p>
      <w:pPr>
        <w:pStyle w:val="80"/>
        <w:keepNext w:val="0"/>
        <w:widowControl/>
        <w:numPr>
          <w:ilvl w:val="1"/>
          <w:numId w:val="5"/>
        </w:numPr>
        <w:spacing w:before="120" w:after="120"/>
        <w:ind w:left="851" w:hanging="284"/>
        <w:rPr>
          <w:rFonts w:ascii="Verdana" w:hAnsi="Verdana" w:cs="Arial"/>
          <w:sz w:val="18"/>
          <w:szCs w:val="18"/>
        </w:rPr>
      </w:pPr>
      <w:r>
        <w:rPr>
          <w:rFonts w:ascii="Verdana" w:hAnsi="Verdana" w:cs="Arial"/>
          <w:color w:val="000000"/>
          <w:sz w:val="18"/>
          <w:szCs w:val="18"/>
        </w:rPr>
        <w:t xml:space="preserve">As despesas para atender a esta licitação estão programadas em dotação orçamentária própria, prevista no orçamento da União para o exercício de </w:t>
      </w:r>
      <w:r>
        <w:rPr>
          <w:rFonts w:ascii="Verdana" w:hAnsi="Verdana" w:cs="Arial"/>
          <w:sz w:val="18"/>
          <w:szCs w:val="18"/>
        </w:rPr>
        <w:t>2021,</w:t>
      </w:r>
      <w:r>
        <w:rPr>
          <w:rFonts w:ascii="Verdana" w:hAnsi="Verdana" w:cs="Arial"/>
          <w:color w:val="000000"/>
          <w:sz w:val="18"/>
          <w:szCs w:val="18"/>
        </w:rPr>
        <w:t xml:space="preserve"> na classificação abaixo:</w:t>
      </w:r>
    </w:p>
    <w:p>
      <w:pPr>
        <w:pStyle w:val="80"/>
        <w:keepNext w:val="0"/>
        <w:widowControl/>
        <w:spacing w:before="120" w:after="120"/>
        <w:ind w:left="2266" w:hanging="850"/>
        <w:rPr>
          <w:rFonts w:ascii="Verdana" w:hAnsi="Verdana" w:cs="Arial"/>
          <w:sz w:val="18"/>
          <w:szCs w:val="18"/>
        </w:rPr>
      </w:pPr>
      <w:r>
        <w:rPr>
          <w:rFonts w:ascii="Verdana" w:hAnsi="Verdana" w:cs="Arial"/>
          <w:color w:val="000000"/>
          <w:sz w:val="18"/>
          <w:szCs w:val="18"/>
          <w:lang w:eastAsia="en-US"/>
        </w:rPr>
        <w:t>- Gestão/Unidade: 15227 / 156301</w:t>
      </w:r>
    </w:p>
    <w:p>
      <w:pPr>
        <w:pStyle w:val="80"/>
        <w:keepNext w:val="0"/>
        <w:widowControl/>
        <w:spacing w:before="120" w:after="120"/>
        <w:ind w:left="2266" w:hanging="850"/>
        <w:rPr>
          <w:rFonts w:ascii="Verdana" w:hAnsi="Verdana" w:cs="Arial"/>
          <w:sz w:val="18"/>
          <w:szCs w:val="18"/>
        </w:rPr>
      </w:pPr>
      <w:r>
        <w:rPr>
          <w:rFonts w:ascii="Verdana" w:hAnsi="Verdana" w:cs="Arial"/>
          <w:color w:val="000000"/>
          <w:sz w:val="18"/>
          <w:szCs w:val="18"/>
          <w:lang w:eastAsia="en-US"/>
        </w:rPr>
        <w:t>- Fonte: 8100</w:t>
      </w:r>
    </w:p>
    <w:p>
      <w:pPr>
        <w:pStyle w:val="80"/>
        <w:keepNext w:val="0"/>
        <w:widowControl/>
        <w:spacing w:before="120" w:after="120"/>
        <w:ind w:left="2266" w:hanging="850"/>
        <w:rPr>
          <w:rFonts w:ascii="Verdana" w:hAnsi="Verdana" w:cs="Arial"/>
          <w:sz w:val="18"/>
          <w:szCs w:val="18"/>
        </w:rPr>
      </w:pPr>
      <w:r>
        <w:rPr>
          <w:rFonts w:ascii="Verdana" w:hAnsi="Verdana" w:cs="Arial"/>
          <w:color w:val="000000"/>
          <w:sz w:val="18"/>
          <w:szCs w:val="18"/>
          <w:lang w:eastAsia="en-US"/>
        </w:rPr>
        <w:t>- Programa de Trabalho: 169647</w:t>
      </w:r>
    </w:p>
    <w:p>
      <w:pPr>
        <w:pStyle w:val="80"/>
        <w:keepNext w:val="0"/>
        <w:widowControl/>
        <w:spacing w:before="120" w:after="120"/>
        <w:ind w:left="2266" w:hanging="850"/>
        <w:rPr>
          <w:rFonts w:ascii="Verdana" w:hAnsi="Verdana" w:cs="Arial"/>
          <w:sz w:val="18"/>
          <w:szCs w:val="18"/>
        </w:rPr>
      </w:pPr>
      <w:r>
        <w:rPr>
          <w:rFonts w:ascii="Verdana" w:hAnsi="Verdana" w:cs="Arial"/>
          <w:color w:val="000000"/>
          <w:sz w:val="18"/>
          <w:szCs w:val="18"/>
          <w:lang w:eastAsia="en-US"/>
        </w:rPr>
        <w:t>- Elemento de Despesa: 33.90.39</w:t>
      </w:r>
    </w:p>
    <w:p>
      <w:pPr>
        <w:pStyle w:val="80"/>
        <w:keepNext w:val="0"/>
        <w:widowControl/>
        <w:spacing w:before="120" w:after="120"/>
        <w:ind w:left="2266" w:hanging="850"/>
        <w:rPr>
          <w:rFonts w:ascii="Verdana" w:hAnsi="Verdana" w:cs="Arial"/>
          <w:color w:val="000000"/>
          <w:sz w:val="18"/>
          <w:szCs w:val="18"/>
          <w:lang w:eastAsia="en-US"/>
        </w:rPr>
      </w:pPr>
      <w:r>
        <w:rPr>
          <w:rFonts w:ascii="Verdana" w:hAnsi="Verdana" w:cs="Arial"/>
          <w:color w:val="000000"/>
          <w:sz w:val="18"/>
          <w:szCs w:val="18"/>
          <w:lang w:eastAsia="en-US"/>
        </w:rPr>
        <w:t>- PI: M 8282 N 15 01 N</w:t>
      </w:r>
    </w:p>
    <w:p>
      <w:pPr>
        <w:pStyle w:val="80"/>
        <w:keepNext w:val="0"/>
        <w:widowControl/>
        <w:spacing w:before="120" w:after="120"/>
        <w:ind w:left="1276" w:hanging="850"/>
        <w:rPr>
          <w:rFonts w:ascii="Verdana" w:hAnsi="Verdana" w:cs="Arial"/>
          <w:color w:val="000000"/>
          <w:sz w:val="18"/>
          <w:szCs w:val="18"/>
          <w:lang w:eastAsia="en-US"/>
        </w:rPr>
      </w:pPr>
    </w:p>
    <w:p>
      <w:pPr>
        <w:pStyle w:val="80"/>
        <w:keepNext w:val="0"/>
        <w:numPr>
          <w:ilvl w:val="0"/>
          <w:numId w:val="5"/>
        </w:numPr>
        <w:ind w:left="284" w:hanging="284"/>
        <w:rPr>
          <w:rFonts w:ascii="Verdana" w:hAnsi="Verdana" w:cs="Arial"/>
          <w:sz w:val="18"/>
          <w:szCs w:val="18"/>
        </w:rPr>
      </w:pPr>
      <w:r>
        <w:rPr>
          <w:rFonts w:ascii="Verdana" w:hAnsi="Verdana" w:cs="Arial"/>
          <w:b/>
          <w:color w:val="000000"/>
          <w:sz w:val="18"/>
          <w:szCs w:val="18"/>
        </w:rPr>
        <w:t>DO CREDENCIAMENTO</w:t>
      </w: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bCs/>
          <w:iCs/>
          <w:color w:val="000000"/>
          <w:sz w:val="18"/>
          <w:szCs w:val="18"/>
        </w:rPr>
        <w:t xml:space="preserve">O Credenciamento é o nível básico do registro cadastral no </w:t>
      </w:r>
      <w:r>
        <w:rPr>
          <w:rFonts w:ascii="Verdana" w:hAnsi="Verdana" w:eastAsia="Times New Roman" w:cs="Arial"/>
          <w:color w:val="000000"/>
          <w:sz w:val="18"/>
          <w:szCs w:val="18"/>
          <w:lang w:eastAsia="pt-BR"/>
        </w:rPr>
        <w:t>Sistema de Cadastramento Unificado de Forneced</w:t>
      </w:r>
      <w:r>
        <w:rPr>
          <w:rFonts w:ascii="Verdana" w:hAnsi="Verdana" w:cs="Arial"/>
          <w:bCs/>
          <w:iCs/>
          <w:color w:val="000000"/>
          <w:sz w:val="18"/>
          <w:szCs w:val="18"/>
        </w:rPr>
        <w:t>ores - SICAF, conforme disposto no Decreto no 3.722, de 9 de janeiro de 2001. </w:t>
      </w: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bCs/>
          <w:iCs/>
          <w:color w:val="000000"/>
          <w:sz w:val="18"/>
          <w:szCs w:val="18"/>
        </w:rPr>
        <w:t xml:space="preserve">O cadastro no SICAF poderá ser iniciado no Portal de Compras do Governo Federal, no sítio </w:t>
      </w:r>
      <w:r>
        <w:fldChar w:fldCharType="begin"/>
      </w:r>
      <w:r>
        <w:instrText xml:space="preserve"> HYPERLINK "http://www.gov.br/compras" </w:instrText>
      </w:r>
      <w:r>
        <w:fldChar w:fldCharType="separate"/>
      </w:r>
      <w:r>
        <w:rPr>
          <w:rStyle w:val="12"/>
          <w:rFonts w:ascii="Calibri" w:hAnsi="Calibri" w:cs="Calibri"/>
          <w:b/>
          <w:bCs/>
          <w:sz w:val="22"/>
          <w:szCs w:val="22"/>
        </w:rPr>
        <w:t>www.gov.br/compras</w:t>
      </w:r>
      <w:r>
        <w:rPr>
          <w:rStyle w:val="12"/>
          <w:rFonts w:ascii="Calibri" w:hAnsi="Calibri" w:cs="Calibri"/>
          <w:b/>
          <w:bCs/>
          <w:sz w:val="22"/>
          <w:szCs w:val="22"/>
        </w:rPr>
        <w:fldChar w:fldCharType="end"/>
      </w:r>
      <w:r>
        <w:rPr>
          <w:rFonts w:ascii="Verdana" w:hAnsi="Verdana" w:cs="Arial"/>
          <w:bCs/>
          <w:iCs/>
          <w:color w:val="000000"/>
          <w:sz w:val="18"/>
          <w:szCs w:val="18"/>
        </w:rPr>
        <w:t>, por meio de certificado digital conferido pela Infraestrutura de Chaves Públicas Brasileira – ICP-Brasil.</w:t>
      </w: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transações inerentes a este RDC.</w:t>
      </w:r>
    </w:p>
    <w:p>
      <w:pPr>
        <w:pStyle w:val="80"/>
        <w:keepNext w:val="0"/>
        <w:widowControl/>
        <w:numPr>
          <w:ilvl w:val="1"/>
          <w:numId w:val="6"/>
        </w:numPr>
        <w:spacing w:before="120" w:after="120"/>
        <w:ind w:left="851" w:hanging="284"/>
        <w:rPr>
          <w:rFonts w:ascii="Verdana" w:hAnsi="Verdana" w:cs="Arial"/>
          <w:bCs/>
          <w:iCs/>
          <w:color w:val="000000"/>
          <w:sz w:val="18"/>
          <w:szCs w:val="18"/>
        </w:rPr>
      </w:pPr>
      <w:r>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80"/>
        <w:keepNext w:val="0"/>
        <w:widowControl/>
        <w:numPr>
          <w:ilvl w:val="1"/>
          <w:numId w:val="6"/>
        </w:numPr>
        <w:spacing w:before="120" w:after="120"/>
        <w:ind w:left="851" w:hanging="284"/>
        <w:rPr>
          <w:rFonts w:ascii="Verdana" w:hAnsi="Verdana" w:cs="Arial"/>
          <w:bCs/>
          <w:iCs/>
          <w:color w:val="000000"/>
          <w:sz w:val="18"/>
          <w:szCs w:val="18"/>
        </w:rPr>
      </w:pPr>
      <w:r>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6"/>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 após implementadas diligências ordinárias.</w:t>
      </w: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bCs/>
          <w:iCs/>
          <w:color w:val="000000"/>
          <w:sz w:val="18"/>
          <w:szCs w:val="18"/>
        </w:rPr>
        <w:t>No caso de participação de empresas em consórcio, o credenciamento e a operação do sistema eletrônico devem ser realizados pela empresa líder do consórcio.</w:t>
      </w:r>
    </w:p>
    <w:p>
      <w:pPr>
        <w:pStyle w:val="80"/>
        <w:keepNext w:val="0"/>
        <w:widowControl/>
        <w:spacing w:before="120" w:after="120"/>
        <w:ind w:left="1276" w:hanging="850"/>
        <w:rPr>
          <w:rFonts w:ascii="Verdana" w:hAnsi="Verdana" w:cs="Arial"/>
          <w:sz w:val="18"/>
          <w:szCs w:val="18"/>
        </w:rPr>
      </w:pPr>
    </w:p>
    <w:p>
      <w:pPr>
        <w:keepNext w:val="0"/>
        <w:numPr>
          <w:ilvl w:val="0"/>
          <w:numId w:val="7"/>
        </w:numPr>
        <w:shd w:val="clear" w:color="auto" w:fill="auto"/>
        <w:tabs>
          <w:tab w:val="left" w:pos="284"/>
          <w:tab w:val="clear" w:pos="360"/>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Pr>
          <w:rFonts w:ascii="Verdana" w:hAnsi="Verdana"/>
          <w:b/>
          <w:sz w:val="18"/>
          <w:szCs w:val="18"/>
        </w:rPr>
        <w:t>DA VISTORIA</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TE4E87780t00"/>
          <w:sz w:val="18"/>
          <w:szCs w:val="18"/>
        </w:rPr>
        <w:t>A licitante</w:t>
      </w:r>
      <w:r>
        <w:rPr>
          <w:rFonts w:ascii="Verdana" w:hAnsi="Verdana" w:cs="TTE431A0A0t00"/>
          <w:sz w:val="18"/>
          <w:szCs w:val="18"/>
        </w:rPr>
        <w:t xml:space="preserve"> </w:t>
      </w:r>
      <w:r>
        <w:rPr>
          <w:rFonts w:ascii="Verdana" w:hAnsi="Verdana" w:cs="TTE4E87780t00"/>
          <w:sz w:val="18"/>
          <w:szCs w:val="18"/>
        </w:rPr>
        <w:t xml:space="preserve">poderá vistoriar o local onde serão executados os serviços, com o objetivo de se inteirar das condições e do grau de dificuldade existente, inclusive para </w:t>
      </w:r>
      <w:r>
        <w:rPr>
          <w:rFonts w:ascii="Verdana" w:hAnsi="Verdana"/>
          <w:sz w:val="18"/>
          <w:szCs w:val="18"/>
        </w:rPr>
        <w:t>ter conhecimento de todas as peculiaridades (acessos, redes de água, esgoto, energia elétrica, etc.), e demais informações das condições locais para o cumprimento das obrigações objeto da Licitação;</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Bold"/>
          <w:bCs/>
          <w:sz w:val="18"/>
          <w:szCs w:val="18"/>
        </w:rPr>
        <w:t>A licitante deverá fornecer declaração de visita ao local da obra objeto deste RDC</w:t>
      </w:r>
      <w:r>
        <w:rPr>
          <w:rFonts w:ascii="Verdana" w:hAnsi="Verdana" w:cs="Times-Roman"/>
          <w:sz w:val="18"/>
          <w:szCs w:val="18"/>
        </w:rPr>
        <w:t>, nos termos do a</w:t>
      </w:r>
      <w:r>
        <w:rPr>
          <w:rFonts w:ascii="Verdana" w:hAnsi="Verdana" w:cs="Times-Bold"/>
          <w:bCs/>
          <w:sz w:val="18"/>
          <w:szCs w:val="18"/>
        </w:rPr>
        <w:t>nexo a este edital</w:t>
      </w:r>
      <w:r>
        <w:rPr>
          <w:rFonts w:ascii="Verdana" w:hAnsi="Verdana" w:cs="Times-Roman"/>
          <w:sz w:val="18"/>
          <w:szCs w:val="18"/>
        </w:rPr>
        <w:t>, realizada por</w:t>
      </w:r>
      <w:r>
        <w:rPr>
          <w:rFonts w:ascii="Verdana" w:hAnsi="Verdana" w:cs="TTE4E87780t00"/>
          <w:sz w:val="18"/>
          <w:szCs w:val="18"/>
        </w:rPr>
        <w:t xml:space="preserve"> </w:t>
      </w:r>
      <w:r>
        <w:rPr>
          <w:rFonts w:ascii="Verdana" w:hAnsi="Verdana" w:cs="Times-Roman"/>
          <w:sz w:val="18"/>
          <w:szCs w:val="18"/>
        </w:rPr>
        <w:t>intermédio de representante legal devidamente qualificado para esse fim, e de que inteirou-se das condições e do grau de dificuldades existentes.</w:t>
      </w:r>
    </w:p>
    <w:p>
      <w:pPr>
        <w:keepNext w:val="0"/>
        <w:numPr>
          <w:ilvl w:val="2"/>
          <w:numId w:val="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cs="Times-Roman"/>
          <w:sz w:val="18"/>
          <w:szCs w:val="18"/>
        </w:rPr>
        <w:t>Na declaração deverão</w:t>
      </w:r>
      <w:r>
        <w:rPr>
          <w:rFonts w:ascii="Verdana" w:hAnsi="Verdana" w:cs="TTE4E87780t00"/>
          <w:sz w:val="18"/>
          <w:szCs w:val="18"/>
        </w:rPr>
        <w:t xml:space="preserve"> </w:t>
      </w:r>
      <w:r>
        <w:rPr>
          <w:rFonts w:ascii="Verdana" w:hAnsi="Verdana" w:cs="Times-Roman"/>
          <w:sz w:val="18"/>
          <w:szCs w:val="18"/>
        </w:rPr>
        <w:t>ser informados o objeto da licitação e o número deste RDC, conforme modelo anexo.</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Bold"/>
          <w:bCs/>
          <w:sz w:val="18"/>
          <w:szCs w:val="18"/>
        </w:rPr>
        <w:t>Caso a licitante opte por não realizar a vistoria,</w:t>
      </w:r>
      <w:r>
        <w:rPr>
          <w:rFonts w:ascii="Verdana" w:hAnsi="Verdana" w:cs="TTE4E87780t00"/>
          <w:sz w:val="18"/>
          <w:szCs w:val="18"/>
        </w:rPr>
        <w:t xml:space="preserve"> </w:t>
      </w:r>
      <w:r>
        <w:rPr>
          <w:rFonts w:ascii="Verdana" w:hAnsi="Verdana" w:cs="Times-Bold"/>
          <w:bCs/>
          <w:sz w:val="18"/>
          <w:szCs w:val="18"/>
        </w:rPr>
        <w:t>deverá apresentar declaração de que não efetuou a visita</w:t>
      </w:r>
      <w:r>
        <w:rPr>
          <w:rFonts w:ascii="Verdana" w:hAnsi="Verdana" w:cs="Times-Roman"/>
          <w:sz w:val="18"/>
          <w:szCs w:val="18"/>
        </w:rPr>
        <w:t>, sob pena de inabilitação, nos termos do modelo a</w:t>
      </w:r>
      <w:r>
        <w:rPr>
          <w:rFonts w:ascii="Verdana" w:hAnsi="Verdana" w:cs="Times-Bold"/>
          <w:bCs/>
          <w:sz w:val="18"/>
          <w:szCs w:val="18"/>
        </w:rPr>
        <w:t>nexo</w:t>
      </w:r>
      <w:r>
        <w:rPr>
          <w:rFonts w:ascii="Verdana" w:hAnsi="Verdana" w:cs="Times-Roman"/>
          <w:sz w:val="18"/>
          <w:szCs w:val="18"/>
        </w:rPr>
        <w:t>, e que</w:t>
      </w:r>
      <w:r>
        <w:rPr>
          <w:rFonts w:ascii="Verdana" w:hAnsi="Verdana" w:cs="TTE4E87780t00"/>
          <w:sz w:val="18"/>
          <w:szCs w:val="18"/>
        </w:rPr>
        <w:t xml:space="preserve"> </w:t>
      </w:r>
      <w:r>
        <w:rPr>
          <w:rFonts w:ascii="Verdana" w:hAnsi="Verdana" w:cs="Times-Roman"/>
          <w:sz w:val="18"/>
          <w:szCs w:val="18"/>
        </w:rPr>
        <w:t>concorda com todas as condições estabelecidas no Edital e seus Anexos, devendo também</w:t>
      </w:r>
      <w:r>
        <w:rPr>
          <w:rFonts w:ascii="Verdana" w:hAnsi="Verdana" w:cs="TTE4E87780t00"/>
          <w:sz w:val="18"/>
          <w:szCs w:val="18"/>
        </w:rPr>
        <w:t xml:space="preserve"> </w:t>
      </w:r>
      <w:r>
        <w:rPr>
          <w:rFonts w:ascii="Verdana" w:hAnsi="Verdana" w:cs="Times-Roman"/>
          <w:sz w:val="18"/>
          <w:szCs w:val="18"/>
        </w:rPr>
        <w:t>informar o objeto da presente licitação e o número deste RDC.</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pPr>
        <w:keepNext w:val="0"/>
        <w:numPr>
          <w:ilvl w:val="1"/>
          <w:numId w:val="7"/>
        </w:numPr>
        <w:shd w:val="clear" w:color="auto" w:fill="auto"/>
        <w:tabs>
          <w:tab w:val="left" w:pos="851"/>
          <w:tab w:val="clear" w:pos="1211"/>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TE4E87780t00"/>
          <w:sz w:val="18"/>
          <w:szCs w:val="18"/>
        </w:rPr>
        <w:t>A vistoria não será agendada e nem terá acompanhamento de funcionários da UFF, ficando a cargo de cada empresa interessada em participar;</w:t>
      </w:r>
    </w:p>
    <w:p>
      <w:pPr>
        <w:pStyle w:val="14"/>
        <w:widowControl/>
        <w:numPr>
          <w:ilvl w:val="1"/>
          <w:numId w:val="7"/>
        </w:numPr>
        <w:tabs>
          <w:tab w:val="left" w:pos="851"/>
          <w:tab w:val="clear" w:pos="1211"/>
        </w:tabs>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r>
        <w:fldChar w:fldCharType="begin"/>
      </w:r>
      <w:r>
        <w:instrText xml:space="preserve"> HYPERLINK "mailto:saep.ret@id.uff.br" </w:instrText>
      </w:r>
      <w:r>
        <w:fldChar w:fldCharType="separate"/>
      </w:r>
      <w:r>
        <w:rPr>
          <w:rStyle w:val="12"/>
          <w:rFonts w:ascii="Verdana" w:hAnsi="Verdana"/>
          <w:sz w:val="18"/>
          <w:szCs w:val="18"/>
        </w:rPr>
        <w:t>saep.ret@id.uff.br</w:t>
      </w:r>
      <w:r>
        <w:rPr>
          <w:rStyle w:val="12"/>
          <w:rFonts w:ascii="Verdana" w:hAnsi="Verdana"/>
          <w:sz w:val="18"/>
          <w:szCs w:val="18"/>
        </w:rPr>
        <w:fldChar w:fldCharType="end"/>
      </w:r>
      <w:r>
        <w:rPr>
          <w:rFonts w:ascii="Verdana" w:hAnsi="Verdana"/>
          <w:sz w:val="18"/>
          <w:szCs w:val="18"/>
        </w:rPr>
        <w:t xml:space="preserve"> ou ainda no local e horário indicado abaixo:</w:t>
      </w:r>
    </w:p>
    <w:p>
      <w:pPr>
        <w:keepNext w:val="0"/>
        <w:numPr>
          <w:ilvl w:val="2"/>
          <w:numId w:val="7"/>
        </w:numPr>
        <w:shd w:val="clear" w:color="auto" w:fill="auto"/>
        <w:tabs>
          <w:tab w:val="left" w:pos="1134"/>
          <w:tab w:val="clear" w:pos="2130"/>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pPr>
        <w:keepNext w:val="0"/>
        <w:numPr>
          <w:ilvl w:val="1"/>
          <w:numId w:val="7"/>
        </w:numPr>
        <w:shd w:val="clear" w:color="auto" w:fill="auto"/>
        <w:tabs>
          <w:tab w:val="left" w:pos="851"/>
          <w:tab w:val="clear" w:pos="1211"/>
          <w:tab w:val="clear" w:pos="708"/>
        </w:tabs>
        <w:suppressAutoHyphens w:val="0"/>
        <w:overflowPunct/>
        <w:spacing w:before="120" w:after="120"/>
        <w:ind w:left="851" w:hanging="284"/>
        <w:jc w:val="both"/>
        <w:textAlignment w:val="auto"/>
        <w:rPr>
          <w:rFonts w:ascii="Verdana" w:hAnsi="Verdana"/>
          <w:sz w:val="18"/>
          <w:szCs w:val="18"/>
        </w:rPr>
      </w:pPr>
      <w:r>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pPr>
        <w:keepNext w:val="0"/>
        <w:numPr>
          <w:ilvl w:val="1"/>
          <w:numId w:val="7"/>
        </w:numPr>
        <w:shd w:val="clear" w:color="auto" w:fill="auto"/>
        <w:tabs>
          <w:tab w:val="left" w:pos="851"/>
          <w:tab w:val="clear" w:pos="1211"/>
          <w:tab w:val="clear" w:pos="708"/>
        </w:tabs>
        <w:suppressAutoHyphens w:val="0"/>
        <w:overflowPunct/>
        <w:spacing w:before="120" w:after="120"/>
        <w:ind w:left="851" w:hanging="284"/>
        <w:jc w:val="both"/>
        <w:textAlignment w:val="auto"/>
        <w:rPr>
          <w:rFonts w:ascii="Verdana" w:hAnsi="Verdana"/>
          <w:sz w:val="18"/>
          <w:szCs w:val="18"/>
        </w:rPr>
      </w:pPr>
      <w:r>
        <w:rPr>
          <w:rFonts w:ascii="Verdana" w:hAnsi="Verdana"/>
          <w:sz w:val="18"/>
          <w:szCs w:val="18"/>
        </w:rPr>
        <w:t>A vistoria deverá ser realizada por profissional devidamente qualificado e registrado no CREA ou CAU, e autorizado pelo responsável legal da empresa licitante, caso não seja ele mesmo que participe da mesma.</w:t>
      </w:r>
    </w:p>
    <w:p>
      <w:pPr>
        <w:pStyle w:val="14"/>
        <w:widowControl/>
        <w:numPr>
          <w:ilvl w:val="1"/>
          <w:numId w:val="7"/>
        </w:numPr>
        <w:tabs>
          <w:tab w:val="left" w:pos="851"/>
          <w:tab w:val="clear" w:pos="1211"/>
        </w:tabs>
        <w:suppressAutoHyphens w:val="0"/>
        <w:spacing w:before="120"/>
        <w:ind w:left="851" w:hanging="284"/>
        <w:jc w:val="both"/>
        <w:rPr>
          <w:rFonts w:ascii="Verdana" w:hAnsi="Verdana"/>
          <w:b/>
          <w:sz w:val="18"/>
          <w:szCs w:val="18"/>
        </w:rPr>
      </w:pPr>
      <w:r>
        <w:rPr>
          <w:rFonts w:ascii="Verdana" w:hAnsi="Verdana" w:cs="TTE4E87780t00"/>
          <w:sz w:val="18"/>
          <w:szCs w:val="18"/>
        </w:rPr>
        <w:t xml:space="preserve">Tendo em vista a faculdade da realização da vistoria, a </w:t>
      </w:r>
      <w:r>
        <w:rPr>
          <w:rFonts w:ascii="Verdana" w:hAnsi="Verdana" w:cs="TTE431A0A0t00"/>
          <w:sz w:val="18"/>
          <w:szCs w:val="18"/>
        </w:rPr>
        <w:t xml:space="preserve">licitante </w:t>
      </w:r>
      <w:r>
        <w:rPr>
          <w:rFonts w:ascii="Verdana" w:hAnsi="Verdana" w:cs="TTE4E87780t00"/>
          <w:sz w:val="18"/>
          <w:szCs w:val="18"/>
        </w:rPr>
        <w:t>não poderá alegar o desconhecimento das condições e do grau de dificuldades existentes no local dos serviços, como justificativa para se eximirem das obrigações assumidas em decorrência desta licitação.</w:t>
      </w:r>
    </w:p>
    <w:p>
      <w:pPr>
        <w:pStyle w:val="14"/>
        <w:widowControl/>
        <w:numPr>
          <w:ilvl w:val="1"/>
          <w:numId w:val="7"/>
        </w:numPr>
        <w:tabs>
          <w:tab w:val="left" w:pos="851"/>
          <w:tab w:val="clear" w:pos="1211"/>
        </w:tabs>
        <w:suppressAutoHyphens w:val="0"/>
        <w:spacing w:before="120"/>
        <w:ind w:left="851" w:hanging="284"/>
        <w:jc w:val="both"/>
        <w:rPr>
          <w:rFonts w:ascii="Verdana" w:hAnsi="Verdana"/>
          <w:b/>
          <w:sz w:val="18"/>
          <w:szCs w:val="18"/>
        </w:rPr>
      </w:pPr>
      <w:r>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pStyle w:val="14"/>
        <w:widowControl/>
        <w:suppressAutoHyphens w:val="0"/>
        <w:spacing w:before="120"/>
        <w:ind w:left="1276" w:hanging="850"/>
        <w:jc w:val="both"/>
        <w:rPr>
          <w:rFonts w:ascii="Verdana" w:hAnsi="Verdana"/>
          <w:b/>
          <w:sz w:val="18"/>
          <w:szCs w:val="18"/>
        </w:rPr>
      </w:pPr>
    </w:p>
    <w:p>
      <w:pPr>
        <w:pStyle w:val="14"/>
        <w:widowControl/>
        <w:numPr>
          <w:ilvl w:val="0"/>
          <w:numId w:val="7"/>
        </w:numPr>
        <w:tabs>
          <w:tab w:val="left" w:pos="284"/>
          <w:tab w:val="clear" w:pos="360"/>
        </w:tabs>
        <w:suppressAutoHyphens w:val="0"/>
        <w:spacing w:before="120"/>
        <w:ind w:left="284" w:hanging="284"/>
        <w:jc w:val="both"/>
        <w:rPr>
          <w:rFonts w:ascii="Verdana" w:hAnsi="Verdana"/>
          <w:b/>
          <w:sz w:val="18"/>
          <w:szCs w:val="18"/>
        </w:rPr>
      </w:pPr>
      <w:r>
        <w:rPr>
          <w:rFonts w:ascii="Verdana" w:hAnsi="Verdana" w:cs="Arial"/>
          <w:b/>
          <w:bCs/>
          <w:color w:val="000000"/>
          <w:sz w:val="18"/>
          <w:szCs w:val="18"/>
        </w:rPr>
        <w:t>DA PARTICIPAÇÃO NO RDC</w:t>
      </w:r>
    </w:p>
    <w:p>
      <w:pPr>
        <w:pStyle w:val="67"/>
        <w:keepNext w:val="0"/>
        <w:numPr>
          <w:ilvl w:val="0"/>
          <w:numId w:val="6"/>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Cs/>
          <w:vanish/>
          <w:color w:val="000000"/>
          <w:sz w:val="18"/>
          <w:szCs w:val="18"/>
          <w:lang w:eastAsia="zh-CN" w:bidi="hi-IN"/>
        </w:rPr>
      </w:pPr>
    </w:p>
    <w:p>
      <w:pPr>
        <w:pStyle w:val="67"/>
        <w:keepNext w:val="0"/>
        <w:numPr>
          <w:ilvl w:val="0"/>
          <w:numId w:val="6"/>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bCs/>
          <w:vanish/>
          <w:color w:val="000000"/>
          <w:sz w:val="18"/>
          <w:szCs w:val="18"/>
          <w:lang w:eastAsia="zh-CN" w:bidi="hi-IN"/>
        </w:rPr>
      </w:pP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bCs/>
          <w:color w:val="000000"/>
          <w:sz w:val="18"/>
          <w:szCs w:val="18"/>
        </w:rPr>
        <w:t xml:space="preserve">Poderão participar deste procedimento </w:t>
      </w:r>
      <w:r>
        <w:rPr>
          <w:rFonts w:ascii="Verdana" w:hAnsi="Verdana" w:cs="Arial"/>
          <w:sz w:val="18"/>
          <w:szCs w:val="18"/>
        </w:rPr>
        <w:t>interessados</w:t>
      </w:r>
      <w:r>
        <w:rPr>
          <w:rFonts w:ascii="Verdana" w:hAnsi="Verdana" w:cs="Arial"/>
          <w:bCs/>
          <w:color w:val="000000"/>
          <w:sz w:val="18"/>
          <w:szCs w:val="18"/>
        </w:rPr>
        <w:t xml:space="preserve"> cujo ramo de atividade seja compatível com o objeto desta licitação, e que estejam com credenciamento regular no</w:t>
      </w:r>
      <w:r>
        <w:rPr>
          <w:rFonts w:ascii="Verdana" w:hAnsi="Verdana" w:cs="Arial"/>
          <w:color w:val="000000"/>
          <w:sz w:val="18"/>
          <w:szCs w:val="18"/>
        </w:rPr>
        <w:t xml:space="preserve"> Sistema de Cadastramento Unificado de Fornecedores – SICAF, conforme disposto no art. 9º da IN SEGES/MP nº 3, de 2018.</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O objeto social incompatível com o objeto da licitação é impeditivo à contratação, a ser aferido na fase de habilitação jurídica.</w:t>
      </w:r>
    </w:p>
    <w:p>
      <w:pPr>
        <w:pStyle w:val="80"/>
        <w:keepNext w:val="0"/>
        <w:widowControl/>
        <w:numPr>
          <w:ilvl w:val="2"/>
          <w:numId w:val="6"/>
        </w:numPr>
        <w:spacing w:before="120" w:after="120"/>
        <w:ind w:left="1134" w:hanging="283"/>
        <w:rPr>
          <w:rFonts w:ascii="Verdana" w:hAnsi="Verdana" w:cs="Arial"/>
          <w:bCs/>
          <w:color w:val="000000"/>
          <w:sz w:val="18"/>
          <w:szCs w:val="18"/>
        </w:rPr>
      </w:pPr>
      <w:r>
        <w:rPr>
          <w:rFonts w:ascii="Verdana" w:hAnsi="Verdana" w:cs="Arial"/>
          <w:bCs/>
          <w:color w:val="000000"/>
          <w:sz w:val="18"/>
          <w:szCs w:val="18"/>
        </w:rPr>
        <w:t>Os licitantes deverão utilizar o certificado digital para acesso ao Sistema.</w:t>
      </w: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bCs/>
          <w:color w:val="000000"/>
          <w:sz w:val="18"/>
          <w:szCs w:val="18"/>
        </w:rPr>
        <w:t xml:space="preserve">Não poderão participar desta licitação </w:t>
      </w:r>
      <w:r>
        <w:rPr>
          <w:rFonts w:ascii="Verdana" w:hAnsi="Verdana" w:cs="Arial"/>
          <w:sz w:val="18"/>
          <w:szCs w:val="18"/>
        </w:rPr>
        <w:t>os interessados:</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bCs/>
          <w:color w:val="000000"/>
          <w:sz w:val="18"/>
          <w:szCs w:val="18"/>
        </w:rPr>
        <w:t>- proibidos de participar de licitações e celebrar contratos administrativos, na forma da legislação vigente;</w:t>
      </w:r>
    </w:p>
    <w:p>
      <w:pPr>
        <w:pStyle w:val="80"/>
        <w:keepNext w:val="0"/>
        <w:widowControl/>
        <w:numPr>
          <w:ilvl w:val="2"/>
          <w:numId w:val="6"/>
        </w:numPr>
        <w:spacing w:before="120" w:after="120"/>
        <w:ind w:left="1276" w:hanging="425"/>
        <w:rPr>
          <w:rFonts w:ascii="Verdana" w:hAnsi="Verdana" w:cs="Arial"/>
          <w:sz w:val="18"/>
          <w:szCs w:val="18"/>
        </w:rPr>
      </w:pPr>
      <w:r>
        <w:rPr>
          <w:rFonts w:ascii="Verdana" w:hAnsi="Verdana" w:cs="Arial"/>
          <w:bCs/>
          <w:color w:val="000000"/>
          <w:sz w:val="18"/>
          <w:szCs w:val="18"/>
        </w:rPr>
        <w:t xml:space="preserve">- que não atendam às condições deste Edital e seu(s) anexo(s). </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bCs/>
          <w:color w:val="000000"/>
          <w:sz w:val="18"/>
          <w:szCs w:val="18"/>
        </w:rPr>
        <w:t>- pessoa jurídica estrangeira que não tenha representação legal no Brasil com poderes expressos para receber citação e responder administrativa ou judicialmente;</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xml:space="preserve">- o servidor, empregado ou ocupante de cargo em comissão do órgão ou entidade contratante ou </w:t>
      </w:r>
      <w:r>
        <w:rPr>
          <w:rFonts w:ascii="Verdana" w:hAnsi="Verdana" w:cs="Arial"/>
          <w:bCs/>
          <w:color w:val="000000"/>
          <w:sz w:val="18"/>
          <w:szCs w:val="18"/>
        </w:rPr>
        <w:t>responsável</w:t>
      </w:r>
      <w:r>
        <w:rPr>
          <w:rFonts w:ascii="Verdana" w:hAnsi="Verdana" w:cs="Arial"/>
          <w:sz w:val="18"/>
          <w:szCs w:val="18"/>
        </w:rPr>
        <w:t xml:space="preserve"> pela licitação;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color w:val="000000"/>
          <w:sz w:val="18"/>
          <w:szCs w:val="18"/>
        </w:rPr>
        <w:t>- pessoa física ou jurídica, na forma do art. 36 da Lei nº 12.462/11, mediante participação direta ou indireta:</w:t>
      </w:r>
    </w:p>
    <w:p>
      <w:pPr>
        <w:pStyle w:val="80"/>
        <w:keepNext w:val="0"/>
        <w:widowControl/>
        <w:numPr>
          <w:ilvl w:val="3"/>
          <w:numId w:val="8"/>
        </w:numPr>
        <w:spacing w:before="120" w:after="120"/>
        <w:ind w:left="1276" w:hanging="142"/>
        <w:rPr>
          <w:rFonts w:ascii="Verdana" w:hAnsi="Verdana" w:cs="Arial"/>
          <w:color w:val="000000"/>
          <w:sz w:val="18"/>
          <w:szCs w:val="18"/>
        </w:rPr>
      </w:pPr>
      <w:r>
        <w:rPr>
          <w:rFonts w:ascii="Verdana" w:hAnsi="Verdana" w:cs="Arial"/>
          <w:color w:val="000000"/>
          <w:sz w:val="18"/>
          <w:szCs w:val="18"/>
        </w:rPr>
        <w:t>que tenha elaborado o Termo de Referência ou executivo correspondente;</w:t>
      </w:r>
    </w:p>
    <w:p>
      <w:pPr>
        <w:pStyle w:val="80"/>
        <w:keepNext w:val="0"/>
        <w:widowControl/>
        <w:numPr>
          <w:ilvl w:val="3"/>
          <w:numId w:val="8"/>
        </w:numPr>
        <w:spacing w:before="120" w:after="120"/>
        <w:ind w:left="1276" w:hanging="142"/>
        <w:rPr>
          <w:rFonts w:ascii="Verdana" w:hAnsi="Verdana" w:cs="Arial"/>
          <w:color w:val="000000"/>
          <w:sz w:val="18"/>
          <w:szCs w:val="18"/>
        </w:rPr>
      </w:pPr>
      <w:r>
        <w:rPr>
          <w:rFonts w:ascii="Verdana" w:hAnsi="Verdana" w:cs="Arial"/>
          <w:color w:val="000000"/>
          <w:sz w:val="18"/>
          <w:szCs w:val="18"/>
        </w:rPr>
        <w:t>que tenha participado de consórcio responsável pela elaboração do Termo de Referência ou executivo correspondente;</w:t>
      </w:r>
    </w:p>
    <w:p>
      <w:pPr>
        <w:pStyle w:val="80"/>
        <w:keepNext w:val="0"/>
        <w:widowControl/>
        <w:numPr>
          <w:ilvl w:val="3"/>
          <w:numId w:val="8"/>
        </w:numPr>
        <w:spacing w:before="120" w:after="120"/>
        <w:ind w:left="1276" w:hanging="142"/>
        <w:rPr>
          <w:rFonts w:ascii="Verdana" w:hAnsi="Verdana" w:cs="Arial"/>
          <w:color w:val="000000"/>
          <w:sz w:val="18"/>
          <w:szCs w:val="18"/>
        </w:rPr>
      </w:pPr>
      <w:r>
        <w:rPr>
          <w:rFonts w:ascii="Verdana" w:hAnsi="Verdana" w:cs="Arial"/>
          <w:color w:val="000000"/>
          <w:sz w:val="18"/>
          <w:szCs w:val="18"/>
        </w:rPr>
        <w:t>pessoa jurídica na qual o autor do Termo de Referência ou executivo seja administrador, sócio com mais de cinco por cento do capital votante, controlador, gerente, responsável técnico ou subcontratado.</w:t>
      </w:r>
    </w:p>
    <w:p>
      <w:pPr>
        <w:pStyle w:val="80"/>
        <w:keepNext w:val="0"/>
        <w:widowControl/>
        <w:numPr>
          <w:ilvl w:val="3"/>
          <w:numId w:val="6"/>
        </w:numPr>
        <w:spacing w:before="120" w:after="120"/>
        <w:ind w:left="1418" w:hanging="284"/>
        <w:rPr>
          <w:rFonts w:ascii="Verdana" w:hAnsi="Verdana" w:cs="Arial"/>
          <w:color w:val="000000"/>
          <w:sz w:val="18"/>
          <w:szCs w:val="18"/>
        </w:rPr>
      </w:pPr>
      <w:r>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pPr>
        <w:pStyle w:val="80"/>
        <w:keepNext w:val="0"/>
        <w:widowControl/>
        <w:numPr>
          <w:ilvl w:val="4"/>
          <w:numId w:val="6"/>
        </w:numPr>
        <w:spacing w:before="120" w:after="120"/>
        <w:ind w:left="1701" w:hanging="283"/>
        <w:rPr>
          <w:rFonts w:ascii="Verdana" w:hAnsi="Verdana" w:cs="Arial"/>
          <w:color w:val="000000"/>
          <w:sz w:val="18"/>
          <w:szCs w:val="18"/>
        </w:rPr>
      </w:pPr>
      <w:r>
        <w:rPr>
          <w:rFonts w:ascii="Verdana" w:hAnsi="Verdana" w:cs="Arial"/>
          <w:color w:val="000000"/>
          <w:sz w:val="18"/>
          <w:szCs w:val="18"/>
        </w:rPr>
        <w:t>O disposto neste subitem se aplica aos membros da comissão de licitação.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que estejam sob falência, recuperação judicial ou extrajudicial, ou concurso de credores ou insolvência, em processo de dissolução ou liquidação observado o disposto no item 11.6.3.1.1 deste Edital;</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iCs/>
          <w:sz w:val="18"/>
          <w:szCs w:val="18"/>
        </w:rPr>
        <w:t>- entidades empresariais que estejam reunidas em consórcio;</w:t>
      </w:r>
    </w:p>
    <w:p>
      <w:pPr>
        <w:pStyle w:val="80"/>
        <w:keepNext w:val="0"/>
        <w:widowControl/>
        <w:numPr>
          <w:ilvl w:val="2"/>
          <w:numId w:val="6"/>
        </w:numPr>
        <w:spacing w:before="120" w:after="120"/>
        <w:ind w:left="1134" w:hanging="283"/>
        <w:rPr>
          <w:rFonts w:ascii="Verdana" w:hAnsi="Verdana" w:cs="Arial"/>
          <w:sz w:val="18"/>
          <w:szCs w:val="18"/>
        </w:rPr>
      </w:pPr>
      <w:r>
        <w:rPr>
          <w:rFonts w:ascii="Verdana" w:hAnsi="Verdana" w:cs="Arial"/>
          <w:sz w:val="18"/>
          <w:szCs w:val="18"/>
        </w:rPr>
        <w:t>- 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bookmarkStart w:id="1" w:name="_Hlk505081010"/>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sz w:val="18"/>
          <w:szCs w:val="18"/>
        </w:rPr>
        <w:t xml:space="preserve">É vedada a contratação de uma mesma empresa para dois ou mais serviços licitados, quando, por sua natureza, esses serviços exigirem a segregação de funções, tais como serviços de execução e de assistência à fiscalização. </w:t>
      </w:r>
    </w:p>
    <w:p>
      <w:pPr>
        <w:pStyle w:val="80"/>
        <w:keepNext w:val="0"/>
        <w:widowControl/>
        <w:numPr>
          <w:ilvl w:val="1"/>
          <w:numId w:val="6"/>
        </w:numPr>
        <w:spacing w:before="120" w:after="120"/>
        <w:ind w:left="851" w:hanging="284"/>
        <w:rPr>
          <w:rFonts w:ascii="Verdana" w:hAnsi="Verdana" w:cs="Arial"/>
          <w:sz w:val="18"/>
          <w:szCs w:val="18"/>
        </w:rPr>
      </w:pPr>
      <w:r>
        <w:rPr>
          <w:rFonts w:ascii="Verdana" w:hAnsi="Verdana" w:cs="Arial"/>
          <w:sz w:val="18"/>
          <w:szCs w:val="18"/>
        </w:rPr>
        <w:t>É vedada a contratação de pessoa jurídica na qual haja administrador ou sócio com poder de direção, familiar de:</w:t>
      </w:r>
    </w:p>
    <w:p>
      <w:pPr>
        <w:pStyle w:val="100"/>
        <w:numPr>
          <w:ilvl w:val="0"/>
          <w:numId w:val="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detentor de cargo em comissão ou função de confiança que atue na área responsável pela demanda ou contratação; ou</w:t>
      </w:r>
    </w:p>
    <w:p>
      <w:pPr>
        <w:pStyle w:val="100"/>
        <w:numPr>
          <w:ilvl w:val="0"/>
          <w:numId w:val="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Pr>
          <w:rFonts w:ascii="Verdana" w:hAnsi="Verdana" w:cs="Arial"/>
          <w:color w:val="000000"/>
          <w:sz w:val="18"/>
          <w:szCs w:val="18"/>
          <w:shd w:val="clear" w:color="auto" w:fill="FFFFFF"/>
        </w:rPr>
        <w:t>de autoridade hierarquicamente superior no âmbito do órgão contratante.</w:t>
      </w:r>
    </w:p>
    <w:p>
      <w:pPr>
        <w:pStyle w:val="67"/>
        <w:keepNext w:val="0"/>
        <w:numPr>
          <w:ilvl w:val="0"/>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67"/>
        <w:keepNext w:val="0"/>
        <w:numPr>
          <w:ilvl w:val="0"/>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67"/>
        <w:keepNext w:val="0"/>
        <w:numPr>
          <w:ilvl w:val="1"/>
          <w:numId w:val="10"/>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auto"/>
          <w:sz w:val="18"/>
          <w:szCs w:val="18"/>
          <w:lang w:eastAsia="zh-CN" w:bidi="hi-IN"/>
        </w:rPr>
      </w:pPr>
    </w:p>
    <w:p>
      <w:pPr>
        <w:pStyle w:val="80"/>
        <w:keepNext w:val="0"/>
        <w:widowControl/>
        <w:numPr>
          <w:ilvl w:val="2"/>
          <w:numId w:val="10"/>
        </w:numPr>
        <w:spacing w:before="120" w:after="120"/>
        <w:ind w:left="1134" w:hanging="283"/>
        <w:rPr>
          <w:rFonts w:ascii="Verdana" w:hAnsi="Verdana" w:cs="Arial"/>
          <w:color w:val="003366"/>
          <w:sz w:val="18"/>
          <w:szCs w:val="18"/>
        </w:rPr>
      </w:pPr>
      <w:r>
        <w:rPr>
          <w:rFonts w:ascii="Verdana" w:hAnsi="Verdana" w:cs="Arial"/>
          <w:sz w:val="18"/>
          <w:szCs w:val="18"/>
        </w:rPr>
        <w:t>Para</w:t>
      </w:r>
      <w:r>
        <w:rPr>
          <w:rFonts w:ascii="Verdana" w:hAnsi="Verdana" w:cs="Arial"/>
          <w:color w:val="000000"/>
          <w:sz w:val="18"/>
          <w:szCs w:val="18"/>
          <w:shd w:val="clear" w:color="auto" w:fill="FFFFFF"/>
        </w:rPr>
        <w:t xml:space="preserve"> os fins do disposto neste item</w:t>
      </w:r>
      <w:r>
        <w:rPr>
          <w:rFonts w:ascii="Verdana" w:hAnsi="Verdana" w:cs="Arial"/>
          <w:i/>
          <w:iCs/>
          <w:color w:val="000000"/>
          <w:sz w:val="18"/>
          <w:szCs w:val="18"/>
          <w:shd w:val="clear" w:color="auto" w:fill="FFFFFF"/>
        </w:rPr>
        <w:t>,</w:t>
      </w:r>
      <w:r>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80"/>
        <w:keepNext w:val="0"/>
        <w:widowControl/>
        <w:numPr>
          <w:ilvl w:val="1"/>
          <w:numId w:val="10"/>
        </w:numPr>
        <w:spacing w:before="120" w:after="120"/>
        <w:ind w:left="851" w:hanging="284"/>
        <w:rPr>
          <w:rFonts w:ascii="Verdana" w:hAnsi="Verdana" w:cs="Arial"/>
          <w:sz w:val="18"/>
          <w:szCs w:val="18"/>
        </w:rPr>
      </w:pPr>
      <w:r>
        <w:rPr>
          <w:rFonts w:ascii="Verdana" w:hAnsi="Verdana" w:cs="Arial"/>
          <w:sz w:val="18"/>
          <w:szCs w:val="18"/>
        </w:rPr>
        <w:t>Nenhuma licitante poderá participar desta licitação com mais de uma proposta de preços.</w:t>
      </w:r>
    </w:p>
    <w:p>
      <w:pPr>
        <w:pStyle w:val="80"/>
        <w:keepNext w:val="0"/>
        <w:widowControl/>
        <w:numPr>
          <w:ilvl w:val="1"/>
          <w:numId w:val="10"/>
        </w:numPr>
        <w:spacing w:before="120" w:after="120"/>
        <w:ind w:left="851" w:hanging="284"/>
        <w:rPr>
          <w:rFonts w:ascii="Verdana" w:hAnsi="Verdana" w:cs="Arial"/>
          <w:sz w:val="18"/>
          <w:szCs w:val="18"/>
        </w:rPr>
      </w:pPr>
      <w:r>
        <w:rPr>
          <w:rFonts w:ascii="Verdana" w:hAnsi="Verdana" w:cs="Arial"/>
          <w:color w:val="000000"/>
          <w:sz w:val="18"/>
          <w:szCs w:val="18"/>
        </w:rPr>
        <w:t>Como condição para participação no RDC, o licitante assinalará “sim” ou “não” em campo próprio do sistema eletrônico, relativo às seguintes declarações:</w:t>
      </w:r>
    </w:p>
    <w:p>
      <w:pPr>
        <w:pStyle w:val="80"/>
        <w:keepNext w:val="0"/>
        <w:widowControl/>
        <w:numPr>
          <w:ilvl w:val="2"/>
          <w:numId w:val="10"/>
        </w:numPr>
        <w:spacing w:before="120" w:after="120"/>
        <w:ind w:left="1134" w:hanging="283"/>
        <w:rPr>
          <w:rFonts w:ascii="Verdana" w:hAnsi="Verdana" w:cs="Arial"/>
          <w:color w:val="000000"/>
          <w:sz w:val="18"/>
          <w:szCs w:val="18"/>
        </w:rPr>
      </w:pPr>
      <w:r>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pPr>
        <w:pStyle w:val="67"/>
        <w:keepNext w:val="0"/>
        <w:numPr>
          <w:ilvl w:val="0"/>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0"/>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1"/>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67"/>
        <w:keepNext w:val="0"/>
        <w:numPr>
          <w:ilvl w:val="2"/>
          <w:numId w:val="11"/>
        </w:numPr>
        <w:tabs>
          <w:tab w:val="clear" w:pos="-12"/>
          <w:tab w:val="clear" w:pos="708"/>
        </w:tabs>
        <w:suppressAutoHyphens w:val="0"/>
        <w:overflowPunct/>
        <w:spacing w:before="120" w:after="120" w:line="276" w:lineRule="auto"/>
        <w:ind w:left="1276" w:hanging="850"/>
        <w:jc w:val="both"/>
        <w:rPr>
          <w:rFonts w:ascii="Verdana" w:hAnsi="Verdana" w:eastAsia="WenQuanYi Micro Hei" w:cs="Arial"/>
          <w:vanish/>
          <w:color w:val="000000"/>
          <w:sz w:val="18"/>
          <w:szCs w:val="18"/>
          <w:lang w:eastAsia="zh-CN" w:bidi="hi-IN"/>
        </w:rPr>
      </w:pPr>
    </w:p>
    <w:p>
      <w:pPr>
        <w:pStyle w:val="80"/>
        <w:keepNext w:val="0"/>
        <w:widowControl/>
        <w:numPr>
          <w:ilvl w:val="3"/>
          <w:numId w:val="11"/>
        </w:numPr>
        <w:spacing w:before="120" w:after="120"/>
        <w:ind w:left="1276" w:hanging="142"/>
        <w:rPr>
          <w:rFonts w:ascii="Verdana" w:hAnsi="Verdana" w:cs="Arial"/>
          <w:color w:val="000000"/>
          <w:sz w:val="18"/>
          <w:szCs w:val="18"/>
        </w:rPr>
      </w:pPr>
      <w:r>
        <w:rPr>
          <w:rFonts w:ascii="Verdana" w:hAnsi="Verdana" w:cs="Arial"/>
          <w:color w:val="000000"/>
          <w:sz w:val="18"/>
          <w:szCs w:val="18"/>
        </w:rPr>
        <w:t>nos itens exclusivos para participação de microempresas e empresas de pequeno porte, a assinalação do campo “não” impedirá o prosseguimento no certame;</w:t>
      </w:r>
    </w:p>
    <w:p>
      <w:pPr>
        <w:pStyle w:val="80"/>
        <w:keepNext w:val="0"/>
        <w:widowControl/>
        <w:numPr>
          <w:ilvl w:val="3"/>
          <w:numId w:val="11"/>
        </w:numPr>
        <w:spacing w:before="120" w:after="120"/>
        <w:ind w:left="1276" w:hanging="142"/>
        <w:rPr>
          <w:rFonts w:ascii="Verdana" w:hAnsi="Verdana" w:cs="Arial"/>
          <w:color w:val="000000"/>
          <w:sz w:val="18"/>
          <w:szCs w:val="18"/>
        </w:rPr>
      </w:pPr>
      <w:r>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está ciente e concorda com as condições contidas no Edital e seus anexos;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cumpre os requisitos de habilitação definidos no Edital e que a proposta apresentada está em conformidade com as exigências editalícias;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inexistem fatos impeditivos para sua habilitação no certame, ciente da obrigatoriedade de declarar ocorrências posteriores;</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eastAsia="Zurich BT" w:cs="Arial"/>
          <w:color w:val="000000"/>
          <w:sz w:val="18"/>
          <w:szCs w:val="18"/>
        </w:rPr>
        <w:t>que a proposta foi elaborada de forma independente, nos termos d</w:t>
      </w:r>
      <w:r>
        <w:rPr>
          <w:rFonts w:ascii="Verdana" w:hAnsi="Verdana" w:cs="Arial"/>
          <w:color w:val="000000"/>
          <w:sz w:val="18"/>
          <w:szCs w:val="18"/>
        </w:rPr>
        <w:t>a Instrução Normativa SLTI/MPOG nº 2, de 16 de setembro de 2009;</w:t>
      </w:r>
    </w:p>
    <w:p>
      <w:pPr>
        <w:pStyle w:val="80"/>
        <w:keepNext w:val="0"/>
        <w:widowControl/>
        <w:numPr>
          <w:ilvl w:val="2"/>
          <w:numId w:val="11"/>
        </w:numPr>
        <w:spacing w:before="120" w:after="120"/>
        <w:ind w:left="1134" w:hanging="283"/>
        <w:rPr>
          <w:rFonts w:ascii="Verdana" w:hAnsi="Verdana" w:cs="Arial"/>
          <w:sz w:val="18"/>
          <w:szCs w:val="18"/>
        </w:rPr>
      </w:pPr>
      <w:r>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Pr>
          <w:rFonts w:ascii="Verdana" w:hAnsi="Verdana" w:cs="Arial"/>
          <w:sz w:val="18"/>
          <w:szCs w:val="18"/>
        </w:rPr>
        <w:t xml:space="preserve"> </w:t>
      </w:r>
    </w:p>
    <w:p>
      <w:pPr>
        <w:pStyle w:val="80"/>
        <w:keepNext w:val="0"/>
        <w:widowControl/>
        <w:numPr>
          <w:ilvl w:val="2"/>
          <w:numId w:val="11"/>
        </w:numPr>
        <w:spacing w:before="120" w:after="120"/>
        <w:ind w:left="1134" w:hanging="283"/>
        <w:rPr>
          <w:rFonts w:ascii="Verdana" w:hAnsi="Verdana" w:cs="Arial"/>
          <w:bCs/>
          <w:color w:val="FF0000"/>
          <w:sz w:val="18"/>
          <w:szCs w:val="18"/>
        </w:rPr>
      </w:pPr>
      <w:r>
        <w:rPr>
          <w:rFonts w:ascii="Verdana" w:hAnsi="Verdana" w:cs="Arial"/>
          <w:bCs/>
          <w:color w:val="000000"/>
          <w:sz w:val="18"/>
          <w:szCs w:val="18"/>
        </w:rPr>
        <w:t xml:space="preserve">que os </w:t>
      </w:r>
      <w:r>
        <w:rPr>
          <w:rFonts w:ascii="Verdana" w:hAnsi="Verdana" w:cs="Arial"/>
          <w:sz w:val="18"/>
          <w:szCs w:val="18"/>
        </w:rPr>
        <w:t>serviços</w:t>
      </w:r>
      <w:r>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Verdana" w:hAnsi="Verdana" w:cs="Arial"/>
          <w:bCs/>
          <w:sz w:val="18"/>
          <w:szCs w:val="18"/>
        </w:rPr>
        <w:t>1991.</w:t>
      </w:r>
    </w:p>
    <w:p>
      <w:pPr>
        <w:pStyle w:val="80"/>
        <w:keepNext w:val="0"/>
        <w:widowControl/>
        <w:numPr>
          <w:ilvl w:val="1"/>
          <w:numId w:val="11"/>
        </w:numPr>
        <w:spacing w:before="120" w:after="120"/>
        <w:ind w:left="851" w:hanging="284"/>
        <w:rPr>
          <w:rFonts w:ascii="Verdana" w:hAnsi="Verdana" w:cs="Arial"/>
          <w:color w:val="000000"/>
          <w:sz w:val="18"/>
          <w:szCs w:val="18"/>
        </w:rPr>
      </w:pPr>
      <w:r>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pPr>
        <w:pStyle w:val="80"/>
        <w:keepNext w:val="0"/>
        <w:widowControl/>
        <w:numPr>
          <w:ilvl w:val="1"/>
          <w:numId w:val="11"/>
        </w:numPr>
        <w:spacing w:before="120" w:after="120"/>
        <w:ind w:left="851" w:hanging="284"/>
        <w:rPr>
          <w:rFonts w:ascii="Verdana" w:hAnsi="Verdana" w:cs="Arial"/>
          <w:color w:val="000000"/>
          <w:sz w:val="18"/>
          <w:szCs w:val="18"/>
        </w:rPr>
      </w:pPr>
      <w:r>
        <w:rPr>
          <w:rFonts w:ascii="Verdana" w:hAnsi="Verdana" w:cs="Arial"/>
          <w:color w:val="000000"/>
          <w:sz w:val="18"/>
          <w:szCs w:val="18"/>
        </w:rPr>
        <w:t>A declaração falsa relativa ao cumprimento de qualquer condição sujeitará o licitante às sanções previstas em lei e neste Edital.</w:t>
      </w:r>
    </w:p>
    <w:p>
      <w:pPr>
        <w:pStyle w:val="80"/>
        <w:keepNext w:val="0"/>
        <w:widowControl/>
        <w:spacing w:before="120" w:after="120"/>
        <w:ind w:firstLine="0"/>
        <w:rPr>
          <w:rFonts w:ascii="Verdana" w:hAnsi="Verdana" w:cs="Arial"/>
          <w:i/>
          <w:iCs/>
          <w:color w:val="FF0000"/>
          <w:sz w:val="18"/>
          <w:szCs w:val="18"/>
        </w:rPr>
      </w:pPr>
    </w:p>
    <w:p>
      <w:pPr>
        <w:pStyle w:val="80"/>
        <w:keepNext w:val="0"/>
        <w:widowControl/>
        <w:numPr>
          <w:ilvl w:val="0"/>
          <w:numId w:val="6"/>
        </w:numPr>
        <w:spacing w:before="120" w:after="120"/>
        <w:ind w:left="284" w:hanging="284"/>
        <w:rPr>
          <w:rFonts w:ascii="Verdana" w:hAnsi="Verdana" w:cs="Arial"/>
          <w:b/>
          <w:bCs/>
          <w:sz w:val="18"/>
          <w:szCs w:val="18"/>
        </w:rPr>
      </w:pPr>
      <w:r>
        <w:rPr>
          <w:rFonts w:ascii="Verdana" w:hAnsi="Verdana" w:cs="Arial"/>
          <w:b/>
          <w:bCs/>
          <w:sz w:val="18"/>
          <w:szCs w:val="18"/>
        </w:rPr>
        <w:t xml:space="preserve">DA SUBCONTRATAÇÃO </w:t>
      </w:r>
    </w:p>
    <w:p>
      <w:pPr>
        <w:pStyle w:val="80"/>
        <w:keepNext w:val="0"/>
        <w:widowControl/>
        <w:numPr>
          <w:ilvl w:val="1"/>
          <w:numId w:val="6"/>
        </w:numPr>
        <w:spacing w:before="120" w:after="120"/>
        <w:ind w:left="851" w:hanging="284"/>
        <w:rPr>
          <w:rFonts w:ascii="Verdana" w:hAnsi="Verdana" w:cs="Arial"/>
          <w:b/>
          <w:bCs/>
          <w:sz w:val="18"/>
          <w:szCs w:val="18"/>
        </w:rPr>
      </w:pPr>
      <w:r>
        <w:rPr>
          <w:rFonts w:ascii="Verdana" w:hAnsi="Verdana" w:cs="Arial"/>
          <w:iCs/>
          <w:sz w:val="18"/>
          <w:szCs w:val="18"/>
        </w:rPr>
        <w:t>Será permitida a subcontratação do objeto licitado, na forma do Termo de Referência anexo a este Edital.</w:t>
      </w:r>
    </w:p>
    <w:p>
      <w:pPr>
        <w:pStyle w:val="80"/>
        <w:keepNext w:val="0"/>
        <w:widowControl/>
        <w:spacing w:before="120" w:after="120"/>
        <w:ind w:left="375" w:firstLine="0"/>
        <w:rPr>
          <w:rFonts w:ascii="Verdana" w:hAnsi="Verdana" w:cs="Arial"/>
          <w:b/>
          <w:bCs/>
          <w:sz w:val="18"/>
          <w:szCs w:val="18"/>
        </w:rPr>
      </w:pPr>
    </w:p>
    <w:p>
      <w:pPr>
        <w:pStyle w:val="80"/>
        <w:keepNext w:val="0"/>
        <w:widowControl/>
        <w:numPr>
          <w:ilvl w:val="0"/>
          <w:numId w:val="6"/>
        </w:numPr>
        <w:spacing w:before="120" w:after="120"/>
        <w:ind w:left="284" w:hanging="284"/>
        <w:rPr>
          <w:rFonts w:ascii="Verdana" w:hAnsi="Verdana" w:cs="Arial"/>
          <w:b/>
          <w:bCs/>
          <w:sz w:val="18"/>
          <w:szCs w:val="18"/>
        </w:rPr>
      </w:pPr>
      <w:r>
        <w:rPr>
          <w:rFonts w:ascii="Verdana" w:hAnsi="Verdana" w:cs="Arial"/>
          <w:b/>
          <w:color w:val="000000"/>
          <w:sz w:val="18"/>
          <w:szCs w:val="18"/>
        </w:rPr>
        <w:t>DO ENVIO DA PROPOSTA</w:t>
      </w:r>
    </w:p>
    <w:p>
      <w:pPr>
        <w:pStyle w:val="80"/>
        <w:keepNext w:val="0"/>
        <w:widowControl/>
        <w:numPr>
          <w:ilvl w:val="1"/>
          <w:numId w:val="6"/>
        </w:numPr>
        <w:spacing w:before="120" w:after="120"/>
        <w:ind w:left="851" w:hanging="284"/>
        <w:rPr>
          <w:rStyle w:val="10"/>
          <w:rFonts w:ascii="Verdana" w:hAnsi="Verdana" w:cs="Arial"/>
          <w:b/>
          <w:bCs/>
          <w:sz w:val="18"/>
          <w:szCs w:val="18"/>
        </w:rPr>
      </w:pPr>
      <w:r>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pPr>
        <w:pStyle w:val="80"/>
        <w:keepNext w:val="0"/>
        <w:widowControl/>
        <w:numPr>
          <w:ilvl w:val="1"/>
          <w:numId w:val="6"/>
        </w:numPr>
        <w:spacing w:before="120" w:after="120"/>
        <w:ind w:left="851" w:hanging="284"/>
        <w:rPr>
          <w:rFonts w:ascii="Verdana" w:hAnsi="Verdana" w:cs="Arial"/>
          <w:b/>
          <w:bCs/>
          <w:sz w:val="18"/>
          <w:szCs w:val="18"/>
        </w:rPr>
      </w:pPr>
      <w:r>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pPr>
        <w:pStyle w:val="80"/>
        <w:keepNext w:val="0"/>
        <w:widowControl/>
        <w:numPr>
          <w:ilvl w:val="1"/>
          <w:numId w:val="6"/>
        </w:numPr>
        <w:spacing w:before="120" w:after="120"/>
        <w:ind w:left="851" w:hanging="284"/>
        <w:rPr>
          <w:rFonts w:ascii="Verdana" w:hAnsi="Verdana" w:cs="Arial"/>
          <w:b/>
          <w:bCs/>
          <w:sz w:val="18"/>
          <w:szCs w:val="18"/>
        </w:rPr>
      </w:pPr>
      <w:r>
        <w:rPr>
          <w:rFonts w:ascii="Verdana" w:hAnsi="Verdana" w:cs="Arial"/>
          <w:color w:val="000000"/>
          <w:sz w:val="18"/>
          <w:szCs w:val="18"/>
        </w:rPr>
        <w:t>Incumbirá ao licitante acompanhar as operações no sistema eletrônico durante a sessão pública da licitação, ficando responsável pelo ônus decorrente da perda de negócios, diante da inobservância de quaisquer mensagens emitidas pelo sistema ou de sua desconexão.</w:t>
      </w:r>
    </w:p>
    <w:p>
      <w:pPr>
        <w:pStyle w:val="80"/>
        <w:keepNext w:val="0"/>
        <w:widowControl/>
        <w:numPr>
          <w:ilvl w:val="1"/>
          <w:numId w:val="6"/>
        </w:numPr>
        <w:spacing w:before="120" w:after="120"/>
        <w:ind w:left="851" w:hanging="284"/>
        <w:rPr>
          <w:rFonts w:ascii="Verdana" w:hAnsi="Verdana" w:cs="Arial"/>
          <w:b/>
          <w:bCs/>
          <w:sz w:val="18"/>
          <w:szCs w:val="18"/>
        </w:rPr>
      </w:pPr>
      <w:r>
        <w:rPr>
          <w:rFonts w:ascii="Verdana" w:hAnsi="Verdana" w:cs="Arial"/>
          <w:sz w:val="18"/>
          <w:szCs w:val="18"/>
        </w:rPr>
        <w:t>Até a abertura da sessão, os licitantes poderão retirar ou substituir as propostas apresentadas. O licitante deverá enviar sua proposta mediante o preenchimento, no sistema eletrônico, dos seguintes campos:</w:t>
      </w: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0"/>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1"/>
          <w:numId w:val="1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valor do desconto percentual a incidir sobre o valor estimado pela Administração, utilizando até 04 (quatro) casas decimais para evitar correções futuras na PROPOSTA DE PREÇOS;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descrição detalhada do objeto, conforme discriminado no preâmbulo deste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Ao encaminhar sua proposta, a licitante pressupõe o pleno conhecimento e atendimento das exigências de habilitação e de todas as</w:t>
      </w:r>
      <w:r>
        <w:rPr>
          <w:rFonts w:ascii="Verdana" w:hAnsi="Verdana"/>
          <w:sz w:val="18"/>
          <w:szCs w:val="18"/>
        </w:rPr>
        <w:t xml:space="preserve"> </w:t>
      </w:r>
      <w:r>
        <w:rPr>
          <w:rFonts w:ascii="Verdana" w:hAnsi="Verdana" w:cs="Times-Roman"/>
          <w:sz w:val="18"/>
          <w:szCs w:val="18"/>
        </w:rPr>
        <w:t>condições estabelecidas previstas neste Edital e seus Anexos.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 licitante deverá, para fins de elaboração da proposta, verificar e comparar todos os dados fornecidos nos anexos.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No caso de falhas, erros, discrepâncias ou omissões, bem como transgressões às normas</w:t>
      </w:r>
      <w:r>
        <w:rPr>
          <w:rFonts w:ascii="Verdana" w:hAnsi="Verdana"/>
          <w:sz w:val="18"/>
          <w:szCs w:val="18"/>
        </w:rPr>
        <w:t xml:space="preserve"> </w:t>
      </w:r>
      <w:r>
        <w:rPr>
          <w:rFonts w:ascii="Verdana" w:hAnsi="Verdana" w:cs="Times-Roman"/>
          <w:sz w:val="18"/>
          <w:szCs w:val="18"/>
        </w:rPr>
        <w:t>técnicas, regulamentos ou posturas, caberá a licitante formular imediata comunicação escrita à COMISSÃO DO RDC,</w:t>
      </w:r>
      <w:r>
        <w:rPr>
          <w:rFonts w:ascii="Verdana" w:hAnsi="Verdana"/>
          <w:sz w:val="18"/>
          <w:szCs w:val="18"/>
        </w:rPr>
        <w:t xml:space="preserve"> </w:t>
      </w:r>
      <w:r>
        <w:rPr>
          <w:rFonts w:ascii="Verdana" w:hAnsi="Verdana" w:cs="Times-Roman"/>
          <w:sz w:val="18"/>
          <w:szCs w:val="18"/>
        </w:rPr>
        <w:t>no prazo e momento estabelecidos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 licitante deverá elaborar sua proposta levando em consideração que as obras e serviços objetos desta</w:t>
      </w:r>
      <w:r>
        <w:rPr>
          <w:rFonts w:ascii="Verdana" w:hAnsi="Verdana"/>
          <w:sz w:val="18"/>
          <w:szCs w:val="18"/>
        </w:rPr>
        <w:t xml:space="preserve"> </w:t>
      </w:r>
      <w:r>
        <w:rPr>
          <w:rFonts w:ascii="Verdana" w:hAnsi="Verdana" w:cs="Times-Roman"/>
          <w:sz w:val="18"/>
          <w:szCs w:val="18"/>
        </w:rPr>
        <w:t>licitação devem ser entregues por completo. Em consequência, ficará a cargo da licitante, prever qualquer</w:t>
      </w:r>
      <w:r>
        <w:rPr>
          <w:rFonts w:ascii="Verdana" w:hAnsi="Verdana"/>
          <w:sz w:val="18"/>
          <w:szCs w:val="18"/>
        </w:rPr>
        <w:t xml:space="preserve"> </w:t>
      </w:r>
      <w:r>
        <w:rPr>
          <w:rFonts w:ascii="Verdana" w:hAnsi="Verdana" w:cs="Times-Roman"/>
          <w:sz w:val="18"/>
          <w:szCs w:val="18"/>
        </w:rPr>
        <w:t>serviço ou material necessário, mesmo quando não expressamente indicado no orçamento estimado em</w:t>
      </w:r>
      <w:r>
        <w:rPr>
          <w:rFonts w:ascii="Verdana" w:hAnsi="Verdana"/>
          <w:sz w:val="18"/>
          <w:szCs w:val="18"/>
        </w:rPr>
        <w:t xml:space="preserve"> </w:t>
      </w:r>
      <w:r>
        <w:rPr>
          <w:rFonts w:ascii="Verdana" w:hAnsi="Verdana" w:cs="Times-Roman"/>
          <w:sz w:val="18"/>
          <w:szCs w:val="18"/>
        </w:rPr>
        <w:t xml:space="preserve">planilhas de quantitativos e preços unitários, </w:t>
      </w:r>
      <w:r>
        <w:rPr>
          <w:rFonts w:ascii="Verdana" w:hAnsi="Verdana" w:cs="Times-Bold"/>
          <w:bCs/>
          <w:sz w:val="18"/>
          <w:szCs w:val="18"/>
        </w:rPr>
        <w:t>não lhe cabendo, posteriormente, quaisquer acréscimos de</w:t>
      </w:r>
      <w:r>
        <w:rPr>
          <w:rFonts w:ascii="Verdana" w:hAnsi="Verdana"/>
          <w:sz w:val="18"/>
          <w:szCs w:val="18"/>
        </w:rPr>
        <w:t xml:space="preserve"> </w:t>
      </w:r>
      <w:r>
        <w:rPr>
          <w:rFonts w:ascii="Verdana" w:hAnsi="Verdana" w:cs="Times-Bold"/>
          <w:bCs/>
          <w:sz w:val="18"/>
          <w:szCs w:val="18"/>
        </w:rPr>
        <w:t>pagamentos decorrentes, caso não tenha se manifestado expressamente</w:t>
      </w:r>
      <w:r>
        <w:rPr>
          <w:rFonts w:ascii="Verdana" w:hAnsi="Verdana" w:cs="Times-Roman"/>
          <w:sz w:val="18"/>
          <w:szCs w:val="18"/>
        </w:rPr>
        <w:t>, indicando as divergências</w:t>
      </w:r>
      <w:r>
        <w:rPr>
          <w:rFonts w:ascii="Verdana" w:hAnsi="Verdana"/>
          <w:sz w:val="18"/>
          <w:szCs w:val="18"/>
        </w:rPr>
        <w:t xml:space="preserve"> </w:t>
      </w:r>
      <w:r>
        <w:rPr>
          <w:rFonts w:ascii="Verdana" w:hAnsi="Verdana" w:cs="Times-Roman"/>
          <w:sz w:val="18"/>
          <w:szCs w:val="18"/>
        </w:rPr>
        <w:t>encontradas entre as planilhas, projetos e especificações.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Bold"/>
          <w:bCs/>
          <w:sz w:val="18"/>
          <w:szCs w:val="18"/>
        </w:rPr>
        <w:t>A falta da comunicação referida implicará a aceitação tácita das especificações e</w:t>
      </w:r>
      <w:r>
        <w:rPr>
          <w:rFonts w:ascii="Verdana" w:hAnsi="Verdana"/>
          <w:sz w:val="18"/>
          <w:szCs w:val="18"/>
        </w:rPr>
        <w:t xml:space="preserve"> </w:t>
      </w:r>
      <w:r>
        <w:rPr>
          <w:rFonts w:ascii="Verdana" w:hAnsi="Verdana" w:cs="Times-Bold"/>
          <w:bCs/>
          <w:sz w:val="18"/>
          <w:szCs w:val="18"/>
        </w:rPr>
        <w:t>documentações técnicas fornecidas</w:t>
      </w:r>
      <w:r>
        <w:rPr>
          <w:rFonts w:ascii="Verdana" w:hAnsi="Verdana" w:cs="Times-Roman"/>
          <w:sz w:val="18"/>
          <w:szCs w:val="18"/>
        </w:rPr>
        <w: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Uma vez iniciada a sessão de lances, não serão permitidas quaisquer retificações que possam influir no resultado final desta licitação, ressalvados ajustes do valor final após eventual negociação e/ou desempate de ME/EPP.</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 proposta deverá ser elaborada de acordo com os preços praticados no mercado e conforme as</w:t>
      </w:r>
      <w:r>
        <w:rPr>
          <w:rFonts w:ascii="Verdana" w:hAnsi="Verdana"/>
          <w:sz w:val="18"/>
          <w:szCs w:val="18"/>
        </w:rPr>
        <w:t xml:space="preserve"> </w:t>
      </w:r>
      <w:r>
        <w:rPr>
          <w:rFonts w:ascii="Verdana" w:hAnsi="Verdana" w:cs="Times-Roman"/>
          <w:sz w:val="18"/>
          <w:szCs w:val="18"/>
        </w:rPr>
        <w:t>especificações contidas neste Edital e seus Anexos.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As propostas serão de exclusiva responsabilidade da licitante, não lhe assistindo o direito de pleitear</w:t>
      </w:r>
      <w:r>
        <w:rPr>
          <w:rFonts w:ascii="Verdana" w:hAnsi="Verdana"/>
          <w:sz w:val="18"/>
          <w:szCs w:val="18"/>
        </w:rPr>
        <w:t xml:space="preserve"> </w:t>
      </w:r>
      <w:r>
        <w:rPr>
          <w:rFonts w:ascii="Verdana" w:hAnsi="Verdana" w:cs="Times-Roman"/>
          <w:sz w:val="18"/>
          <w:szCs w:val="18"/>
        </w:rPr>
        <w:t>qualquer alteração sob alegação de erro, omissão ou qualquer outro pretexto.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Bold"/>
          <w:bCs/>
          <w:sz w:val="18"/>
          <w:szCs w:val="18"/>
        </w:rPr>
        <w:t>A licitante deverá levar em conta que o percentual de desconto apresentado deverá</w:t>
      </w:r>
      <w:r>
        <w:rPr>
          <w:rFonts w:ascii="Verdana" w:hAnsi="Verdana"/>
          <w:sz w:val="18"/>
          <w:szCs w:val="18"/>
        </w:rPr>
        <w:t xml:space="preserve"> </w:t>
      </w:r>
      <w:r>
        <w:rPr>
          <w:rFonts w:ascii="Verdana" w:hAnsi="Verdana" w:cs="Times-Bold"/>
          <w:bCs/>
          <w:sz w:val="18"/>
          <w:szCs w:val="18"/>
        </w:rPr>
        <w:t>incidir linearmente sobre os preços de todos os itens do orçamento estimado, constante da planilha de custos e formação de preços anexa a 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O valor do desconto proposto é de inteira responsabilidade da licitante, não lhe cabendo o</w:t>
      </w:r>
      <w:r>
        <w:rPr>
          <w:rFonts w:ascii="Verdana" w:hAnsi="Verdana"/>
          <w:sz w:val="18"/>
          <w:szCs w:val="18"/>
        </w:rPr>
        <w:t xml:space="preserve"> </w:t>
      </w:r>
      <w:r>
        <w:rPr>
          <w:rFonts w:ascii="Verdana" w:hAnsi="Verdana" w:cs="Times-Roman"/>
          <w:sz w:val="18"/>
          <w:szCs w:val="18"/>
        </w:rPr>
        <w:t>direito de pleitear qualquer alteração do mesmo, sob a alegação de erro, omissão ou qualquer outro</w:t>
      </w:r>
      <w:r>
        <w:rPr>
          <w:rFonts w:ascii="Verdana" w:hAnsi="Verdana"/>
          <w:sz w:val="18"/>
          <w:szCs w:val="18"/>
        </w:rPr>
        <w:t xml:space="preserve"> </w:t>
      </w:r>
      <w:r>
        <w:rPr>
          <w:rFonts w:ascii="Verdana" w:hAnsi="Verdana" w:cs="Times-Roman"/>
          <w:sz w:val="18"/>
          <w:szCs w:val="18"/>
        </w:rPr>
        <w:t>pretexto.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Se, no desconto ofertado, incorrer a omissão de qualquer despesa necessária ao perfeito</w:t>
      </w:r>
      <w:r>
        <w:rPr>
          <w:rFonts w:ascii="Verdana" w:hAnsi="Verdana"/>
          <w:sz w:val="18"/>
          <w:szCs w:val="18"/>
        </w:rPr>
        <w:t xml:space="preserve"> </w:t>
      </w:r>
      <w:r>
        <w:rPr>
          <w:rFonts w:ascii="Verdana" w:hAnsi="Verdana" w:cs="Times-Roman"/>
          <w:sz w:val="18"/>
          <w:szCs w:val="18"/>
        </w:rPr>
        <w:t>cumprimento do objeto deste RDC, esta será interpretada como inexistente ou já incluída no valor da</w:t>
      </w:r>
      <w:r>
        <w:rPr>
          <w:rFonts w:ascii="Verdana" w:hAnsi="Verdana"/>
          <w:sz w:val="18"/>
          <w:szCs w:val="18"/>
        </w:rPr>
        <w:t xml:space="preserve"> </w:t>
      </w:r>
      <w:r>
        <w:rPr>
          <w:rFonts w:ascii="Verdana" w:hAnsi="Verdana" w:cs="Times-Roman"/>
          <w:sz w:val="18"/>
          <w:szCs w:val="18"/>
        </w:rPr>
        <w:t>proposta, não podendo a licitante pleitear acrescimento após a abertura da sessão pública.</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No momento do envio da proposta comercial, a licitante deverá declarar, em campo próprio do</w:t>
      </w:r>
      <w:r>
        <w:rPr>
          <w:rFonts w:ascii="Verdana" w:hAnsi="Verdana"/>
          <w:sz w:val="18"/>
          <w:szCs w:val="18"/>
        </w:rPr>
        <w:t xml:space="preserve"> </w:t>
      </w:r>
      <w:r>
        <w:rPr>
          <w:rFonts w:ascii="Verdana" w:hAnsi="Verdana" w:cs="Times-Roman"/>
          <w:sz w:val="18"/>
          <w:szCs w:val="18"/>
        </w:rPr>
        <w:t>sistema eletrônico, o seguinte:</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até a presente data inexistem fatos impeditivos de habilitação, ciente da</w:t>
      </w:r>
      <w:r>
        <w:rPr>
          <w:rFonts w:ascii="Verdana" w:hAnsi="Verdana"/>
          <w:sz w:val="18"/>
          <w:szCs w:val="18"/>
        </w:rPr>
        <w:t xml:space="preserve"> </w:t>
      </w:r>
      <w:r>
        <w:rPr>
          <w:rFonts w:ascii="Verdana" w:hAnsi="Verdana" w:cs="Times-Bold"/>
          <w:bCs/>
          <w:sz w:val="18"/>
          <w:szCs w:val="18"/>
        </w:rPr>
        <w:t>obrigatoriedade de declarar ocorrências posteriores;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está ciente e concorda com todas as condições contidas no Edital e seus Anexos, bem</w:t>
      </w:r>
      <w:r>
        <w:rPr>
          <w:rFonts w:ascii="Verdana" w:hAnsi="Verdana"/>
          <w:sz w:val="18"/>
          <w:szCs w:val="18"/>
        </w:rPr>
        <w:t xml:space="preserve"> </w:t>
      </w:r>
      <w:r>
        <w:rPr>
          <w:rFonts w:ascii="Verdana" w:hAnsi="Verdana" w:cs="Times-Bold"/>
          <w:bCs/>
          <w:sz w:val="18"/>
          <w:szCs w:val="18"/>
        </w:rPr>
        <w:t>como que cumpre plenamente os requisitos de habilitação definidos no Edital;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a proposta comercial foi elaborada de forma independente, de acordo com que é</w:t>
      </w:r>
      <w:r>
        <w:rPr>
          <w:rFonts w:ascii="Verdana" w:hAnsi="Verdana"/>
          <w:sz w:val="18"/>
          <w:szCs w:val="18"/>
        </w:rPr>
        <w:t xml:space="preserve"> </w:t>
      </w:r>
      <w:r>
        <w:rPr>
          <w:rFonts w:ascii="Verdana" w:hAnsi="Verdana" w:cs="Times-Bold"/>
          <w:bCs/>
          <w:sz w:val="18"/>
          <w:szCs w:val="18"/>
        </w:rPr>
        <w:t>estabelecido na Instrução Normativa nº 2, de 16 de setembro de 2009, do SLTI/MPOG;</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não emprega menores de 18 (dezoito) anos em trabalho noturno, perigoso ou</w:t>
      </w:r>
      <w:r>
        <w:rPr>
          <w:rFonts w:ascii="Verdana" w:hAnsi="Verdana"/>
          <w:sz w:val="18"/>
          <w:szCs w:val="18"/>
        </w:rPr>
        <w:t xml:space="preserve"> </w:t>
      </w:r>
      <w:r>
        <w:rPr>
          <w:rFonts w:ascii="Verdana" w:hAnsi="Verdana" w:cs="Times-Bold"/>
          <w:bCs/>
          <w:sz w:val="18"/>
          <w:szCs w:val="18"/>
        </w:rPr>
        <w:t>insalubre, e que não emprega menores de 16 (dezesseis) anos em qualquer trabalho, salvo</w:t>
      </w:r>
      <w:r>
        <w:rPr>
          <w:rFonts w:ascii="Verdana" w:hAnsi="Verdana"/>
          <w:sz w:val="18"/>
          <w:szCs w:val="18"/>
        </w:rPr>
        <w:t xml:space="preserve"> </w:t>
      </w:r>
      <w:r>
        <w:rPr>
          <w:rFonts w:ascii="Verdana" w:hAnsi="Verdana" w:cs="Times-Bold"/>
          <w:bCs/>
          <w:sz w:val="18"/>
          <w:szCs w:val="18"/>
        </w:rPr>
        <w:t>na condição de aprendizes, a partir de 14 (quatorze) anos, nos termos do inciso XXXIII do</w:t>
      </w:r>
      <w:r>
        <w:rPr>
          <w:rFonts w:ascii="Verdana" w:hAnsi="Verdana"/>
          <w:sz w:val="18"/>
          <w:szCs w:val="18"/>
        </w:rPr>
        <w:t xml:space="preserve"> </w:t>
      </w:r>
      <w:r>
        <w:rPr>
          <w:rFonts w:ascii="Verdana" w:hAnsi="Verdana" w:cs="Times-Bold"/>
          <w:bCs/>
          <w:sz w:val="18"/>
          <w:szCs w:val="18"/>
        </w:rPr>
        <w:t>art. 7º da Constituição Federal;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não possui, em sua cadeia produtiva, empregado executando trabalho degradante ou</w:t>
      </w:r>
      <w:r>
        <w:rPr>
          <w:rFonts w:ascii="Verdana" w:hAnsi="Verdana"/>
          <w:sz w:val="18"/>
          <w:szCs w:val="18"/>
        </w:rPr>
        <w:t xml:space="preserve"> </w:t>
      </w:r>
      <w:r>
        <w:rPr>
          <w:rFonts w:ascii="Verdana" w:hAnsi="Verdana" w:cs="Times-Bold"/>
          <w:bCs/>
          <w:sz w:val="18"/>
          <w:szCs w:val="18"/>
        </w:rPr>
        <w:t>forçado, observando o disposto nos incisos III e IV do art. 1º e no inciso III do art. 5º da</w:t>
      </w:r>
      <w:r>
        <w:rPr>
          <w:rFonts w:ascii="Verdana" w:hAnsi="Verdana"/>
          <w:sz w:val="18"/>
          <w:szCs w:val="18"/>
        </w:rPr>
        <w:t xml:space="preserve"> </w:t>
      </w:r>
      <w:r>
        <w:rPr>
          <w:rFonts w:ascii="Verdana" w:hAnsi="Verdana" w:cs="Times-Bold"/>
          <w:bCs/>
          <w:sz w:val="18"/>
          <w:szCs w:val="18"/>
        </w:rPr>
        <w:t>Constituição Federal;</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Times-Bold"/>
          <w:bCs/>
          <w:sz w:val="18"/>
          <w:szCs w:val="18"/>
        </w:rPr>
        <w:t>Que cumpre a cota de aprendizagem, estabelecida no art. 429, da Consolidação das Leis</w:t>
      </w:r>
      <w:r>
        <w:rPr>
          <w:rFonts w:ascii="Verdana" w:hAnsi="Verdana"/>
          <w:sz w:val="18"/>
          <w:szCs w:val="18"/>
        </w:rPr>
        <w:t xml:space="preserve"> </w:t>
      </w:r>
      <w:r>
        <w:rPr>
          <w:rFonts w:ascii="Verdana" w:hAnsi="Verdana" w:cs="Times-Bold"/>
          <w:bCs/>
          <w:sz w:val="18"/>
          <w:szCs w:val="18"/>
        </w:rPr>
        <w:t>do Trabalho (CLT).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 xml:space="preserve">Na fase de habilitação, a Comissão do RDC verificará no sistema eletrônico as declarações a que se referem as </w:t>
      </w:r>
      <w:r>
        <w:rPr>
          <w:rFonts w:ascii="Verdana" w:hAnsi="Verdana" w:cs="Times-Bold"/>
          <w:bCs/>
          <w:sz w:val="18"/>
          <w:szCs w:val="18"/>
        </w:rPr>
        <w:t>alíneas anteriores</w:t>
      </w:r>
      <w:r>
        <w:rPr>
          <w:rFonts w:ascii="Verdana" w:hAnsi="Verdana" w:cs="Times-Roman"/>
          <w:sz w:val="18"/>
          <w:szCs w:val="18"/>
        </w:rPr>
        <w:t>, sendo que não há a necessidade do</w:t>
      </w:r>
      <w:r>
        <w:rPr>
          <w:rFonts w:ascii="Verdana" w:hAnsi="Verdana"/>
          <w:sz w:val="18"/>
          <w:szCs w:val="18"/>
        </w:rPr>
        <w:t xml:space="preserve"> </w:t>
      </w:r>
      <w:r>
        <w:rPr>
          <w:rFonts w:ascii="Verdana" w:hAnsi="Verdana" w:cs="Times-Roman"/>
          <w:sz w:val="18"/>
          <w:szCs w:val="18"/>
        </w:rPr>
        <w:t>encaminhamento das mesmas por e-mail ou qualquer outro meio.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Em caso de declarações falsas, a licitante estará sujeita à tipificação no crime de falsidade</w:t>
      </w:r>
      <w:r>
        <w:rPr>
          <w:rFonts w:ascii="Verdana" w:hAnsi="Verdana"/>
          <w:sz w:val="18"/>
          <w:szCs w:val="18"/>
        </w:rPr>
        <w:t xml:space="preserve"> </w:t>
      </w:r>
      <w:r>
        <w:rPr>
          <w:rFonts w:ascii="Verdana" w:hAnsi="Verdana" w:cs="Times-Roman"/>
          <w:sz w:val="18"/>
          <w:szCs w:val="18"/>
        </w:rPr>
        <w:t>ideológica, nos termos do art. 299 do Decreto-Lei nº 2.848/40 (Código Penal Brasileiro), bem como</w:t>
      </w:r>
      <w:r>
        <w:rPr>
          <w:rFonts w:ascii="Verdana" w:hAnsi="Verdana"/>
          <w:sz w:val="18"/>
          <w:szCs w:val="18"/>
        </w:rPr>
        <w:t xml:space="preserve"> </w:t>
      </w:r>
      <w:r>
        <w:rPr>
          <w:rFonts w:ascii="Verdana" w:hAnsi="Verdana" w:cs="Times-Roman"/>
          <w:sz w:val="18"/>
          <w:szCs w:val="18"/>
        </w:rPr>
        <w:t>nos crimes previstos nos arts. 90 a 93 da Lei nº 8.666/93, sem prejuízo de punição administrativa,</w:t>
      </w:r>
      <w:r>
        <w:rPr>
          <w:rFonts w:ascii="Verdana" w:hAnsi="Verdana"/>
          <w:sz w:val="18"/>
          <w:szCs w:val="18"/>
        </w:rPr>
        <w:t xml:space="preserve"> </w:t>
      </w:r>
      <w:r>
        <w:rPr>
          <w:rFonts w:ascii="Verdana" w:hAnsi="Verdana" w:cs="Times-Roman"/>
          <w:sz w:val="18"/>
          <w:szCs w:val="18"/>
        </w:rPr>
        <w:t>conforme as sanções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Até o horário marcado neste Edital para abertura da sessão de lances, os licitantes poderão retirar ou</w:t>
      </w:r>
      <w:r>
        <w:rPr>
          <w:rFonts w:ascii="Verdana" w:hAnsi="Verdana"/>
          <w:sz w:val="18"/>
          <w:szCs w:val="18"/>
        </w:rPr>
        <w:t xml:space="preserve"> </w:t>
      </w:r>
      <w:r>
        <w:rPr>
          <w:rFonts w:ascii="Verdana" w:hAnsi="Verdana" w:cs="Times-Roman"/>
          <w:sz w:val="18"/>
          <w:szCs w:val="18"/>
        </w:rPr>
        <w:t>substituir a proposta anteriormente apresentada.</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Depois do início da sessão de abertura, não caberá desistência da proposta, salvo por motivo justo,</w:t>
      </w:r>
      <w:r>
        <w:rPr>
          <w:rFonts w:ascii="Verdana" w:hAnsi="Verdana"/>
          <w:sz w:val="18"/>
          <w:szCs w:val="18"/>
        </w:rPr>
        <w:t xml:space="preserve"> </w:t>
      </w:r>
      <w:r>
        <w:rPr>
          <w:rFonts w:ascii="Verdana" w:hAnsi="Verdana" w:cs="Times-Roman"/>
          <w:sz w:val="18"/>
          <w:szCs w:val="18"/>
        </w:rPr>
        <w:t>decorrente de fato superveniente, devidamente motivado e comprovado, a ser avaliado pela Comissão do RDC.</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Se, após o término da fase competitiva, a licitante solicitar pedido de desclassificação de sua proposta</w:t>
      </w:r>
      <w:r>
        <w:rPr>
          <w:rFonts w:ascii="Verdana" w:hAnsi="Verdana"/>
          <w:sz w:val="18"/>
          <w:szCs w:val="18"/>
        </w:rPr>
        <w:t xml:space="preserve"> </w:t>
      </w:r>
      <w:r>
        <w:rPr>
          <w:rFonts w:ascii="Verdana" w:hAnsi="Verdana" w:cs="Times-Roman"/>
          <w:sz w:val="18"/>
          <w:szCs w:val="18"/>
        </w:rPr>
        <w:t>ou lance, poderá ele ser submetido a processo administrativo para apuração da sua responsabilidade quanto à</w:t>
      </w:r>
      <w:r>
        <w:rPr>
          <w:rFonts w:ascii="Verdana" w:hAnsi="Verdana"/>
          <w:sz w:val="18"/>
          <w:szCs w:val="18"/>
        </w:rPr>
        <w:t xml:space="preserve"> </w:t>
      </w:r>
      <w:r>
        <w:rPr>
          <w:rFonts w:ascii="Verdana" w:hAnsi="Verdana" w:cs="Times-Roman"/>
          <w:sz w:val="18"/>
          <w:szCs w:val="18"/>
        </w:rPr>
        <w:t>oferta de lance e posterior desistência ou não encaminhamento da proposta quando solicitada, observadas,</w:t>
      </w:r>
      <w:r>
        <w:rPr>
          <w:rFonts w:ascii="Verdana" w:hAnsi="Verdana"/>
          <w:sz w:val="18"/>
          <w:szCs w:val="18"/>
        </w:rPr>
        <w:t xml:space="preserve"> </w:t>
      </w:r>
      <w:r>
        <w:rPr>
          <w:rFonts w:ascii="Verdana" w:hAnsi="Verdana" w:cs="Times-Roman"/>
          <w:sz w:val="18"/>
          <w:szCs w:val="18"/>
        </w:rPr>
        <w:t>ainda, as sanções administrativas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A não desclassificação da proposta não impede o seu julgamento definitivo em sentido contrário,</w:t>
      </w:r>
      <w:r>
        <w:rPr>
          <w:rFonts w:ascii="Verdana" w:hAnsi="Verdana"/>
          <w:sz w:val="18"/>
          <w:szCs w:val="18"/>
        </w:rPr>
        <w:t xml:space="preserve"> </w:t>
      </w:r>
      <w:r>
        <w:rPr>
          <w:rFonts w:ascii="Verdana" w:hAnsi="Verdana" w:cs="Times-Roman"/>
          <w:sz w:val="18"/>
          <w:szCs w:val="18"/>
        </w:rPr>
        <w:t>levado a efeito na fase de aceitação.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Pr>
          <w:rFonts w:ascii="Verdana" w:hAnsi="Verdana"/>
          <w:sz w:val="18"/>
          <w:szCs w:val="18"/>
        </w:rPr>
        <w:t xml:space="preserve"> </w:t>
      </w:r>
      <w:r>
        <w:rPr>
          <w:rFonts w:ascii="Verdana" w:hAnsi="Verdana" w:cs="Times-Roman"/>
          <w:sz w:val="18"/>
          <w:szCs w:val="18"/>
        </w:rPr>
        <w:t>em Lei.</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Todas as propostas comerciais ficarão disponíveis no sistema eletrônico COMPRASNET.</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Qualquer elemento que possa identificar a licitante até o término da fase de lances, implicará a desclassificação da proposta</w:t>
      </w:r>
      <w:r>
        <w:rPr>
          <w:rFonts w:ascii="Verdana" w:hAnsi="Verdana"/>
          <w:sz w:val="18"/>
          <w:szCs w:val="18"/>
        </w:rPr>
        <w:t xml:space="preserve"> </w:t>
      </w:r>
      <w:r>
        <w:rPr>
          <w:rFonts w:ascii="Verdana" w:hAnsi="Verdana" w:cs="Times-Roman"/>
          <w:sz w:val="18"/>
          <w:szCs w:val="18"/>
        </w:rPr>
        <w:t>comercial, sem prejuízo das sanções previstas neste Edital.</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Arial"/>
          <w:sz w:val="18"/>
          <w:szCs w:val="18"/>
        </w:rPr>
        <w:t>Os licitantes devem respeitar os preços máximos estabelecidos nas normas de regência de contratações públicas federais, quando participarem de licitações públicas;</w:t>
      </w:r>
    </w:p>
    <w:p>
      <w:pPr>
        <w:pStyle w:val="67"/>
        <w:keepNext w:val="0"/>
        <w:numPr>
          <w:ilvl w:val="2"/>
          <w:numId w:val="1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67"/>
        <w:keepNext w:val="0"/>
        <w:numPr>
          <w:ilvl w:val="1"/>
          <w:numId w:val="1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Arial"/>
          <w:color w:val="000000"/>
          <w:sz w:val="18"/>
          <w:szCs w:val="18"/>
        </w:rPr>
        <w:t>A verificação de conformidade das propostas será feita exclusivamente em relação à proposta mais bem classificada, após a fase de disputas, nos termos do art. 24, §1º da Lei nº 12.462/11.</w:t>
      </w:r>
    </w:p>
    <w:p>
      <w:pPr>
        <w:pStyle w:val="80"/>
        <w:keepNext w:val="0"/>
        <w:widowControl/>
        <w:spacing w:before="120" w:after="120"/>
        <w:ind w:left="425" w:firstLine="0"/>
        <w:rPr>
          <w:rFonts w:ascii="Verdana" w:hAnsi="Verdana" w:cs="Arial"/>
          <w:sz w:val="18"/>
          <w:szCs w:val="18"/>
        </w:rPr>
      </w:pPr>
    </w:p>
    <w:p>
      <w:pPr>
        <w:pStyle w:val="80"/>
        <w:keepNext w:val="0"/>
        <w:numPr>
          <w:ilvl w:val="0"/>
          <w:numId w:val="13"/>
        </w:numPr>
        <w:rPr>
          <w:rFonts w:ascii="Verdana" w:hAnsi="Verdana" w:cs="Arial"/>
          <w:sz w:val="18"/>
          <w:szCs w:val="18"/>
        </w:rPr>
      </w:pPr>
      <w:bookmarkStart w:id="2" w:name="_Hlk505081883"/>
      <w:r>
        <w:rPr>
          <w:rFonts w:ascii="Verdana" w:hAnsi="Verdana" w:cs="Arial"/>
          <w:b/>
          <w:color w:val="000000"/>
          <w:sz w:val="18"/>
          <w:szCs w:val="18"/>
        </w:rPr>
        <w:t>DA FASE DE DISPUTAS</w:t>
      </w:r>
    </w:p>
    <w:p>
      <w:pPr>
        <w:pStyle w:val="80"/>
        <w:keepNext w:val="0"/>
        <w:widowControl/>
        <w:numPr>
          <w:ilvl w:val="1"/>
          <w:numId w:val="13"/>
        </w:numPr>
        <w:spacing w:before="120" w:after="120"/>
        <w:ind w:left="851" w:hanging="426"/>
        <w:rPr>
          <w:rFonts w:ascii="Verdana" w:hAnsi="Verdana" w:cs="Arial"/>
          <w:sz w:val="18"/>
          <w:szCs w:val="18"/>
        </w:rPr>
      </w:pPr>
      <w:r>
        <w:rPr>
          <w:rFonts w:ascii="Verdana" w:hAnsi="Verdana" w:cs="Arial"/>
          <w:color w:val="000000"/>
          <w:sz w:val="18"/>
          <w:szCs w:val="18"/>
          <w:lang w:eastAsia="en-US"/>
        </w:rPr>
        <w:t>A abertura da presente licitação dar-se-á em sessão pública, por meio de sistema eletrônico, na data, horário e local indicados neste Edital.</w:t>
      </w:r>
    </w:p>
    <w:p>
      <w:pPr>
        <w:pStyle w:val="80"/>
        <w:keepNext w:val="0"/>
        <w:widowControl/>
        <w:numPr>
          <w:ilvl w:val="1"/>
          <w:numId w:val="13"/>
        </w:numPr>
        <w:spacing w:before="120" w:after="120"/>
        <w:ind w:left="851" w:hanging="426"/>
        <w:rPr>
          <w:rFonts w:ascii="Verdana" w:hAnsi="Verdana" w:cs="Arial"/>
          <w:iCs/>
          <w:sz w:val="18"/>
          <w:szCs w:val="18"/>
        </w:rPr>
      </w:pPr>
      <w:r>
        <w:rPr>
          <w:rFonts w:ascii="Verdana" w:hAnsi="Verdana" w:cs="Arial"/>
          <w:iCs/>
          <w:sz w:val="18"/>
          <w:szCs w:val="18"/>
        </w:rPr>
        <w:t>O modo de disputa será o aberto.</w:t>
      </w:r>
    </w:p>
    <w:p>
      <w:pPr>
        <w:pStyle w:val="80"/>
        <w:keepNext w:val="0"/>
        <w:widowControl/>
        <w:numPr>
          <w:ilvl w:val="1"/>
          <w:numId w:val="13"/>
        </w:numPr>
        <w:spacing w:before="120" w:after="120"/>
        <w:ind w:left="851" w:hanging="426"/>
        <w:rPr>
          <w:rFonts w:ascii="Verdana" w:hAnsi="Verdana" w:cs="Arial"/>
          <w:iCs/>
          <w:sz w:val="18"/>
          <w:szCs w:val="18"/>
        </w:rPr>
      </w:pPr>
      <w:r>
        <w:rPr>
          <w:rFonts w:ascii="Verdana" w:hAnsi="Verdana" w:cs="Arial"/>
          <w:iCs/>
          <w:sz w:val="18"/>
          <w:szCs w:val="18"/>
        </w:rPr>
        <w:t>Os licitantes apresentarão suas propostas em sessão pública por meio de lances públicos, sucessivos e crescentes.</w:t>
      </w:r>
    </w:p>
    <w:p>
      <w:pPr>
        <w:pStyle w:val="80"/>
        <w:keepNext w:val="0"/>
        <w:numPr>
          <w:ilvl w:val="1"/>
          <w:numId w:val="13"/>
        </w:numPr>
        <w:spacing w:before="120" w:after="120"/>
        <w:ind w:left="851" w:hanging="426"/>
        <w:rPr>
          <w:rFonts w:ascii="Verdana" w:hAnsi="Verdana" w:cs="Arial"/>
          <w:iCs/>
          <w:sz w:val="18"/>
          <w:szCs w:val="18"/>
        </w:rPr>
      </w:pPr>
      <w:r>
        <w:rPr>
          <w:rFonts w:ascii="Verdana" w:hAnsi="Verdana" w:cs="Arial"/>
          <w:iCs/>
          <w:sz w:val="18"/>
          <w:szCs w:val="18"/>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 xml:space="preserve">A reabertura da fase de lances tem por objetivo aproximar as demais propostas do valor apresentado pela primeira colocada. </w:t>
      </w:r>
    </w:p>
    <w:p>
      <w:pPr>
        <w:pStyle w:val="80"/>
        <w:keepNext w:val="0"/>
        <w:numPr>
          <w:ilvl w:val="3"/>
          <w:numId w:val="13"/>
        </w:numPr>
        <w:spacing w:before="120" w:after="120"/>
        <w:ind w:left="1418" w:hanging="284"/>
        <w:rPr>
          <w:rFonts w:ascii="Verdana" w:hAnsi="Verdana" w:cs="Arial"/>
          <w:iCs/>
          <w:sz w:val="18"/>
          <w:szCs w:val="18"/>
        </w:rPr>
      </w:pPr>
      <w:r>
        <w:rPr>
          <w:rFonts w:ascii="Verdana" w:hAnsi="Verdana" w:cs="Arial"/>
          <w:iCs/>
          <w:sz w:val="18"/>
          <w:szCs w:val="18"/>
        </w:rPr>
        <w:t>A primeira colocada não participará dessa fase de reabertura e não haverá alteração da sua classificação, apenas das licitantes subsequentes.</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pPr>
        <w:pStyle w:val="80"/>
        <w:keepNext w:val="0"/>
        <w:numPr>
          <w:ilvl w:val="2"/>
          <w:numId w:val="13"/>
        </w:numPr>
        <w:spacing w:before="120" w:after="120"/>
        <w:ind w:left="1134" w:hanging="283"/>
        <w:rPr>
          <w:rFonts w:ascii="Verdana" w:hAnsi="Verdana" w:cs="Arial"/>
          <w:i/>
          <w:iCs/>
          <w:color w:val="FF0000"/>
          <w:sz w:val="18"/>
          <w:szCs w:val="18"/>
        </w:rPr>
      </w:pPr>
      <w:r>
        <w:rPr>
          <w:rFonts w:ascii="Verdana" w:hAnsi="Verdana" w:cs="Arial"/>
          <w:iCs/>
          <w:sz w:val="18"/>
          <w:szCs w:val="18"/>
        </w:rPr>
        <w:t>Lances iguais serão classificados conforme a ordem de apresentação.</w:t>
      </w:r>
      <w:r>
        <w:rPr>
          <w:rFonts w:ascii="Verdana" w:hAnsi="Verdana" w:cs="Arial"/>
          <w:i/>
          <w:iCs/>
          <w:color w:val="FF0000"/>
          <w:sz w:val="18"/>
          <w:szCs w:val="18"/>
        </w:rPr>
        <w:t xml:space="preserve">  </w:t>
      </w:r>
    </w:p>
    <w:p>
      <w:pPr>
        <w:pStyle w:val="80"/>
        <w:keepNext w:val="0"/>
        <w:numPr>
          <w:ilvl w:val="1"/>
          <w:numId w:val="13"/>
        </w:numPr>
        <w:spacing w:before="120" w:after="120"/>
        <w:ind w:left="851" w:hanging="425"/>
        <w:rPr>
          <w:rFonts w:ascii="Verdana" w:hAnsi="Verdana" w:cs="Arial"/>
          <w:i/>
          <w:iCs/>
          <w:color w:val="FF0000"/>
          <w:sz w:val="18"/>
          <w:szCs w:val="18"/>
        </w:rPr>
      </w:pPr>
      <w:r>
        <w:rPr>
          <w:rFonts w:ascii="Verdana" w:hAnsi="Verdana" w:cs="Arial"/>
          <w:sz w:val="18"/>
          <w:szCs w:val="18"/>
        </w:rPr>
        <w:t>Havendo a adoção de fase aberta, com ou sem combinação, os lances seguirão as seguintes regras:</w:t>
      </w:r>
    </w:p>
    <w:p>
      <w:pPr>
        <w:pStyle w:val="80"/>
        <w:keepNext w:val="0"/>
        <w:numPr>
          <w:ilvl w:val="2"/>
          <w:numId w:val="13"/>
        </w:numPr>
        <w:spacing w:before="120" w:after="120"/>
        <w:ind w:left="1134" w:hanging="283"/>
        <w:rPr>
          <w:rFonts w:ascii="Verdana" w:hAnsi="Verdana" w:cs="Arial"/>
          <w:i/>
          <w:iCs/>
          <w:color w:val="FF0000"/>
          <w:sz w:val="18"/>
          <w:szCs w:val="18"/>
        </w:rPr>
      </w:pPr>
      <w:r>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iCs/>
          <w:sz w:val="18"/>
          <w:szCs w:val="18"/>
        </w:rPr>
        <w:t xml:space="preserve">O lance deverá ser ofertado pelo valor do percentual de desconto. </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Os licitantes poderão oferecer lances sucessivos, observando o horário fixado para abertura da sessão e as regras estabelecidas no Edital.</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 xml:space="preserve">O licitante somente poderá oferecer lance de valor do percentual de desconto superior ao último por ele ofertado e registrado pelo sistema. </w:t>
      </w:r>
    </w:p>
    <w:p>
      <w:pPr>
        <w:pStyle w:val="80"/>
        <w:keepNext w:val="0"/>
        <w:numPr>
          <w:ilvl w:val="2"/>
          <w:numId w:val="13"/>
        </w:numPr>
        <w:spacing w:before="120" w:after="120"/>
        <w:ind w:left="1134" w:hanging="283"/>
        <w:rPr>
          <w:rFonts w:ascii="Verdana" w:hAnsi="Verdana" w:cs="Arial"/>
          <w:iCs/>
          <w:sz w:val="18"/>
          <w:szCs w:val="18"/>
          <w:highlight w:val="yellow"/>
        </w:rPr>
      </w:pPr>
      <w:r>
        <w:rPr>
          <w:rFonts w:ascii="Verdana" w:hAnsi="Verdana" w:cs="Arial"/>
          <w:iCs/>
          <w:sz w:val="18"/>
          <w:szCs w:val="18"/>
          <w:highlight w:val="yellow"/>
        </w:rPr>
        <w:t>O intervalo mínimo de diferença de valores entre os lances, que incidirá tanto em relação aos lances intermediários quanto em relação à proposta que cobrir a melhor oferta deverá ser de 0,1 % (um décimo percentual).</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O intervalo entre os lances enviados pelo mesmo licitante não poderá ser inferior a vinte (20) segundos e o intervalo entre lances não poderá ser inferior a três (3) segundos.</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Os lances enviados em desacordo com o item acima serão descartados automaticamente pelo sistema.</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Não serão aceitos dois ou mais lances de mesmo valor, prevalecendo aquele que for recebido e registrado em primeiro lugar.</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Durante o transcurso da sessão pública, os licitantes serão informados, em tempo real, do valor do menor lance registrado, vedada a identificação do licitante.</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O sistema disponibilizará campo próprio para troca de mensagem entre a Comissão do RDC e os licitantes.</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Nessas condições, as propostas de microempresas, empresas de pequeno porte e sociedades cooperativas que se encontrarem na faixa de até 10% (dez por cento) acima da proposta ou lance de menor preço serão consideradas empatadas com a primeira colocada.</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End w:id="2"/>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pPr>
        <w:pStyle w:val="80"/>
        <w:keepNext w:val="0"/>
        <w:numPr>
          <w:ilvl w:val="1"/>
          <w:numId w:val="13"/>
        </w:numPr>
        <w:spacing w:before="120" w:after="120"/>
        <w:ind w:left="851" w:hanging="425"/>
        <w:rPr>
          <w:rFonts w:ascii="Verdana" w:hAnsi="Verdana" w:cs="Arial"/>
          <w:iCs/>
          <w:sz w:val="18"/>
          <w:szCs w:val="18"/>
        </w:rPr>
      </w:pPr>
      <w:r>
        <w:rPr>
          <w:rFonts w:ascii="Verdana" w:hAnsi="Verdana" w:cs="Arial"/>
          <w:color w:val="000000"/>
          <w:sz w:val="18"/>
          <w:szCs w:val="18"/>
        </w:rPr>
        <w:t>Após a aplicação do disposto no subitem anterior, persistindo o empate entre 2 (duas) ou mais propostas, serão utilizados os seguintes critérios de desempate, nesta ordem:</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color w:val="000000"/>
          <w:sz w:val="18"/>
          <w:szCs w:val="18"/>
        </w:rPr>
        <w:t>Disputa final, em que os licitantes empatados poderão apresentar nova proposta fechada em ato contínuo à classificação;</w:t>
      </w:r>
    </w:p>
    <w:p>
      <w:pPr>
        <w:pStyle w:val="80"/>
        <w:keepNext w:val="0"/>
        <w:numPr>
          <w:ilvl w:val="2"/>
          <w:numId w:val="13"/>
        </w:numPr>
        <w:spacing w:before="120" w:after="120"/>
        <w:ind w:left="1134" w:hanging="283"/>
        <w:rPr>
          <w:rFonts w:ascii="Verdana" w:hAnsi="Verdana" w:cs="Arial"/>
          <w:iCs/>
          <w:sz w:val="18"/>
          <w:szCs w:val="18"/>
        </w:rPr>
      </w:pPr>
      <w:r>
        <w:rPr>
          <w:rFonts w:ascii="Verdana" w:hAnsi="Verdana" w:cs="Arial"/>
          <w:color w:val="000000"/>
          <w:sz w:val="18"/>
          <w:szCs w:val="18"/>
        </w:rPr>
        <w:t>Sorteio em sessão pública.</w:t>
      </w:r>
    </w:p>
    <w:p>
      <w:pPr>
        <w:pStyle w:val="80"/>
        <w:keepNext w:val="0"/>
        <w:widowControl/>
        <w:spacing w:before="120" w:after="120"/>
        <w:rPr>
          <w:rFonts w:ascii="Verdana" w:hAnsi="Verdana" w:cs="Arial"/>
          <w:color w:val="000000"/>
          <w:sz w:val="18"/>
          <w:szCs w:val="18"/>
          <w:highlight w:val="green"/>
        </w:rPr>
      </w:pPr>
    </w:p>
    <w:p>
      <w:pPr>
        <w:pStyle w:val="80"/>
        <w:keepNext w:val="0"/>
        <w:numPr>
          <w:ilvl w:val="0"/>
          <w:numId w:val="13"/>
        </w:numPr>
        <w:rPr>
          <w:rFonts w:ascii="Verdana" w:hAnsi="Verdana"/>
          <w:b/>
          <w:color w:val="000000"/>
          <w:sz w:val="18"/>
          <w:szCs w:val="18"/>
        </w:rPr>
      </w:pPr>
      <w:r>
        <w:rPr>
          <w:rFonts w:ascii="Verdana" w:hAnsi="Verdana" w:cs="Arial"/>
          <w:b/>
          <w:bCs/>
          <w:color w:val="000000"/>
          <w:sz w:val="18"/>
          <w:szCs w:val="18"/>
          <w:lang w:eastAsia="en-US"/>
        </w:rPr>
        <w:t>DA ACEITABILIDADE DA PROPOSTA VENCEDORA</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lang w:eastAsia="en-US"/>
        </w:rPr>
        <w:t>Após</w:t>
      </w:r>
      <w:r>
        <w:rPr>
          <w:rFonts w:ascii="Verdana" w:hAnsi="Verdana" w:cs="Arial"/>
          <w:color w:val="000000"/>
          <w:sz w:val="18"/>
          <w:szCs w:val="18"/>
        </w:rPr>
        <w:t xml:space="preserve"> o encerramento da fase de apresentação de propostas, o sistema classificará as propostas por ordem de maior vantajosidade para a Administração, visando gerar economia aos cofres públicos e proporcionar eficiência e qualidade aos serviços.</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A Comissão do RDC poderá negociar com o licitante melhor classificado condições mais vantajosas.</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A negociação acima poderá ser feita com os demais licitantes, segundo a ordem de classificação, quando o primeiro colocado, após a negociação, for desclassificado por sua proposta não atender as condições do edital ou permanecer superior ao orçamento estimado.</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A negociação será realizada por meio do sistema, podendo ser acompanhada pelos demais licitantes.</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 xml:space="preserve">Durante a realização deste RDC Eletrônico, a comunicação com a Comissão do RDC dar-se-á exclusivamente por meio de troca de mensagens, via </w:t>
      </w:r>
      <w:r>
        <w:rPr>
          <w:rFonts w:ascii="Verdana" w:hAnsi="Verdana" w:cs="Times-Italic"/>
          <w:i/>
          <w:iCs/>
          <w:sz w:val="18"/>
          <w:szCs w:val="18"/>
        </w:rPr>
        <w:t xml:space="preserve">chat </w:t>
      </w:r>
      <w:r>
        <w:rPr>
          <w:rFonts w:ascii="Verdana" w:hAnsi="Verdana" w:cs="Times-Roman"/>
          <w:sz w:val="18"/>
          <w:szCs w:val="18"/>
        </w:rPr>
        <w:t xml:space="preserve">do sistema eletrônico COMPRASNET, ou quando for o caso e o momento oportuno, pelo endereço eletrônico indicado neste Edital. </w:t>
      </w:r>
      <w:r>
        <w:rPr>
          <w:rFonts w:ascii="Verdana" w:hAnsi="Verdana" w:cs="Times-Bold"/>
          <w:bCs/>
          <w:sz w:val="18"/>
          <w:szCs w:val="18"/>
        </w:rPr>
        <w:t>Não se admitirá contato por telefone ou qualquer outro meio</w:t>
      </w:r>
      <w:r>
        <w:rPr>
          <w:rFonts w:ascii="Verdana" w:hAnsi="Verdana" w:cs="Times-Roman"/>
          <w:sz w:val="18"/>
          <w:szCs w:val="18"/>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No caso de desconexão, a licitante deverá providenciar imediatamente, sob sua inteira responsabilidade, sua reconexão com o sistema eletrônico.</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Arial"/>
          <w:sz w:val="18"/>
          <w:szCs w:val="18"/>
        </w:rPr>
        <w:t>Todas as especificações do objeto contidas na proposta vinculam a Contratada.</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A economicidade da proposta será aferida com base nos custos globais e unitários, conforme art. 42, do Decreto nº 7.581/2011.</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pPr>
        <w:pStyle w:val="80"/>
        <w:keepNext w:val="0"/>
        <w:numPr>
          <w:ilvl w:val="1"/>
          <w:numId w:val="13"/>
        </w:numPr>
        <w:ind w:left="851" w:hanging="284"/>
        <w:rPr>
          <w:rFonts w:ascii="Verdana" w:hAnsi="Verdana" w:cs="Arial"/>
          <w:sz w:val="18"/>
          <w:szCs w:val="18"/>
        </w:rPr>
      </w:pPr>
      <w:r>
        <w:rPr>
          <w:rFonts w:ascii="Verdana" w:hAnsi="Verdana" w:cs="Arial"/>
          <w:color w:val="000000"/>
          <w:sz w:val="18"/>
          <w:szCs w:val="18"/>
        </w:rPr>
        <w:t xml:space="preserve">Será </w:t>
      </w:r>
      <w:r>
        <w:rPr>
          <w:rFonts w:ascii="Verdana" w:hAnsi="Verdana" w:cs="Arial"/>
          <w:sz w:val="18"/>
          <w:szCs w:val="18"/>
        </w:rPr>
        <w:t>desclassificada a proposta que:</w:t>
      </w:r>
    </w:p>
    <w:p>
      <w:pPr>
        <w:pStyle w:val="80"/>
        <w:keepNext w:val="0"/>
        <w:numPr>
          <w:ilvl w:val="2"/>
          <w:numId w:val="13"/>
        </w:numPr>
        <w:rPr>
          <w:rFonts w:ascii="Verdana" w:hAnsi="Verdana" w:cs="Arial"/>
          <w:sz w:val="18"/>
          <w:szCs w:val="18"/>
        </w:rPr>
      </w:pPr>
      <w:r>
        <w:rPr>
          <w:rFonts w:ascii="Verdana" w:hAnsi="Verdana" w:cs="Arial"/>
          <w:sz w:val="18"/>
          <w:szCs w:val="18"/>
        </w:rPr>
        <w:t>- contenha vícios insanáveis;</w:t>
      </w:r>
    </w:p>
    <w:p>
      <w:pPr>
        <w:pStyle w:val="80"/>
        <w:keepNext w:val="0"/>
        <w:numPr>
          <w:ilvl w:val="2"/>
          <w:numId w:val="13"/>
        </w:numPr>
        <w:rPr>
          <w:rFonts w:ascii="Verdana" w:hAnsi="Verdana" w:cs="Arial"/>
          <w:sz w:val="18"/>
          <w:szCs w:val="18"/>
        </w:rPr>
      </w:pPr>
      <w:r>
        <w:rPr>
          <w:rFonts w:ascii="Verdana" w:hAnsi="Verdana" w:cs="Arial"/>
          <w:sz w:val="18"/>
          <w:szCs w:val="18"/>
        </w:rPr>
        <w:t>- não obedeça às especificações técnicas previstas no instrumento convocatório;</w:t>
      </w:r>
    </w:p>
    <w:p>
      <w:pPr>
        <w:pStyle w:val="80"/>
        <w:keepNext w:val="0"/>
        <w:numPr>
          <w:ilvl w:val="2"/>
          <w:numId w:val="13"/>
        </w:numPr>
        <w:rPr>
          <w:rFonts w:ascii="Verdana" w:hAnsi="Verdana" w:cs="Arial"/>
          <w:sz w:val="18"/>
          <w:szCs w:val="18"/>
        </w:rPr>
      </w:pPr>
      <w:r>
        <w:rPr>
          <w:rFonts w:ascii="Verdana" w:hAnsi="Verdana" w:cs="Arial"/>
          <w:sz w:val="18"/>
          <w:szCs w:val="18"/>
        </w:rPr>
        <w:t>- apresente preço manifestamente inexequível ou permaneça acima do orçamento estimado para a contratação;</w:t>
      </w:r>
    </w:p>
    <w:p>
      <w:pPr>
        <w:pStyle w:val="80"/>
        <w:keepNext w:val="0"/>
        <w:numPr>
          <w:ilvl w:val="2"/>
          <w:numId w:val="13"/>
        </w:numPr>
        <w:rPr>
          <w:rFonts w:ascii="Verdana" w:hAnsi="Verdana" w:cs="Arial"/>
          <w:sz w:val="18"/>
          <w:szCs w:val="18"/>
        </w:rPr>
      </w:pPr>
      <w:r>
        <w:rPr>
          <w:rFonts w:ascii="Verdana" w:hAnsi="Verdana" w:cs="Arial"/>
          <w:sz w:val="18"/>
          <w:szCs w:val="18"/>
        </w:rPr>
        <w:t>- não tenha sua exequibilidade demonstrada, quando exigido pela administração pública; ou</w:t>
      </w:r>
    </w:p>
    <w:p>
      <w:pPr>
        <w:pStyle w:val="80"/>
        <w:keepNext w:val="0"/>
        <w:numPr>
          <w:ilvl w:val="2"/>
          <w:numId w:val="13"/>
        </w:numPr>
        <w:rPr>
          <w:rFonts w:ascii="Verdana" w:hAnsi="Verdana" w:cs="Arial"/>
          <w:sz w:val="18"/>
          <w:szCs w:val="18"/>
        </w:rPr>
      </w:pPr>
      <w:r>
        <w:rPr>
          <w:rFonts w:ascii="Verdana" w:hAnsi="Verdana" w:cs="Arial"/>
          <w:sz w:val="18"/>
          <w:szCs w:val="18"/>
        </w:rPr>
        <w:t>- apresente desconformidade com quaisquer outras exigências do instrumento convocatório, desde</w:t>
      </w:r>
      <w:r>
        <w:rPr>
          <w:rFonts w:ascii="Verdana" w:hAnsi="Verdana" w:eastAsia="Times New Roman" w:cs="Arial"/>
          <w:color w:val="000000"/>
          <w:sz w:val="18"/>
          <w:szCs w:val="18"/>
          <w:lang w:eastAsia="pt-BR"/>
        </w:rPr>
        <w:t xml:space="preserve"> que insanável, incluindo previsão de oferta de vantagem não prevista no edital (</w:t>
      </w:r>
      <w:r>
        <w:rPr>
          <w:rFonts w:ascii="Verdana" w:hAnsi="Verdana" w:cs="Arial"/>
          <w:sz w:val="18"/>
          <w:szCs w:val="18"/>
        </w:rPr>
        <w:t>tais quais financiamentos subsidiados ou a fundo perdido) ou apresentação de preço ou vantagem baseada nas ofertas dos demais licitantes.</w:t>
      </w:r>
    </w:p>
    <w:p>
      <w:pPr>
        <w:pStyle w:val="80"/>
        <w:keepNext w:val="0"/>
        <w:numPr>
          <w:ilvl w:val="1"/>
          <w:numId w:val="13"/>
        </w:numPr>
        <w:ind w:left="851" w:hanging="284"/>
        <w:rPr>
          <w:rFonts w:ascii="Verdana" w:hAnsi="Verdana" w:cs="Arial"/>
          <w:color w:val="000000"/>
          <w:sz w:val="18"/>
          <w:szCs w:val="18"/>
        </w:rPr>
      </w:pPr>
      <w:r>
        <w:rPr>
          <w:rFonts w:ascii="Verdana" w:hAnsi="Verdana" w:cs="Arial"/>
          <w:sz w:val="18"/>
          <w:szCs w:val="18"/>
        </w:rPr>
        <w:t>Consideram</w:t>
      </w:r>
      <w:r>
        <w:rPr>
          <w:rFonts w:ascii="Verdana" w:hAnsi="Verdana" w:cs="Arial"/>
          <w:color w:val="000000"/>
          <w:sz w:val="18"/>
          <w:szCs w:val="18"/>
        </w:rPr>
        <w:t xml:space="preserve">-se inexequíveis as propostas com valores globais inferiores a </w:t>
      </w:r>
      <w:r>
        <w:rPr>
          <w:rFonts w:ascii="Verdana" w:hAnsi="Verdana" w:cs="Arial"/>
          <w:b/>
          <w:bCs/>
          <w:color w:val="000000"/>
          <w:sz w:val="18"/>
          <w:szCs w:val="18"/>
        </w:rPr>
        <w:t xml:space="preserve">70% (setenta por cento) </w:t>
      </w:r>
      <w:r>
        <w:rPr>
          <w:rFonts w:ascii="Verdana" w:hAnsi="Verdana" w:cs="Arial"/>
          <w:color w:val="000000"/>
          <w:sz w:val="18"/>
          <w:szCs w:val="18"/>
        </w:rPr>
        <w:t>do menor dos seguintes valores:</w:t>
      </w:r>
    </w:p>
    <w:p>
      <w:pPr>
        <w:pStyle w:val="80"/>
        <w:keepNext w:val="0"/>
        <w:numPr>
          <w:ilvl w:val="2"/>
          <w:numId w:val="14"/>
        </w:numPr>
        <w:rPr>
          <w:rFonts w:ascii="Verdana" w:hAnsi="Verdana" w:cs="Arial"/>
          <w:sz w:val="18"/>
          <w:szCs w:val="18"/>
        </w:rPr>
      </w:pPr>
      <w:r>
        <w:rPr>
          <w:rFonts w:ascii="Verdana" w:hAnsi="Verdana" w:cs="Arial"/>
          <w:sz w:val="18"/>
          <w:szCs w:val="18"/>
        </w:rPr>
        <w:t>Média aritmética dos valores das propostas superiores a 50% (cinquenta por cento) do valor do orçamento estimado pela administração pública, ou,</w:t>
      </w:r>
    </w:p>
    <w:p>
      <w:pPr>
        <w:pStyle w:val="80"/>
        <w:keepNext w:val="0"/>
        <w:numPr>
          <w:ilvl w:val="2"/>
          <w:numId w:val="14"/>
        </w:numPr>
        <w:rPr>
          <w:rFonts w:ascii="Verdana" w:hAnsi="Verdana" w:cs="Arial"/>
          <w:sz w:val="18"/>
          <w:szCs w:val="18"/>
        </w:rPr>
      </w:pPr>
      <w:r>
        <w:rPr>
          <w:rFonts w:ascii="Verdana" w:hAnsi="Verdana" w:cs="Arial"/>
          <w:sz w:val="18"/>
          <w:szCs w:val="18"/>
        </w:rPr>
        <w:t>Valor do orçamento estimado pela Administração Pública.</w:t>
      </w:r>
    </w:p>
    <w:p>
      <w:pPr>
        <w:pStyle w:val="80"/>
        <w:keepNext w:val="0"/>
        <w:numPr>
          <w:ilvl w:val="2"/>
          <w:numId w:val="13"/>
        </w:numPr>
        <w:rPr>
          <w:rFonts w:ascii="Verdana" w:hAnsi="Verdana" w:cs="Arial"/>
          <w:sz w:val="18"/>
          <w:szCs w:val="18"/>
        </w:rPr>
      </w:pPr>
      <w:r>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pPr>
        <w:pStyle w:val="80"/>
        <w:keepNext w:val="0"/>
        <w:numPr>
          <w:ilvl w:val="2"/>
          <w:numId w:val="13"/>
        </w:numPr>
        <w:rPr>
          <w:rFonts w:ascii="Verdana" w:hAnsi="Verdana" w:cs="Arial"/>
          <w:sz w:val="18"/>
          <w:szCs w:val="18"/>
        </w:rPr>
      </w:pPr>
      <w:r>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pPr>
        <w:pStyle w:val="80"/>
        <w:keepNext w:val="0"/>
        <w:numPr>
          <w:ilvl w:val="2"/>
          <w:numId w:val="13"/>
        </w:numPr>
        <w:rPr>
          <w:rFonts w:ascii="Verdana" w:hAnsi="Verdana" w:cs="Arial"/>
          <w:color w:val="000000"/>
          <w:sz w:val="18"/>
          <w:szCs w:val="18"/>
        </w:rPr>
      </w:pPr>
      <w:r>
        <w:rPr>
          <w:rFonts w:ascii="Verdana" w:hAnsi="Verdana" w:cs="Arial"/>
          <w:color w:val="000000"/>
          <w:sz w:val="18"/>
          <w:szCs w:val="18"/>
        </w:rPr>
        <w:t xml:space="preserve">Sem prejuízo do disposto no item anterior, a </w:t>
      </w:r>
      <w:r>
        <w:rPr>
          <w:rFonts w:ascii="Verdana" w:hAnsi="Verdana" w:cs="Arial"/>
          <w:sz w:val="18"/>
          <w:szCs w:val="18"/>
        </w:rPr>
        <w:t>Comissão</w:t>
      </w:r>
      <w:r>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pPr>
        <w:pStyle w:val="80"/>
        <w:keepNext w:val="0"/>
        <w:numPr>
          <w:ilvl w:val="1"/>
          <w:numId w:val="13"/>
        </w:numPr>
        <w:ind w:left="851" w:hanging="284"/>
        <w:rPr>
          <w:rFonts w:ascii="Verdana" w:hAnsi="Verdana" w:cs="Arial"/>
          <w:sz w:val="18"/>
          <w:szCs w:val="18"/>
        </w:rPr>
      </w:pPr>
      <w:r>
        <w:rPr>
          <w:rFonts w:ascii="Verdana" w:hAnsi="Verdana" w:cs="Arial"/>
          <w:color w:val="000000"/>
          <w:sz w:val="18"/>
          <w:szCs w:val="18"/>
          <w:lang w:eastAsia="en-US"/>
        </w:rPr>
        <w:t xml:space="preserve">Eventual convocação do licitante para envio de documento digital, será por meio de </w:t>
      </w:r>
      <w:r>
        <w:rPr>
          <w:rFonts w:ascii="Verdana" w:hAnsi="Verdana" w:cs="Arial"/>
          <w:sz w:val="18"/>
          <w:szCs w:val="18"/>
        </w:rPr>
        <w:t>funcionalidade</w:t>
      </w:r>
      <w:r>
        <w:rPr>
          <w:rFonts w:ascii="Verdana" w:hAnsi="Verdana" w:cs="Arial"/>
          <w:color w:val="000000"/>
          <w:sz w:val="18"/>
          <w:szCs w:val="18"/>
          <w:lang w:eastAsia="en-US"/>
        </w:rPr>
        <w:t xml:space="preserve"> disponível no sistema, estabelecendo no “chat” prazo mínimo de 02</w:t>
      </w:r>
      <w:r>
        <w:rPr>
          <w:rFonts w:ascii="Verdana" w:hAnsi="Verdana" w:cs="Arial"/>
          <w:sz w:val="18"/>
          <w:szCs w:val="18"/>
          <w:lang w:eastAsia="en-US"/>
        </w:rPr>
        <w:t xml:space="preserve"> (duas) horas</w:t>
      </w:r>
      <w:r>
        <w:rPr>
          <w:rFonts w:ascii="Verdana" w:hAnsi="Verdana" w:cs="Arial"/>
          <w:color w:val="000000"/>
          <w:sz w:val="18"/>
          <w:szCs w:val="18"/>
          <w:lang w:eastAsia="en-US"/>
        </w:rPr>
        <w:t>, sob pena de não aceitação da proposta.</w:t>
      </w:r>
    </w:p>
    <w:p>
      <w:pPr>
        <w:pStyle w:val="80"/>
        <w:keepNext w:val="0"/>
        <w:numPr>
          <w:ilvl w:val="2"/>
          <w:numId w:val="13"/>
        </w:numPr>
        <w:rPr>
          <w:rFonts w:ascii="Verdana" w:hAnsi="Verdana" w:cs="Arial"/>
          <w:color w:val="000000"/>
          <w:sz w:val="18"/>
          <w:szCs w:val="18"/>
          <w:lang w:eastAsia="en-US"/>
        </w:rPr>
      </w:pPr>
      <w:r>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Pr>
          <w:rFonts w:ascii="Verdana" w:hAnsi="Verdana" w:cs="Arial"/>
          <w:sz w:val="18"/>
          <w:szCs w:val="18"/>
          <w:lang w:eastAsia="en-US"/>
        </w:rPr>
        <w:t xml:space="preserve">mínimo, </w:t>
      </w:r>
      <w:r>
        <w:rPr>
          <w:rFonts w:ascii="Verdana" w:hAnsi="Verdana" w:cs="Arial"/>
          <w:iCs/>
          <w:sz w:val="18"/>
          <w:szCs w:val="18"/>
          <w:lang w:eastAsia="en-US"/>
        </w:rPr>
        <w:t>vinte e quatro horas de antecedência</w:t>
      </w:r>
      <w:r>
        <w:rPr>
          <w:rFonts w:ascii="Verdana" w:hAnsi="Verdana" w:cs="Arial"/>
          <w:sz w:val="18"/>
          <w:szCs w:val="18"/>
          <w:lang w:eastAsia="en-US"/>
        </w:rPr>
        <w:t>, e a ocorrência será registrada em</w:t>
      </w:r>
      <w:r>
        <w:rPr>
          <w:rFonts w:ascii="Verdana" w:hAnsi="Verdana" w:cs="Arial"/>
          <w:color w:val="000000"/>
          <w:sz w:val="18"/>
          <w:szCs w:val="18"/>
          <w:lang w:eastAsia="en-US"/>
        </w:rPr>
        <w:t xml:space="preserve"> ata.</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Havendo necessidade, a Comissão de Licitação suspenderá a sessão, informando no “chat” a nova data e horário para a sua continuidade.</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Encerrada a análise quanto à aceitação da proposta, a Comissão verificará a habilitação do licitante, observado o disposto neste Edital.</w:t>
      </w:r>
    </w:p>
    <w:p>
      <w:pPr>
        <w:pStyle w:val="80"/>
        <w:keepNext w:val="0"/>
        <w:ind w:left="1287" w:firstLine="0"/>
        <w:rPr>
          <w:rFonts w:ascii="Verdana" w:hAnsi="Verdana" w:cs="Arial"/>
          <w:color w:val="000000"/>
          <w:sz w:val="18"/>
          <w:szCs w:val="18"/>
        </w:rPr>
      </w:pPr>
    </w:p>
    <w:p>
      <w:pPr>
        <w:pStyle w:val="67"/>
        <w:keepNext w:val="0"/>
        <w:numPr>
          <w:ilvl w:val="0"/>
          <w:numId w:val="13"/>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b/>
          <w:sz w:val="18"/>
          <w:szCs w:val="18"/>
        </w:rPr>
        <w:t>DO ENVIO DA DOCUMENTAÇÃO DE PROPOSTA</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Bold"/>
          <w:bCs/>
          <w:sz w:val="18"/>
          <w:szCs w:val="18"/>
        </w:rPr>
        <w:t>A licitante considerada vencedora será convocada a enviar pelo sistema eletrônico COMPRASNET, a documentação de proposta, adaptada ao valor do último lance de desconto proposto, os seguintes documentos:</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carta com a proposta comercial, conforme modelo do anexo VI;</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de custos e formação de preços contendo o orçamento dos serviços, conforme modelo do anexo III-A;</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contendo o cronograma físico e financeiro, conforme modelo do anexo III-B;</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com o detalhamento dos Benefícios/Bonificações e Despesas Indiretas (BDI) ou Lucro e Despesas Indiretas (LDI), conforme modelo do anexo IV;</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Bold"/>
          <w:bCs/>
          <w:sz w:val="18"/>
          <w:szCs w:val="18"/>
        </w:rPr>
        <w:t>– A planilha com detalhamento dos encargos sociais e obrigações trabalhistas, conforme modelo do anexo V-A e V-B;</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Termo de Realização de Vistoria ou de não realização de vistoria, conforme modelos dos anexos VII ou VIII; e</w:t>
      </w:r>
    </w:p>
    <w:p>
      <w:pPr>
        <w:pStyle w:val="67"/>
        <w:keepNext w:val="0"/>
        <w:numPr>
          <w:ilvl w:val="0"/>
          <w:numId w:val="15"/>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Pr>
          <w:rFonts w:ascii="Verdana" w:hAnsi="Verdana" w:cs="Times-Roman"/>
          <w:sz w:val="18"/>
          <w:szCs w:val="18"/>
        </w:rPr>
        <w:t>– Declaração de Responsabilidade, conforme modelo do Anexo IX.</w:t>
      </w:r>
    </w:p>
    <w:p>
      <w:pPr>
        <w:pStyle w:val="67"/>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 vencedora deverá encaminhar tempestivamente os documentos supracitados pelo sistema eletrônico, no prazo a ser estipulado de no mínimo 02 (duas) horas, quando solicitado pela Comissão do RDC, podendo este prazo ser prorrogado a critério da CPL, desde que solicitado pela licitante.</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 xml:space="preserve">Dentro do prazo a ser estabelecido pela Comissão do RDC, poderão ser remetidos, por iniciativa da licitante, tantos quantos forem os documentos complementares ou retificadores afetos aos documentos solicitados no </w:t>
      </w:r>
      <w:r>
        <w:rPr>
          <w:rFonts w:ascii="Verdana" w:hAnsi="Verdana" w:cs="Times-Italic"/>
          <w:i/>
          <w:iCs/>
          <w:sz w:val="18"/>
          <w:szCs w:val="18"/>
        </w:rPr>
        <w:t>caput</w:t>
      </w:r>
      <w:r>
        <w:rPr>
          <w:rFonts w:ascii="Verdana" w:hAnsi="Verdana" w:cs="Times-Roman"/>
          <w:sz w:val="18"/>
          <w:szCs w:val="18"/>
        </w:rPr>
        <w:t>.</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Neste caso, a licitante deve manifestar o desejo de envio de nova documentação, </w:t>
      </w:r>
      <w:r>
        <w:rPr>
          <w:rFonts w:ascii="Verdana" w:hAnsi="Verdana" w:cs="Times-Bold"/>
          <w:bCs/>
          <w:sz w:val="18"/>
          <w:szCs w:val="18"/>
        </w:rPr>
        <w:t xml:space="preserve">através do </w:t>
      </w:r>
      <w:r>
        <w:rPr>
          <w:rFonts w:ascii="Verdana" w:hAnsi="Verdana" w:cs="Times-BoldItalic"/>
          <w:bCs/>
          <w:i/>
          <w:iCs/>
          <w:sz w:val="18"/>
          <w:szCs w:val="18"/>
        </w:rPr>
        <w:t xml:space="preserve">chat </w:t>
      </w:r>
      <w:r>
        <w:rPr>
          <w:rFonts w:ascii="Verdana" w:hAnsi="Verdana" w:cs="Times-Bold"/>
          <w:bCs/>
          <w:sz w:val="18"/>
          <w:szCs w:val="18"/>
        </w:rPr>
        <w:t>do sistema</w:t>
      </w:r>
      <w:r>
        <w:rPr>
          <w:rFonts w:ascii="Verdana" w:hAnsi="Verdana" w:cs="Times-Roman"/>
          <w:sz w:val="18"/>
          <w:szCs w:val="18"/>
        </w:rPr>
        <w:t xml:space="preserve">, hipótese em que a Comissão do RDC fará, </w:t>
      </w:r>
      <w:r>
        <w:rPr>
          <w:rFonts w:ascii="Verdana" w:hAnsi="Verdana" w:cs="Times-Bold"/>
          <w:bCs/>
          <w:sz w:val="18"/>
          <w:szCs w:val="18"/>
        </w:rPr>
        <w:t>caso seja necessário</w:t>
      </w:r>
      <w:r>
        <w:rPr>
          <w:rFonts w:ascii="Verdana" w:hAnsi="Verdana" w:cs="Times-Roman"/>
          <w:sz w:val="18"/>
          <w:szCs w:val="18"/>
        </w:rPr>
        <w:t>, novo uso da funcionalidade “Convocar Anexo”.</w:t>
      </w:r>
    </w:p>
    <w:p>
      <w:pPr>
        <w:keepNext w:val="0"/>
        <w:numPr>
          <w:ilvl w:val="2"/>
          <w:numId w:val="13"/>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r>
        <w:fldChar w:fldCharType="begin"/>
      </w:r>
      <w:r>
        <w:instrText xml:space="preserve"> HYPERLINK "mailto:cpl@id.uff.br" </w:instrText>
      </w:r>
      <w:r>
        <w:fldChar w:fldCharType="separate"/>
      </w:r>
      <w:r>
        <w:rPr>
          <w:rStyle w:val="12"/>
          <w:rFonts w:ascii="Verdana" w:hAnsi="Verdana" w:cs="Times-Roman"/>
          <w:sz w:val="18"/>
          <w:szCs w:val="18"/>
        </w:rPr>
        <w:t>rdc.cli.proad@id.uff.br</w:t>
      </w:r>
      <w:r>
        <w:rPr>
          <w:rStyle w:val="12"/>
          <w:rFonts w:ascii="Verdana" w:hAnsi="Verdana" w:cs="Times-Roman"/>
          <w:sz w:val="18"/>
          <w:szCs w:val="18"/>
        </w:rPr>
        <w:fldChar w:fldCharType="end"/>
      </w:r>
      <w:r>
        <w:rPr>
          <w:rStyle w:val="12"/>
          <w:rFonts w:ascii="Verdana" w:hAnsi="Verdana" w:cs="Times-Roman"/>
          <w:sz w:val="18"/>
          <w:szCs w:val="18"/>
        </w:rPr>
        <w:t>.</w:t>
      </w:r>
      <w:r>
        <w:rPr>
          <w:rFonts w:ascii="Verdana" w:hAnsi="Verdana" w:cs="Times-Roman"/>
          <w:sz w:val="18"/>
          <w:szCs w:val="18"/>
        </w:rPr>
        <w:t>. Posteriormente, tal documentação deverá obrigatoriamente ser lançada no chat do sistema eletrônico para ser conhecida por todos os participantes.</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anteriormente, sendo realizado, pela Comissão do RDC, o registro da recusa da proposta e a convocação da próxima licitante.</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 xml:space="preserve">A licitante vencedora poderá, </w:t>
      </w:r>
      <w:r>
        <w:rPr>
          <w:rFonts w:ascii="Verdana" w:hAnsi="Verdana" w:cs="Times-Bold"/>
          <w:bCs/>
          <w:sz w:val="18"/>
          <w:szCs w:val="18"/>
        </w:rPr>
        <w:t>opcionalmente</w:t>
      </w:r>
      <w:r>
        <w:rPr>
          <w:rFonts w:ascii="Verdana" w:hAnsi="Verdana" w:cs="Times-Roman"/>
          <w:sz w:val="18"/>
          <w:szCs w:val="18"/>
        </w:rPr>
        <w:t xml:space="preserve">, antecipar o envio de sua </w:t>
      </w:r>
      <w:r>
        <w:rPr>
          <w:rFonts w:ascii="Verdana" w:hAnsi="Verdana" w:cs="Times-Bold"/>
          <w:bCs/>
          <w:sz w:val="18"/>
          <w:szCs w:val="18"/>
        </w:rPr>
        <w:t>documentação de</w:t>
      </w:r>
      <w:r>
        <w:rPr>
          <w:rFonts w:ascii="Verdana" w:hAnsi="Verdana" w:cs="Times-Roman"/>
          <w:sz w:val="18"/>
          <w:szCs w:val="18"/>
        </w:rPr>
        <w:t xml:space="preserve"> </w:t>
      </w:r>
      <w:r>
        <w:rPr>
          <w:rFonts w:ascii="Verdana" w:hAnsi="Verdana" w:cs="Times-Bold"/>
          <w:bCs/>
          <w:sz w:val="18"/>
          <w:szCs w:val="18"/>
        </w:rPr>
        <w:t>habilitação dentro do mesmo prazo estipulado para o envio da proposta</w:t>
      </w:r>
      <w:r>
        <w:rPr>
          <w:rFonts w:ascii="Verdana" w:hAnsi="Verdana" w:cs="Times-Roman"/>
          <w:sz w:val="18"/>
          <w:szCs w:val="18"/>
        </w:rPr>
        <w:t xml:space="preserve">, observando-se as orientações elencadas neste </w:t>
      </w:r>
      <w:r>
        <w:rPr>
          <w:rFonts w:ascii="Verdana" w:hAnsi="Verdana" w:cs="Times-Bold"/>
          <w:bCs/>
          <w:sz w:val="18"/>
          <w:szCs w:val="18"/>
        </w:rPr>
        <w:t>item</w:t>
      </w:r>
      <w:r>
        <w:rPr>
          <w:rFonts w:ascii="Verdana" w:hAnsi="Verdana" w:cs="Times-Roman"/>
          <w:sz w:val="18"/>
          <w:szCs w:val="18"/>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desclassificada/inabilitada</w:t>
      </w:r>
      <w:r>
        <w:rPr>
          <w:rFonts w:ascii="Verdana" w:hAnsi="Verdana" w:cs="Times-Roman"/>
          <w:sz w:val="18"/>
          <w:szCs w:val="18"/>
        </w:rPr>
        <w:t xml:space="preserve">, não se admitindo complementação posterior, </w:t>
      </w:r>
      <w:r>
        <w:rPr>
          <w:rFonts w:ascii="Verdana" w:hAnsi="Verdana" w:cs="Times-Bold"/>
          <w:bCs/>
          <w:sz w:val="18"/>
          <w:szCs w:val="18"/>
        </w:rPr>
        <w:t xml:space="preserve">salvo se motivada por alguma diligência de ordem técnica da </w:t>
      </w:r>
      <w:r>
        <w:rPr>
          <w:rFonts w:ascii="Verdana" w:hAnsi="Verdana" w:cs="Times-Roman"/>
          <w:sz w:val="18"/>
          <w:szCs w:val="18"/>
        </w:rPr>
        <w:t>Comissão do RDC</w:t>
      </w:r>
      <w:r>
        <w:rPr>
          <w:rFonts w:ascii="Verdana" w:hAnsi="Verdana" w:cs="Times-Bold"/>
          <w:bCs/>
          <w:sz w:val="18"/>
          <w:szCs w:val="18"/>
        </w:rPr>
        <w:t>, desde que não altere a formulação da proposta</w:t>
      </w:r>
      <w:r>
        <w:rPr>
          <w:rFonts w:ascii="Verdana" w:hAnsi="Verdana" w:cs="Times-Roman"/>
          <w:sz w:val="18"/>
          <w:szCs w:val="18"/>
        </w:rPr>
        <w:t>.</w:t>
      </w:r>
    </w:p>
    <w:p>
      <w:pPr>
        <w:keepNext w:val="0"/>
        <w:numPr>
          <w:ilvl w:val="1"/>
          <w:numId w:val="13"/>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pPr>
        <w:pStyle w:val="80"/>
        <w:keepNext w:val="0"/>
        <w:numPr>
          <w:ilvl w:val="1"/>
          <w:numId w:val="13"/>
        </w:numPr>
        <w:ind w:left="851" w:hanging="284"/>
        <w:rPr>
          <w:rFonts w:ascii="Verdana" w:hAnsi="Verdana" w:cs="Arial"/>
          <w:sz w:val="18"/>
          <w:szCs w:val="18"/>
          <w:u w:val="single"/>
        </w:rPr>
      </w:pPr>
      <w:r>
        <w:rPr>
          <w:rFonts w:ascii="Verdana" w:hAnsi="Verdana" w:cs="Times-Roman"/>
          <w:sz w:val="18"/>
          <w:szCs w:val="18"/>
        </w:rPr>
        <w:t>Feita a opção pela antecipação, caso reste algum documento pendente de habilitação, este poderá ser solicitado posteriormente pela Comissão do RDC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pPr>
        <w:pStyle w:val="80"/>
        <w:keepNext w:val="0"/>
        <w:numPr>
          <w:ilvl w:val="1"/>
          <w:numId w:val="13"/>
        </w:numPr>
        <w:ind w:left="851" w:hanging="284"/>
        <w:rPr>
          <w:rFonts w:ascii="Verdana" w:hAnsi="Verdana" w:cs="Arial"/>
          <w:sz w:val="18"/>
          <w:szCs w:val="18"/>
          <w:u w:val="single"/>
        </w:rPr>
      </w:pPr>
      <w:r>
        <w:rPr>
          <w:rFonts w:ascii="Verdana" w:hAnsi="Verdana" w:cs="Arial"/>
          <w:sz w:val="18"/>
          <w:szCs w:val="18"/>
          <w:u w:val="single"/>
        </w:rPr>
        <w:t>Formato da documentação de proposta a ser enviada:</w:t>
      </w:r>
    </w:p>
    <w:p>
      <w:pPr>
        <w:pStyle w:val="80"/>
        <w:keepNext w:val="0"/>
        <w:numPr>
          <w:ilvl w:val="2"/>
          <w:numId w:val="13"/>
        </w:numPr>
        <w:ind w:left="1134" w:hanging="283"/>
        <w:rPr>
          <w:rFonts w:ascii="Verdana" w:hAnsi="Verdana" w:cs="Arial"/>
          <w:sz w:val="18"/>
          <w:szCs w:val="18"/>
          <w:u w:val="single"/>
        </w:rPr>
      </w:pPr>
      <w:r>
        <w:rPr>
          <w:rFonts w:ascii="Verdana" w:hAnsi="Verdana" w:cs="Arial"/>
          <w:b/>
          <w:sz w:val="18"/>
          <w:szCs w:val="18"/>
          <w:u w:val="single"/>
        </w:rPr>
        <w:t>Carta proposta</w:t>
      </w:r>
      <w:r>
        <w:rPr>
          <w:rFonts w:ascii="Verdana" w:hAnsi="Verdana" w:cs="Arial"/>
          <w:sz w:val="18"/>
          <w:szCs w:val="18"/>
          <w:u w:val="single"/>
        </w:rPr>
        <w:t>:</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A carta proposta ajustada ao lance vencedor, deverá ser encaminhada via sistema, redigida em língua portuguesa, com clareza, sem emendas, rasuras, acréscimos ou entrelinhas, devidamente datada e assinada, como também rubricadas todas as suas folhas pela licitante ou seu representante, na forma do modelo do anexo VI a este edital e deverá conter:</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especificação do objeto de forma clara, observadas as especificações constantes dos projetos elaborados pela Administração;</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sz w:val="18"/>
          <w:szCs w:val="18"/>
        </w:rPr>
        <w:t xml:space="preserve">- </w:t>
      </w:r>
      <w:r>
        <w:rPr>
          <w:rFonts w:ascii="Verdana" w:hAnsi="Verdana" w:cs="Times-Bold"/>
          <w:bCs/>
          <w:sz w:val="18"/>
          <w:szCs w:val="18"/>
        </w:rPr>
        <w:t>o valor do desconto proposto em percentual;</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valor total proposto em moeda nacional em algarismo e por extenso;</w:t>
      </w:r>
    </w:p>
    <w:p>
      <w:pPr>
        <w:keepNext w:val="0"/>
        <w:numPr>
          <w:ilvl w:val="4"/>
          <w:numId w:val="13"/>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Times-Bold"/>
          <w:bCs/>
          <w:sz w:val="18"/>
          <w:szCs w:val="18"/>
        </w:rPr>
        <w:t>– o prazo para execução dos serviços de acordo com o cronograma;</w:t>
      </w:r>
    </w:p>
    <w:p>
      <w:pPr>
        <w:pStyle w:val="67"/>
        <w:keepNext w:val="0"/>
        <w:numPr>
          <w:ilvl w:val="4"/>
          <w:numId w:val="13"/>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Times-Bold"/>
          <w:bCs/>
          <w:sz w:val="18"/>
          <w:szCs w:val="18"/>
        </w:rPr>
        <w:t>– p</w:t>
      </w:r>
      <w:r>
        <w:rPr>
          <w:rFonts w:ascii="Verdana" w:hAnsi="Verdana" w:cs="Arial"/>
          <w:sz w:val="18"/>
          <w:szCs w:val="18"/>
        </w:rPr>
        <w:t>razo de validade da proposta, que não poderá ser inferior a 90 (noventa) dias consecutivos, a contar da data de sua apresentação.</w:t>
      </w:r>
    </w:p>
    <w:p>
      <w:pPr>
        <w:pStyle w:val="67"/>
        <w:keepNext w:val="0"/>
        <w:numPr>
          <w:ilvl w:val="4"/>
          <w:numId w:val="13"/>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a razão social da proponente, endereço completo, telefone, endereço eletrônico (e-mail), indicação do banco, número da conta corrente e da agência bancária </w:t>
      </w:r>
      <w:r>
        <w:rPr>
          <w:rFonts w:ascii="Verdana" w:hAnsi="Verdana" w:cs="Arial"/>
          <w:sz w:val="18"/>
          <w:szCs w:val="18"/>
        </w:rPr>
        <w:t>no</w:t>
      </w:r>
      <w:r>
        <w:rPr>
          <w:rFonts w:ascii="Verdana" w:hAnsi="Verdana" w:cs="Arial"/>
          <w:color w:val="000000"/>
          <w:sz w:val="18"/>
          <w:szCs w:val="18"/>
        </w:rPr>
        <w:t xml:space="preserve"> qual serão depositados os pagamentos se a Licitante se for a contratada;</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Custos e Formação de Preços</w:t>
      </w:r>
      <w:r>
        <w:rPr>
          <w:rFonts w:ascii="Verdana" w:hAnsi="Verdana" w:cs="Arial"/>
          <w:sz w:val="18"/>
          <w:szCs w:val="18"/>
          <w:u w:val="single"/>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Times-Bold"/>
          <w:bCs/>
          <w:sz w:val="18"/>
          <w:szCs w:val="18"/>
        </w:rPr>
        <w:t>Planilha de Custo e Formação de Preços</w:t>
      </w:r>
      <w:r>
        <w:rPr>
          <w:rFonts w:ascii="Verdana" w:hAnsi="Verdana" w:cs="Times-Bold"/>
          <w:b/>
          <w:bCs/>
          <w:sz w:val="18"/>
          <w:szCs w:val="18"/>
        </w:rPr>
        <w:t xml:space="preserve"> </w:t>
      </w:r>
      <w:r>
        <w:rPr>
          <w:rFonts w:ascii="Verdana" w:hAnsi="Verdana" w:cs="Times-Bold"/>
          <w:bCs/>
          <w:sz w:val="18"/>
          <w:szCs w:val="18"/>
        </w:rPr>
        <w:t>conforme modelo disponibilizado pela UFF em anexo (anexo III-A)</w:t>
      </w:r>
      <w:r>
        <w:rPr>
          <w:rFonts w:ascii="Verdana" w:hAnsi="Verdana" w:cs="Times-Roman"/>
          <w:sz w:val="18"/>
          <w:szCs w:val="18"/>
        </w:rPr>
        <w:t xml:space="preserve">, devendo </w:t>
      </w:r>
      <w:r>
        <w:rPr>
          <w:rFonts w:ascii="Verdana" w:hAnsi="Verdana"/>
          <w:sz w:val="18"/>
          <w:szCs w:val="18"/>
        </w:rPr>
        <w:t xml:space="preserve">constar: quantidade, unidade, custo unitário, BDI, </w:t>
      </w:r>
      <w:r>
        <w:rPr>
          <w:rFonts w:ascii="Verdana" w:hAnsi="Verdana"/>
          <w:sz w:val="18"/>
          <w:szCs w:val="18"/>
          <w:u w:val="single"/>
        </w:rPr>
        <w:t>desconto proposto</w:t>
      </w:r>
      <w:r>
        <w:rPr>
          <w:rFonts w:ascii="Verdana" w:hAnsi="Verdana"/>
          <w:sz w:val="18"/>
          <w:szCs w:val="18"/>
        </w:rPr>
        <w:t>, preços unitários, totais por item, preço global, observando-se os valores em moeda corrente nacional e as unidades do Sistema Métrico Decimal.</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Times-Bold"/>
          <w:bCs/>
          <w:sz w:val="18"/>
          <w:szCs w:val="18"/>
        </w:rPr>
        <w:t>O desconto proposto pela licitante deverá ser incluído na coluna “% Desconto”, incidindo sobre todos os preços unitários estimados pela Administração (UFF).</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com o Cronograma físico-financeiro</w:t>
      </w:r>
      <w:r>
        <w:rPr>
          <w:rFonts w:ascii="Verdana" w:hAnsi="Verdana" w:cs="Arial"/>
          <w:sz w:val="18"/>
          <w:szCs w:val="18"/>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com o cronograma físico e financeiro previsto para a execução dos serviços, conforme modelo disponibilizado pela UFF em anexo (anexo III-B); observando-se as etapas e prazos de execução e a previsão de reembolso orçamentário estabelecida neste Edital e seus anexos, e incluindo as etapas necessárias à medição, ao monitoramento e ao controle das obras;</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Style w:val="64"/>
          <w:rFonts w:ascii="Verdana" w:hAnsi="Verdana"/>
          <w:color w:val="auto"/>
          <w:sz w:val="18"/>
          <w:szCs w:val="18"/>
        </w:rPr>
        <w:t>Será adotado o pagamento proporcional dos valores pertinentes à administração local, quando for o caso, relativamente ao andamento físico do objeto contratual, nos termos definidos no Termo de Referência e no respectivo cronograma.</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u w:val="single"/>
        </w:rPr>
        <w:t>Planilha de BDI</w:t>
      </w:r>
      <w:r>
        <w:rPr>
          <w:rFonts w:ascii="Verdana" w:hAnsi="Verdana" w:cs="Arial"/>
          <w:sz w:val="18"/>
          <w:szCs w:val="18"/>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 demonstrativa da bonificação e despesas indiretas, com a composição analítica das suas taxas, que incidiram sobre os custos unitários contidos na planilha de custos e formação de preços, conforme modelo no anexo IV;</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iCs/>
          <w:sz w:val="18"/>
          <w:szCs w:val="18"/>
        </w:rPr>
        <w:t>Quanto</w:t>
      </w:r>
      <w:r>
        <w:rPr>
          <w:rFonts w:ascii="Verdana" w:hAnsi="Verdana" w:cs="Arial"/>
          <w:sz w:val="18"/>
          <w:szCs w:val="18"/>
        </w:rPr>
        <w:t xml:space="preserve"> aos custos indiretos incidentes sobre as parcelas relativas ao </w:t>
      </w:r>
      <w:r>
        <w:rPr>
          <w:rStyle w:val="64"/>
          <w:rFonts w:ascii="Verdana" w:hAnsi="Verdana"/>
          <w:color w:val="auto"/>
          <w:sz w:val="18"/>
          <w:szCs w:val="18"/>
        </w:rPr>
        <w:t>fornecimento</w:t>
      </w:r>
      <w:r>
        <w:rPr>
          <w:rFonts w:ascii="Verdana" w:hAnsi="Verdana" w:cs="Arial"/>
          <w:sz w:val="18"/>
          <w:szCs w:val="18"/>
        </w:rPr>
        <w:t xml:space="preserve"> de materiais e equipamentos, o licitante deverá apresentar um percentual reduzido de BDI, compatível com a natureza do objeto, conforme modelo anexo ao Edital;</w:t>
      </w:r>
    </w:p>
    <w:p>
      <w:pPr>
        <w:pStyle w:val="67"/>
        <w:keepNext w:val="0"/>
        <w:numPr>
          <w:ilvl w:val="2"/>
          <w:numId w:val="13"/>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b/>
          <w:sz w:val="18"/>
          <w:szCs w:val="18"/>
        </w:rPr>
        <w:t>Planilha(s) de Encargos Sociais</w:t>
      </w:r>
      <w:r>
        <w:rPr>
          <w:rFonts w:ascii="Verdana" w:hAnsi="Verdana" w:cs="Arial"/>
          <w:sz w:val="18"/>
          <w:szCs w:val="18"/>
        </w:rPr>
        <w:t>:</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Planilha(s) demonstrativa(s) das Taxas de Encargos Sociais, discriminando todas as parcelas que o compõem, como modelo(s) os anexo(s) V-A e V-B.</w:t>
      </w:r>
    </w:p>
    <w:p>
      <w:pPr>
        <w:pStyle w:val="67"/>
        <w:keepNext w:val="0"/>
        <w:numPr>
          <w:ilvl w:val="3"/>
          <w:numId w:val="13"/>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67"/>
        <w:keepNext w:val="0"/>
        <w:numPr>
          <w:ilvl w:val="1"/>
          <w:numId w:val="13"/>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 xml:space="preserve">Os documentos em forma de planilha deverão ser encaminhadas utilizando-se os aplicativos </w:t>
      </w:r>
      <w:r>
        <w:rPr>
          <w:rFonts w:ascii="Verdana" w:hAnsi="Verdana" w:cs="Times-Roman"/>
          <w:b/>
          <w:sz w:val="18"/>
          <w:szCs w:val="18"/>
        </w:rPr>
        <w:t>Excel</w:t>
      </w:r>
      <w:r>
        <w:rPr>
          <w:rFonts w:ascii="Verdana" w:hAnsi="Verdana" w:cs="Times-Roman"/>
          <w:sz w:val="18"/>
          <w:szCs w:val="18"/>
        </w:rPr>
        <w:t xml:space="preserve"> e também o aplicativo </w:t>
      </w:r>
      <w:r>
        <w:rPr>
          <w:rFonts w:ascii="Verdana" w:hAnsi="Verdana" w:cs="Times-Roman"/>
          <w:b/>
          <w:sz w:val="18"/>
          <w:szCs w:val="18"/>
        </w:rPr>
        <w:t>Adobe Acrobat Reader</w:t>
      </w:r>
      <w:r>
        <w:rPr>
          <w:rFonts w:ascii="Verdana" w:hAnsi="Verdana" w:cs="Times-Roman"/>
          <w:sz w:val="18"/>
          <w:szCs w:val="18"/>
        </w:rPr>
        <w:t xml:space="preserve"> ou semelhantes, nas extensões exe e pdf, sendo que os arquivos na extensão pdf deverão ser assinados pelo responsável técnico e/ou legal.</w:t>
      </w:r>
    </w:p>
    <w:p>
      <w:pPr>
        <w:pStyle w:val="80"/>
        <w:keepNext w:val="0"/>
        <w:widowControl/>
        <w:numPr>
          <w:ilvl w:val="1"/>
          <w:numId w:val="13"/>
        </w:numPr>
        <w:spacing w:before="120" w:after="120"/>
        <w:ind w:left="851" w:hanging="284"/>
        <w:textAlignment w:val="auto"/>
        <w:rPr>
          <w:rFonts w:ascii="Verdana" w:hAnsi="Verdana" w:eastAsia="Times New Roman" w:cs="Arial"/>
          <w:color w:val="000000" w:themeColor="text1"/>
          <w:sz w:val="18"/>
          <w:szCs w:val="18"/>
          <w:lang w:eastAsia="en-US" w:bidi="ar-SA"/>
        </w:rPr>
      </w:pPr>
      <w:r>
        <w:rPr>
          <w:rFonts w:ascii="Verdana" w:hAnsi="Verdana" w:cs="Arial"/>
          <w:color w:val="000000" w:themeColor="text1"/>
          <w:sz w:val="18"/>
          <w:szCs w:val="18"/>
          <w:lang w:eastAsia="en-US"/>
        </w:rPr>
        <w:t>Erros</w:t>
      </w:r>
      <w:r>
        <w:rPr>
          <w:rFonts w:ascii="Verdana" w:hAnsi="Verdana" w:cs="Arial"/>
          <w:sz w:val="18"/>
          <w:szCs w:val="18"/>
        </w:rPr>
        <w:t xml:space="preserve"> no preenchimento da(s) planilha(s) não constituem motivo para a desclassificac</w:t>
      </w:r>
      <w:r>
        <w:rPr>
          <w:rFonts w:ascii="Arial" w:hAnsi="Arial" w:cs="Arial"/>
          <w:sz w:val="18"/>
          <w:szCs w:val="18"/>
        </w:rPr>
        <w:t>̧</w:t>
      </w:r>
      <w:r>
        <w:rPr>
          <w:rFonts w:ascii="Verdana" w:hAnsi="Verdana" w:cs="Arial"/>
          <w:sz w:val="18"/>
          <w:szCs w:val="18"/>
        </w:rPr>
        <w:t>ão da proposta. A(s) planilha(s) poderá(ão) ser ajustada(s) pela licitante, no prazo indicado pela Comissão, desde que não haja majoração do preço.</w:t>
      </w:r>
    </w:p>
    <w:p>
      <w:pPr>
        <w:pStyle w:val="80"/>
        <w:keepNext w:val="0"/>
        <w:widowControl/>
        <w:numPr>
          <w:ilvl w:val="2"/>
          <w:numId w:val="13"/>
        </w:numPr>
        <w:spacing w:before="120" w:after="120"/>
        <w:ind w:left="1135" w:hanging="284"/>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80"/>
        <w:keepNext w:val="0"/>
        <w:widowControl/>
        <w:numPr>
          <w:ilvl w:val="2"/>
          <w:numId w:val="13"/>
        </w:numPr>
        <w:spacing w:before="120" w:after="120"/>
        <w:ind w:left="1134" w:hanging="283"/>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indicac</w:t>
      </w:r>
      <w:r>
        <w:rPr>
          <w:rFonts w:ascii="Arial" w:hAnsi="Arial" w:cs="Arial"/>
          <w:color w:val="000000"/>
          <w:sz w:val="18"/>
          <w:szCs w:val="18"/>
          <w:lang w:eastAsia="en-US"/>
        </w:rPr>
        <w:t>̧</w:t>
      </w:r>
      <w:r>
        <w:rPr>
          <w:rFonts w:ascii="Verdana" w:hAnsi="Verdana" w:cs="Arial"/>
          <w:color w:val="000000"/>
          <w:sz w:val="18"/>
          <w:szCs w:val="18"/>
          <w:lang w:eastAsia="en-US"/>
        </w:rPr>
        <w:t>ão de recolhimento de impostos e contribuic</w:t>
      </w:r>
      <w:r>
        <w:rPr>
          <w:rFonts w:ascii="Arial" w:hAnsi="Arial" w:cs="Arial"/>
          <w:color w:val="000000"/>
          <w:sz w:val="18"/>
          <w:szCs w:val="18"/>
          <w:lang w:eastAsia="en-US"/>
        </w:rPr>
        <w:t>̧</w:t>
      </w:r>
      <w:r>
        <w:rPr>
          <w:rFonts w:ascii="Verdana" w:hAnsi="Verdana" w:cs="Arial"/>
          <w:color w:val="000000"/>
          <w:sz w:val="18"/>
          <w:szCs w:val="18"/>
          <w:lang w:eastAsia="en-US"/>
        </w:rPr>
        <w:t>ões na forma do Simples Nacional, quando não cabível esse regime.</w:t>
      </w:r>
      <w:r>
        <w:rPr>
          <w:rFonts w:ascii="Verdana" w:hAnsi="Verdana" w:cs="Arial"/>
          <w:color w:val="000000"/>
          <w:sz w:val="18"/>
          <w:szCs w:val="18"/>
        </w:rPr>
        <w:t> </w:t>
      </w:r>
    </w:p>
    <w:p>
      <w:pPr>
        <w:pStyle w:val="80"/>
        <w:keepNext w:val="0"/>
        <w:ind w:left="1287" w:firstLine="0"/>
        <w:rPr>
          <w:rFonts w:ascii="Verdana" w:hAnsi="Verdana" w:cs="Arial"/>
          <w:color w:val="000000"/>
          <w:sz w:val="18"/>
          <w:szCs w:val="18"/>
        </w:rPr>
      </w:pPr>
    </w:p>
    <w:p>
      <w:pPr>
        <w:pStyle w:val="80"/>
        <w:keepNext w:val="0"/>
        <w:numPr>
          <w:ilvl w:val="0"/>
          <w:numId w:val="13"/>
        </w:numPr>
        <w:rPr>
          <w:rFonts w:ascii="Verdana" w:hAnsi="Verdana" w:cs="Arial"/>
          <w:sz w:val="18"/>
          <w:szCs w:val="18"/>
        </w:rPr>
      </w:pPr>
      <w:r>
        <w:rPr>
          <w:rFonts w:ascii="Verdana" w:hAnsi="Verdana" w:cs="Arial"/>
          <w:b/>
          <w:color w:val="000000"/>
          <w:sz w:val="18"/>
          <w:szCs w:val="18"/>
          <w:lang w:eastAsia="en-US"/>
        </w:rPr>
        <w:t xml:space="preserve">DA </w:t>
      </w:r>
      <w:r>
        <w:rPr>
          <w:rFonts w:ascii="Verdana" w:hAnsi="Verdana" w:cs="Arial"/>
          <w:b/>
          <w:bCs/>
          <w:color w:val="000000"/>
          <w:sz w:val="18"/>
          <w:szCs w:val="18"/>
          <w:lang w:eastAsia="en-US"/>
        </w:rPr>
        <w:t>HABILITAÇÃO</w:t>
      </w:r>
    </w:p>
    <w:p>
      <w:pPr>
        <w:pStyle w:val="80"/>
        <w:keepNext w:val="0"/>
        <w:numPr>
          <w:ilvl w:val="1"/>
          <w:numId w:val="13"/>
        </w:numPr>
        <w:ind w:left="851" w:hanging="284"/>
        <w:rPr>
          <w:rFonts w:ascii="Verdana" w:hAnsi="Verdana" w:cs="Arial"/>
          <w:bCs/>
          <w:color w:val="000000"/>
          <w:sz w:val="18"/>
          <w:szCs w:val="18"/>
        </w:rPr>
      </w:pPr>
      <w:r>
        <w:rPr>
          <w:rFonts w:ascii="Verdana" w:hAnsi="Verdana" w:cs="Arial"/>
          <w:bCs/>
          <w:color w:val="000000"/>
          <w:sz w:val="18"/>
          <w:szCs w:val="18"/>
        </w:rPr>
        <w:t>Como condição prévia ao exame da documentação de habilitação do licitante detentor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SICAF;</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Cadastro Nacional de Empresas Inidôneas e Suspensas - CEIS, mantido pela Controladoria Geral da União (www.portaldatransparencia.gov.br/ceis);</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pPr>
        <w:pStyle w:val="80"/>
        <w:keepNext w:val="0"/>
        <w:numPr>
          <w:ilvl w:val="2"/>
          <w:numId w:val="16"/>
        </w:numPr>
        <w:rPr>
          <w:rFonts w:ascii="Verdana" w:hAnsi="Verdana" w:cs="Arial"/>
          <w:bCs/>
          <w:color w:val="000000"/>
          <w:sz w:val="18"/>
          <w:szCs w:val="18"/>
        </w:rPr>
      </w:pPr>
      <w:r>
        <w:rPr>
          <w:rFonts w:ascii="Verdana" w:hAnsi="Verdana" w:cs="Arial"/>
          <w:bCs/>
          <w:color w:val="000000"/>
          <w:sz w:val="18"/>
          <w:szCs w:val="18"/>
        </w:rPr>
        <w:t>Lista de Inidôneos, mantida pelo Tribunal de Contas da União - TCU;</w:t>
      </w:r>
    </w:p>
    <w:p>
      <w:pPr>
        <w:pStyle w:val="80"/>
        <w:keepNext w:val="0"/>
        <w:numPr>
          <w:ilvl w:val="1"/>
          <w:numId w:val="13"/>
        </w:numPr>
        <w:ind w:left="851" w:hanging="284"/>
        <w:rPr>
          <w:rFonts w:ascii="Verdana" w:hAnsi="Verdana" w:cs="Arial"/>
          <w:bCs/>
          <w:color w:val="000000"/>
          <w:sz w:val="18"/>
          <w:szCs w:val="18"/>
        </w:rPr>
      </w:pPr>
      <w:r>
        <w:rPr>
          <w:rFonts w:ascii="Verdana" w:hAnsi="Verdana" w:cs="Arial"/>
          <w:bCs/>
          <w:color w:val="000000"/>
          <w:sz w:val="18"/>
          <w:szCs w:val="18"/>
        </w:rPr>
        <w:t>Para a consulta de licitantes pessoa jurídica poderá haver a substituição das consultas das alíneas "b”, “c”, “d” acima pela Consulta Consolidada de Pessoa Jurídica do TCU (https://certidoesapf.apps.tcu.gov.br/)</w:t>
      </w:r>
    </w:p>
    <w:p>
      <w:pPr>
        <w:pStyle w:val="80"/>
        <w:keepNext w:val="0"/>
        <w:numPr>
          <w:ilvl w:val="2"/>
          <w:numId w:val="13"/>
        </w:numPr>
        <w:ind w:left="1134" w:hanging="283"/>
        <w:rPr>
          <w:rFonts w:ascii="Verdana" w:hAnsi="Verdana" w:cs="Arial"/>
          <w:bCs/>
          <w:color w:val="000000"/>
          <w:sz w:val="18"/>
          <w:szCs w:val="18"/>
        </w:rPr>
      </w:pPr>
      <w:r>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pPr>
        <w:pStyle w:val="80"/>
        <w:keepNext w:val="0"/>
        <w:numPr>
          <w:ilvl w:val="4"/>
          <w:numId w:val="13"/>
        </w:numPr>
        <w:ind w:left="1701" w:hanging="283"/>
        <w:rPr>
          <w:rFonts w:ascii="Verdana" w:hAnsi="Verdana" w:cs="Arial"/>
          <w:bCs/>
          <w:color w:val="000000"/>
          <w:sz w:val="18"/>
          <w:szCs w:val="18"/>
        </w:rPr>
      </w:pPr>
      <w:r>
        <w:rPr>
          <w:rFonts w:ascii="Verdana" w:hAnsi="Verdana" w:cs="Arial"/>
          <w:bCs/>
          <w:color w:val="000000"/>
          <w:sz w:val="18"/>
          <w:szCs w:val="18"/>
        </w:rPr>
        <w:t>A tentativa de burla será verificada por meio dos vínculos societários, linhas de fornecimento similares, dentre outros.</w:t>
      </w:r>
    </w:p>
    <w:p>
      <w:pPr>
        <w:pStyle w:val="80"/>
        <w:keepNext w:val="0"/>
        <w:numPr>
          <w:ilvl w:val="4"/>
          <w:numId w:val="13"/>
        </w:numPr>
        <w:ind w:left="1701" w:hanging="283"/>
        <w:rPr>
          <w:rFonts w:ascii="Verdana" w:hAnsi="Verdana" w:cs="Arial"/>
          <w:bCs/>
          <w:color w:val="000000"/>
          <w:sz w:val="18"/>
          <w:szCs w:val="18"/>
        </w:rPr>
      </w:pPr>
      <w:r>
        <w:rPr>
          <w:rFonts w:ascii="Verdana" w:hAnsi="Verdana" w:cs="Arial"/>
          <w:bCs/>
          <w:color w:val="000000"/>
          <w:sz w:val="18"/>
          <w:szCs w:val="18"/>
        </w:rPr>
        <w:t>O licitante será convocado para manifestação previamente à sua desclassificação.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Constatada a existência de sanção, a Comissão de Licitação reputará o licitante inabilitado, por falta de condição de participação.</w:t>
      </w:r>
    </w:p>
    <w:p>
      <w:pPr>
        <w:pStyle w:val="80"/>
        <w:keepNext w:val="0"/>
        <w:numPr>
          <w:ilvl w:val="3"/>
          <w:numId w:val="13"/>
        </w:numPr>
        <w:ind w:left="1418" w:hanging="284"/>
        <w:rPr>
          <w:rFonts w:ascii="Verdana" w:hAnsi="Verdana" w:cs="Arial"/>
          <w:bCs/>
          <w:color w:val="000000"/>
          <w:sz w:val="18"/>
          <w:szCs w:val="18"/>
        </w:rPr>
      </w:pPr>
      <w:r>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Caso atendidas as condições de participação, a habilitação dos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Também será admitida a substituição parcial ou total de documentação de habilitação técnica por certificado de pré-qualificação válido quando da solicitação de sua apresentação pela Comissão de Licitação; </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É dever do licitante atualizar previamente as comprovações constantes do SICAF ou do certificado de pré-qualificação para que estejam vigentes quando da solicitação pela comissão ou encaminhar a respectiva documentação de habilitação atualizada, conforme previsto neste Edital.</w:t>
      </w:r>
    </w:p>
    <w:p>
      <w:pPr>
        <w:pStyle w:val="80"/>
        <w:keepNext w:val="0"/>
        <w:numPr>
          <w:ilvl w:val="1"/>
          <w:numId w:val="13"/>
        </w:numPr>
        <w:ind w:left="851" w:hanging="284"/>
        <w:rPr>
          <w:rFonts w:ascii="Verdana" w:hAnsi="Verdana" w:cs="Arial"/>
          <w:sz w:val="18"/>
          <w:szCs w:val="18"/>
        </w:rPr>
      </w:pPr>
      <w:r>
        <w:rPr>
          <w:rFonts w:ascii="Verdana" w:hAnsi="Verdana" w:cs="Arial"/>
          <w:color w:val="000000" w:themeColor="text1"/>
          <w:sz w:val="18"/>
          <w:szCs w:val="18"/>
        </w:rPr>
        <w:t xml:space="preserve"> O licitante classificado em primeiro lugar será convocado a encaminhar, no prazo de até 24 </w:t>
      </w:r>
      <w:r>
        <w:rPr>
          <w:rFonts w:ascii="Verdana" w:hAnsi="Verdana" w:cs="Arial"/>
          <w:iCs/>
          <w:sz w:val="18"/>
          <w:szCs w:val="18"/>
        </w:rPr>
        <w:t>(vinte e quatro) horas</w:t>
      </w:r>
      <w:r>
        <w:rPr>
          <w:rFonts w:ascii="Verdana" w:hAnsi="Verdana" w:cs="Arial"/>
          <w:color w:val="000000" w:themeColor="text1"/>
          <w:sz w:val="18"/>
          <w:szCs w:val="18"/>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pPr>
        <w:pStyle w:val="80"/>
        <w:keepNext w:val="0"/>
        <w:numPr>
          <w:ilvl w:val="2"/>
          <w:numId w:val="13"/>
        </w:numPr>
        <w:ind w:left="1134" w:hanging="283"/>
        <w:rPr>
          <w:rFonts w:ascii="Verdana" w:hAnsi="Verdana" w:cs="Arial"/>
          <w:sz w:val="18"/>
          <w:szCs w:val="18"/>
        </w:rPr>
      </w:pPr>
      <w:r>
        <w:rPr>
          <w:rFonts w:ascii="Verdana" w:hAnsi="Verdana" w:cs="Arial"/>
          <w:color w:val="000000" w:themeColor="text1"/>
          <w:sz w:val="18"/>
          <w:szCs w:val="18"/>
        </w:rPr>
        <w:t>Havendo a n</w:t>
      </w:r>
      <w:r>
        <w:rPr>
          <w:rFonts w:ascii="Verdana" w:hAnsi="Verdana" w:cs="Arial"/>
          <w:color w:val="000000"/>
          <w:sz w:val="18"/>
          <w:szCs w:val="18"/>
        </w:rPr>
        <w:t xml:space="preserve">ecessidade de envio de documentos </w:t>
      </w:r>
      <w:r>
        <w:rPr>
          <w:rFonts w:ascii="Verdana" w:hAnsi="Verdana" w:cs="Arial"/>
          <w:color w:val="000000" w:themeColor="text1"/>
          <w:sz w:val="18"/>
          <w:szCs w:val="18"/>
        </w:rPr>
        <w:t xml:space="preserve">complementares, </w:t>
      </w:r>
      <w:r>
        <w:rPr>
          <w:rFonts w:ascii="Verdana" w:hAnsi="Verdana" w:cs="Arial"/>
          <w:color w:val="000000"/>
          <w:sz w:val="18"/>
          <w:szCs w:val="18"/>
        </w:rPr>
        <w:t>necessários a esclarecer informações, corrigir impropriedades na documentação de habilitação ou complementar a instrução do processo, </w:t>
      </w:r>
      <w:r>
        <w:rPr>
          <w:rFonts w:ascii="Verdana" w:hAnsi="Verdana" w:cs="Arial"/>
          <w:color w:val="000000" w:themeColor="text1"/>
          <w:sz w:val="18"/>
          <w:szCs w:val="18"/>
        </w:rPr>
        <w:t xml:space="preserve">o licitante será convocado a encaminhá-los, </w:t>
      </w:r>
      <w:r>
        <w:rPr>
          <w:rFonts w:ascii="Verdana" w:hAnsi="Verdana" w:cs="Arial"/>
          <w:color w:val="000000"/>
          <w:sz w:val="18"/>
          <w:szCs w:val="18"/>
        </w:rPr>
        <w:t>em formato digital, via sistema,</w:t>
      </w:r>
      <w:r>
        <w:rPr>
          <w:rFonts w:ascii="Verdana" w:hAnsi="Verdana" w:cs="Arial"/>
          <w:color w:val="000000" w:themeColor="text1"/>
          <w:sz w:val="18"/>
          <w:szCs w:val="18"/>
        </w:rPr>
        <w:t xml:space="preserve"> no prazo de 02</w:t>
      </w:r>
      <w:r>
        <w:rPr>
          <w:rFonts w:ascii="Verdana" w:hAnsi="Verdana" w:cs="Arial"/>
          <w:sz w:val="18"/>
          <w:szCs w:val="18"/>
        </w:rPr>
        <w:t xml:space="preserve"> (duas)</w:t>
      </w:r>
      <w:r>
        <w:rPr>
          <w:rFonts w:ascii="Verdana" w:hAnsi="Verdana" w:cs="Arial"/>
          <w:iCs/>
          <w:sz w:val="18"/>
          <w:szCs w:val="18"/>
        </w:rPr>
        <w:t xml:space="preserve"> </w:t>
      </w:r>
      <w:r>
        <w:rPr>
          <w:rFonts w:ascii="Verdana" w:hAnsi="Verdana" w:cs="Arial"/>
          <w:sz w:val="18"/>
          <w:szCs w:val="18"/>
        </w:rPr>
        <w:t>horas</w:t>
      </w:r>
      <w:r>
        <w:rPr>
          <w:rFonts w:ascii="Verdana" w:hAnsi="Verdana" w:cs="Arial"/>
          <w:color w:val="000000" w:themeColor="text1"/>
          <w:sz w:val="18"/>
          <w:szCs w:val="18"/>
        </w:rPr>
        <w:t>, sob pena de inabilitação</w:t>
      </w:r>
      <w:r>
        <w:rPr>
          <w:rFonts w:ascii="Verdana" w:hAnsi="Verdana" w:cs="Arial"/>
          <w:sz w:val="18"/>
          <w:szCs w:val="18"/>
        </w:rPr>
        <w:t>.</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Não serão aceitos documentos de habilitação com indicação de CNPJ/CPF diferentes, salvo aqueles legalmente permitidos.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80"/>
        <w:keepNext w:val="0"/>
        <w:numPr>
          <w:ilvl w:val="3"/>
          <w:numId w:val="13"/>
        </w:numPr>
        <w:ind w:left="1418" w:hanging="284"/>
        <w:rPr>
          <w:rFonts w:ascii="Verdana" w:hAnsi="Verdana"/>
          <w:color w:val="000000"/>
          <w:sz w:val="18"/>
          <w:szCs w:val="18"/>
        </w:rPr>
      </w:pPr>
      <w:r>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Ressalvado o disposto no item 9.3, os licitantes deverão encaminhar, nos termos deste Edital, a documentação relacionada nos itens a seguir, para fins de habilitação</w:t>
      </w:r>
      <w:r>
        <w:rPr>
          <w:rFonts w:ascii="Verdana" w:hAnsi="Verdana" w:cs="Arial"/>
          <w:sz w:val="18"/>
          <w:szCs w:val="18"/>
        </w:rPr>
        <w:t>.</w:t>
      </w:r>
    </w:p>
    <w:p>
      <w:pPr>
        <w:pStyle w:val="80"/>
        <w:keepNext w:val="0"/>
        <w:ind w:left="851" w:firstLine="0"/>
        <w:rPr>
          <w:rFonts w:ascii="Verdana" w:hAnsi="Verdana" w:cs="Arial"/>
          <w:color w:val="000000"/>
          <w:sz w:val="18"/>
          <w:szCs w:val="18"/>
        </w:rPr>
      </w:pPr>
    </w:p>
    <w:p>
      <w:pPr>
        <w:pStyle w:val="80"/>
        <w:keepNext w:val="0"/>
        <w:numPr>
          <w:ilvl w:val="2"/>
          <w:numId w:val="13"/>
        </w:numPr>
        <w:ind w:left="1134" w:hanging="283"/>
        <w:rPr>
          <w:rFonts w:ascii="Verdana" w:hAnsi="Verdana" w:cs="Arial"/>
          <w:b/>
          <w:bCs/>
          <w:sz w:val="18"/>
          <w:szCs w:val="18"/>
        </w:rPr>
      </w:pPr>
      <w:r>
        <w:rPr>
          <w:rFonts w:ascii="Verdana" w:hAnsi="Verdana" w:cs="Arial"/>
          <w:b/>
          <w:bCs/>
          <w:color w:val="000000"/>
          <w:sz w:val="18"/>
          <w:szCs w:val="18"/>
        </w:rPr>
        <w:t>Habilitação jurídica:</w:t>
      </w:r>
    </w:p>
    <w:p>
      <w:pPr>
        <w:pStyle w:val="80"/>
        <w:keepNext w:val="0"/>
        <w:numPr>
          <w:ilvl w:val="3"/>
          <w:numId w:val="13"/>
        </w:numPr>
        <w:ind w:left="1418" w:hanging="284"/>
        <w:rPr>
          <w:rFonts w:ascii="Verdana" w:hAnsi="Verdana" w:cs="Arial"/>
          <w:color w:val="000000"/>
          <w:sz w:val="18"/>
          <w:szCs w:val="18"/>
        </w:rPr>
      </w:pPr>
      <w:r>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80"/>
        <w:keepNext w:val="0"/>
        <w:numPr>
          <w:ilvl w:val="3"/>
          <w:numId w:val="13"/>
        </w:numPr>
        <w:ind w:left="1418" w:hanging="284"/>
        <w:rPr>
          <w:rFonts w:ascii="Verdana" w:hAnsi="Verdana" w:cs="Arial"/>
          <w:color w:val="000000"/>
          <w:sz w:val="18"/>
          <w:szCs w:val="18"/>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80"/>
        <w:keepNext w:val="0"/>
        <w:numPr>
          <w:ilvl w:val="3"/>
          <w:numId w:val="13"/>
        </w:numPr>
        <w:ind w:left="1418" w:hanging="284"/>
        <w:rPr>
          <w:rFonts w:ascii="Verdana" w:hAnsi="Verdana" w:cs="Arial"/>
          <w:color w:val="000000"/>
          <w:sz w:val="18"/>
          <w:szCs w:val="18"/>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80"/>
        <w:keepNext w:val="0"/>
        <w:numPr>
          <w:ilvl w:val="3"/>
          <w:numId w:val="13"/>
        </w:numPr>
        <w:ind w:left="1418" w:hanging="284"/>
        <w:rPr>
          <w:rFonts w:ascii="Verdana" w:hAnsi="Verdana" w:cs="Arial"/>
          <w:sz w:val="18"/>
          <w:szCs w:val="18"/>
        </w:rPr>
      </w:pPr>
      <w:r>
        <w:rPr>
          <w:rFonts w:ascii="Verdana" w:hAnsi="Verdana" w:cs="Arial"/>
          <w:color w:val="000000"/>
          <w:sz w:val="18"/>
          <w:szCs w:val="18"/>
        </w:rPr>
        <w:t>Decreto de autorização, em se tratando de sociedade empresária estrangeira em funcionamento no País;</w:t>
      </w:r>
    </w:p>
    <w:p>
      <w:pPr>
        <w:pStyle w:val="80"/>
        <w:keepNext w:val="0"/>
        <w:numPr>
          <w:ilvl w:val="3"/>
          <w:numId w:val="13"/>
        </w:numPr>
        <w:ind w:left="1418" w:hanging="284"/>
        <w:rPr>
          <w:rFonts w:ascii="Verdana" w:hAnsi="Verdana" w:cs="Arial"/>
          <w:color w:val="000000"/>
          <w:sz w:val="18"/>
          <w:szCs w:val="18"/>
        </w:rPr>
      </w:pPr>
      <w:r>
        <w:rPr>
          <w:rFonts w:ascii="Verdana" w:hAnsi="Verdana" w:cs="Arial"/>
          <w:color w:val="000000"/>
          <w:sz w:val="18"/>
          <w:szCs w:val="18"/>
        </w:rPr>
        <w:t>Os documentos acima deverão estar acompanhados de todas as alterações ou da consolidação respectiva;</w:t>
      </w:r>
    </w:p>
    <w:p>
      <w:pPr>
        <w:pStyle w:val="80"/>
        <w:keepNext w:val="0"/>
        <w:ind w:left="1418" w:firstLine="0"/>
        <w:rPr>
          <w:rFonts w:ascii="Verdana" w:hAnsi="Verdana" w:cs="Arial"/>
          <w:color w:val="000000"/>
          <w:sz w:val="18"/>
          <w:szCs w:val="18"/>
        </w:rPr>
      </w:pPr>
    </w:p>
    <w:p>
      <w:pPr>
        <w:pStyle w:val="80"/>
        <w:keepNext w:val="0"/>
        <w:numPr>
          <w:ilvl w:val="2"/>
          <w:numId w:val="13"/>
        </w:numPr>
        <w:ind w:left="1134" w:hanging="283"/>
        <w:rPr>
          <w:rFonts w:ascii="Verdana" w:hAnsi="Verdana" w:cs="Arial"/>
          <w:b/>
          <w:sz w:val="18"/>
          <w:szCs w:val="18"/>
        </w:rPr>
      </w:pPr>
      <w:r>
        <w:rPr>
          <w:rFonts w:ascii="Verdana" w:hAnsi="Verdana" w:cs="Arial"/>
          <w:b/>
          <w:bCs/>
          <w:color w:val="000000"/>
          <w:sz w:val="18"/>
          <w:szCs w:val="18"/>
        </w:rPr>
        <w:t xml:space="preserve">Regularidade fiscal </w:t>
      </w:r>
      <w:r>
        <w:rPr>
          <w:rFonts w:ascii="Verdana" w:hAnsi="Verdana" w:cs="Arial"/>
          <w:b/>
          <w:sz w:val="18"/>
          <w:szCs w:val="18"/>
        </w:rPr>
        <w:t>e trabalhista</w:t>
      </w:r>
      <w:r>
        <w:rPr>
          <w:rFonts w:ascii="Verdana" w:hAnsi="Verdana" w:cs="Arial"/>
          <w:b/>
          <w:bCs/>
          <w:color w:val="000000"/>
          <w:sz w:val="18"/>
          <w:szCs w:val="18"/>
        </w:rPr>
        <w:t>:</w:t>
      </w:r>
    </w:p>
    <w:p>
      <w:pPr>
        <w:pStyle w:val="80"/>
        <w:keepNext w:val="0"/>
        <w:numPr>
          <w:ilvl w:val="3"/>
          <w:numId w:val="13"/>
        </w:numPr>
        <w:ind w:left="1418" w:hanging="284"/>
        <w:rPr>
          <w:rFonts w:ascii="Verdana" w:hAnsi="Verdana" w:cs="Arial"/>
          <w:sz w:val="18"/>
          <w:szCs w:val="18"/>
        </w:rPr>
      </w:pPr>
      <w:r>
        <w:rPr>
          <w:rFonts w:ascii="Verdana" w:hAnsi="Verdana" w:cs="Arial"/>
          <w:sz w:val="18"/>
          <w:szCs w:val="18"/>
          <w:lang w:eastAsia="en-US"/>
        </w:rPr>
        <w:t>prova de inscrição no Cadastro Nacional de Pessoas Jurídicas;</w:t>
      </w:r>
    </w:p>
    <w:p>
      <w:pPr>
        <w:pStyle w:val="80"/>
        <w:keepNext w:val="0"/>
        <w:numPr>
          <w:ilvl w:val="3"/>
          <w:numId w:val="13"/>
        </w:numPr>
        <w:ind w:left="1418" w:hanging="284"/>
        <w:rPr>
          <w:rFonts w:ascii="Verdana" w:hAnsi="Verdana" w:cs="Arial"/>
          <w:sz w:val="18"/>
          <w:szCs w:val="18"/>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80"/>
        <w:keepNext w:val="0"/>
        <w:numPr>
          <w:ilvl w:val="3"/>
          <w:numId w:val="13"/>
        </w:numPr>
        <w:ind w:left="1418" w:hanging="284"/>
        <w:rPr>
          <w:rFonts w:ascii="Verdana" w:hAnsi="Verdana" w:cs="Arial"/>
          <w:sz w:val="18"/>
          <w:szCs w:val="18"/>
          <w:lang w:eastAsia="en-US"/>
        </w:rPr>
      </w:pPr>
      <w:r>
        <w:rPr>
          <w:rFonts w:ascii="Verdana" w:hAnsi="Verdana" w:cs="Arial"/>
          <w:color w:val="000000"/>
          <w:sz w:val="18"/>
          <w:szCs w:val="18"/>
          <w:lang w:eastAsia="en-US"/>
        </w:rPr>
        <w:t xml:space="preserve">prova </w:t>
      </w:r>
      <w:r>
        <w:rPr>
          <w:rFonts w:ascii="Verdana" w:hAnsi="Verdana" w:cs="Arial"/>
          <w:sz w:val="18"/>
          <w:szCs w:val="18"/>
          <w:lang w:eastAsia="en-US"/>
        </w:rPr>
        <w:t>de regularidade com o Fundo de Garantia do Tempo de Serviço (FGTS);</w:t>
      </w:r>
    </w:p>
    <w:p>
      <w:pPr>
        <w:pStyle w:val="80"/>
        <w:keepNext w:val="0"/>
        <w:numPr>
          <w:ilvl w:val="3"/>
          <w:numId w:val="13"/>
        </w:numPr>
        <w:ind w:left="1418" w:hanging="284"/>
        <w:rPr>
          <w:rFonts w:ascii="Verdana" w:hAnsi="Verdana" w:cs="Arial"/>
          <w:sz w:val="18"/>
          <w:szCs w:val="18"/>
        </w:rPr>
      </w:pPr>
      <w:r>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80"/>
        <w:keepNext w:val="0"/>
        <w:numPr>
          <w:ilvl w:val="3"/>
          <w:numId w:val="13"/>
        </w:numPr>
        <w:ind w:left="1418" w:hanging="284"/>
        <w:rPr>
          <w:rFonts w:ascii="Verdana" w:hAnsi="Verdana" w:cs="Arial"/>
          <w:sz w:val="18"/>
          <w:szCs w:val="18"/>
        </w:rPr>
      </w:pPr>
      <w:r>
        <w:rPr>
          <w:rFonts w:ascii="Verdana" w:hAnsi="Verdana" w:cs="Arial"/>
          <w:bCs/>
          <w:sz w:val="18"/>
          <w:szCs w:val="18"/>
        </w:rPr>
        <w:t xml:space="preserve">prova de </w:t>
      </w:r>
      <w:r>
        <w:rPr>
          <w:rFonts w:ascii="Verdana" w:hAnsi="Verdana" w:cs="Arial"/>
          <w:sz w:val="18"/>
          <w:szCs w:val="18"/>
          <w:lang w:eastAsia="en-US"/>
        </w:rPr>
        <w:t>inscrição</w:t>
      </w:r>
      <w:r>
        <w:rPr>
          <w:rFonts w:ascii="Verdana" w:hAnsi="Verdana" w:cs="Arial"/>
          <w:bCs/>
          <w:sz w:val="18"/>
          <w:szCs w:val="18"/>
        </w:rPr>
        <w:t xml:space="preserve"> no cadastro de contribuintes municipal, relativo ao domicílio ou sede do licitante, pertinente ao seu ramo de atividade e compatível com o objeto contratual;</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 xml:space="preserve">prova de regularidade com a Fazenda Municipal do domicílio ou sede </w:t>
      </w:r>
      <w:r>
        <w:rPr>
          <w:rFonts w:ascii="Verdana" w:hAnsi="Verdana" w:cs="Arial"/>
          <w:bCs/>
          <w:sz w:val="18"/>
          <w:szCs w:val="18"/>
        </w:rPr>
        <w:t>do</w:t>
      </w:r>
      <w:r>
        <w:rPr>
          <w:rFonts w:ascii="Verdana" w:hAnsi="Verdana" w:cs="Arial"/>
          <w:sz w:val="18"/>
          <w:szCs w:val="18"/>
        </w:rPr>
        <w:t xml:space="preserve"> licitante;</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80"/>
        <w:keepNext w:val="0"/>
        <w:ind w:left="1418" w:firstLine="0"/>
        <w:rPr>
          <w:rFonts w:ascii="Verdana" w:hAnsi="Verdana" w:cs="Arial"/>
          <w:sz w:val="18"/>
          <w:szCs w:val="18"/>
        </w:rPr>
      </w:pPr>
    </w:p>
    <w:p>
      <w:pPr>
        <w:pStyle w:val="80"/>
        <w:keepNext w:val="0"/>
        <w:numPr>
          <w:ilvl w:val="2"/>
          <w:numId w:val="13"/>
        </w:numPr>
        <w:ind w:left="1134" w:hanging="283"/>
        <w:rPr>
          <w:rFonts w:ascii="Verdana" w:hAnsi="Verdana"/>
          <w:b/>
          <w:color w:val="000000"/>
          <w:sz w:val="18"/>
          <w:szCs w:val="18"/>
        </w:rPr>
      </w:pPr>
      <w:r>
        <w:rPr>
          <w:rFonts w:ascii="Verdana" w:hAnsi="Verdana" w:cs="Arial"/>
          <w:b/>
          <w:bCs/>
          <w:color w:val="000000"/>
          <w:sz w:val="18"/>
          <w:szCs w:val="18"/>
        </w:rPr>
        <w:t>Qualificação</w:t>
      </w:r>
      <w:r>
        <w:rPr>
          <w:rFonts w:ascii="Verdana" w:hAnsi="Verdana"/>
          <w:b/>
          <w:color w:val="000000"/>
          <w:sz w:val="18"/>
          <w:szCs w:val="18"/>
        </w:rPr>
        <w:t xml:space="preserve"> Econômico-Financeira: </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certidão negativa de falência, recuperação judicial ou recuperação extrajudicial expedida pelo distribuidor da sede do licitante;</w:t>
      </w:r>
    </w:p>
    <w:p>
      <w:pPr>
        <w:pStyle w:val="80"/>
        <w:keepNext w:val="0"/>
        <w:numPr>
          <w:ilvl w:val="4"/>
          <w:numId w:val="13"/>
        </w:numPr>
        <w:ind w:left="1701" w:hanging="283"/>
        <w:rPr>
          <w:rFonts w:ascii="Verdana" w:hAnsi="Verdana" w:cs="Arial"/>
          <w:color w:val="000000"/>
          <w:sz w:val="18"/>
          <w:szCs w:val="18"/>
          <w:lang w:eastAsia="en-US"/>
        </w:rPr>
      </w:pPr>
      <w:bookmarkStart w:id="3" w:name="_Ref532534462"/>
      <w:r>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pPr>
        <w:pStyle w:val="80"/>
        <w:keepNext w:val="0"/>
        <w:numPr>
          <w:ilvl w:val="3"/>
          <w:numId w:val="13"/>
        </w:numPr>
        <w:ind w:left="1701" w:hanging="283"/>
        <w:rPr>
          <w:rFonts w:ascii="Verdana" w:hAnsi="Verdana" w:cs="Arial"/>
          <w:sz w:val="18"/>
          <w:szCs w:val="18"/>
        </w:rPr>
      </w:pPr>
      <w:r>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Pr>
          <w:rFonts w:ascii="Verdana" w:hAnsi="Verdana" w:cs="Arial"/>
          <w:sz w:val="18"/>
          <w:szCs w:val="18"/>
        </w:rPr>
        <w:t>sua</w:t>
      </w:r>
      <w:r>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pPr>
        <w:pStyle w:val="80"/>
        <w:keepNext w:val="0"/>
        <w:numPr>
          <w:ilvl w:val="4"/>
          <w:numId w:val="13"/>
        </w:numPr>
        <w:ind w:left="1985" w:hanging="284"/>
        <w:rPr>
          <w:rFonts w:ascii="Verdana" w:hAnsi="Verdana" w:cs="Arial"/>
          <w:color w:val="000000"/>
          <w:sz w:val="18"/>
          <w:szCs w:val="18"/>
        </w:rPr>
      </w:pPr>
      <w:r>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pPr>
        <w:pStyle w:val="80"/>
        <w:keepNext w:val="0"/>
        <w:numPr>
          <w:ilvl w:val="4"/>
          <w:numId w:val="13"/>
        </w:numPr>
        <w:ind w:left="1985" w:hanging="284"/>
        <w:rPr>
          <w:rFonts w:ascii="Verdana" w:hAnsi="Verdana" w:cs="Arial"/>
          <w:color w:val="000000"/>
          <w:sz w:val="18"/>
          <w:szCs w:val="18"/>
        </w:rPr>
      </w:pPr>
      <w:r>
        <w:rPr>
          <w:rFonts w:ascii="Verdana" w:hAnsi="Verdana" w:cs="Arial"/>
          <w:color w:val="000000"/>
          <w:sz w:val="18"/>
          <w:szCs w:val="18"/>
        </w:rPr>
        <w:t>é admissível o balanço intermediário, se decorrer de lei ou contrato/estatuto social.</w:t>
      </w:r>
    </w:p>
    <w:p>
      <w:pPr>
        <w:pStyle w:val="80"/>
        <w:keepNext w:val="0"/>
        <w:numPr>
          <w:ilvl w:val="3"/>
          <w:numId w:val="13"/>
        </w:numPr>
        <w:tabs>
          <w:tab w:val="left" w:pos="1418"/>
        </w:tabs>
        <w:ind w:left="1701" w:hanging="283"/>
        <w:rPr>
          <w:rFonts w:ascii="Verdana" w:hAnsi="Verdana" w:cs="Arial"/>
          <w:sz w:val="18"/>
          <w:szCs w:val="18"/>
        </w:rPr>
      </w:pPr>
      <w:r>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24"/>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80"/>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80"/>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80"/>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80"/>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80"/>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80"/>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80"/>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80"/>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80"/>
        <w:keepNext w:val="0"/>
        <w:rPr>
          <w:rFonts w:ascii="Verdana" w:hAnsi="Verdana" w:cs="Arial"/>
          <w:color w:val="000000"/>
          <w:sz w:val="18"/>
          <w:szCs w:val="18"/>
        </w:rPr>
      </w:pPr>
    </w:p>
    <w:p>
      <w:pPr>
        <w:pStyle w:val="80"/>
        <w:keepNext w:val="0"/>
        <w:numPr>
          <w:ilvl w:val="3"/>
          <w:numId w:val="13"/>
        </w:numPr>
        <w:ind w:left="1701" w:hanging="283"/>
        <w:rPr>
          <w:rFonts w:ascii="Verdana" w:hAnsi="Verdana" w:cs="Arial"/>
          <w:sz w:val="18"/>
          <w:szCs w:val="18"/>
        </w:rPr>
      </w:pPr>
      <w:r>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10 % </w:t>
      </w:r>
      <w:r>
        <w:rPr>
          <w:rFonts w:ascii="Verdana" w:hAnsi="Verdana" w:cs="Arial"/>
          <w:bCs/>
          <w:sz w:val="18"/>
          <w:szCs w:val="18"/>
        </w:rPr>
        <w:t>(dez por cento)</w:t>
      </w:r>
      <w:r>
        <w:rPr>
          <w:rFonts w:ascii="Verdana" w:hAnsi="Verdana" w:cs="Arial"/>
          <w:sz w:val="18"/>
          <w:szCs w:val="18"/>
        </w:rPr>
        <w:t xml:space="preserve"> do valor estimado da contratação ou do item pertinente. </w:t>
      </w:r>
    </w:p>
    <w:p>
      <w:pPr>
        <w:pStyle w:val="80"/>
        <w:keepNext w:val="0"/>
        <w:widowControl/>
        <w:spacing w:before="120" w:after="120"/>
        <w:ind w:left="1134" w:firstLine="0"/>
        <w:rPr>
          <w:rFonts w:ascii="Verdana" w:hAnsi="Verdana" w:cs="Arial"/>
          <w:sz w:val="18"/>
          <w:szCs w:val="18"/>
        </w:rPr>
      </w:pPr>
    </w:p>
    <w:p>
      <w:pPr>
        <w:pStyle w:val="80"/>
        <w:keepNext w:val="0"/>
        <w:numPr>
          <w:ilvl w:val="2"/>
          <w:numId w:val="13"/>
        </w:numPr>
        <w:ind w:left="1134" w:hanging="283"/>
        <w:rPr>
          <w:rFonts w:ascii="Verdana" w:hAnsi="Verdana" w:cs="Arial"/>
          <w:b/>
          <w:bCs/>
          <w:iCs/>
          <w:color w:val="000000"/>
          <w:sz w:val="18"/>
          <w:szCs w:val="18"/>
        </w:rPr>
      </w:pPr>
      <w:r>
        <w:rPr>
          <w:rFonts w:ascii="Verdana" w:hAnsi="Verdana"/>
          <w:b/>
          <w:color w:val="000000"/>
          <w:sz w:val="18"/>
          <w:szCs w:val="18"/>
        </w:rPr>
        <w:t xml:space="preserve">Qualificação Técnica: </w:t>
      </w:r>
    </w:p>
    <w:p>
      <w:pPr>
        <w:keepNext w:val="0"/>
        <w:numPr>
          <w:ilvl w:val="3"/>
          <w:numId w:val="13"/>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Pr>
          <w:rFonts w:ascii="Verdana" w:hAnsi="Verdana" w:cs="Times-Bold"/>
          <w:bCs/>
          <w:sz w:val="18"/>
          <w:szCs w:val="18"/>
        </w:rPr>
        <w:t>Para Qualificação Técnico-Operacional:</w:t>
      </w:r>
    </w:p>
    <w:p>
      <w:pPr>
        <w:keepNext w:val="0"/>
        <w:numPr>
          <w:ilvl w:val="4"/>
          <w:numId w:val="13"/>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Pr>
          <w:rFonts w:ascii="Verdana" w:hAnsi="Verdana" w:cs="Times-Roman"/>
          <w:sz w:val="18"/>
          <w:szCs w:val="18"/>
        </w:rPr>
        <w:t xml:space="preserve">Certidão expedida pelo CREA ou CAU, </w:t>
      </w:r>
      <w:r>
        <w:rPr>
          <w:rFonts w:ascii="Verdana" w:hAnsi="Verdana" w:cs="Arial"/>
          <w:sz w:val="18"/>
          <w:szCs w:val="18"/>
        </w:rPr>
        <w:t>em plena validade</w:t>
      </w:r>
      <w:r>
        <w:rPr>
          <w:rFonts w:ascii="Verdana" w:hAnsi="Verdana" w:cs="Times-Roman"/>
          <w:sz w:val="18"/>
          <w:szCs w:val="18"/>
        </w:rPr>
        <w:t>, c</w:t>
      </w:r>
      <w:r>
        <w:rPr>
          <w:rFonts w:ascii="Verdana" w:hAnsi="Verdana"/>
          <w:bCs/>
          <w:sz w:val="18"/>
          <w:szCs w:val="18"/>
        </w:rPr>
        <w:t>onstando o registro ou inscrição</w:t>
      </w:r>
      <w:r>
        <w:rPr>
          <w:rFonts w:ascii="Verdana" w:hAnsi="Verdana"/>
          <w:sz w:val="18"/>
          <w:szCs w:val="18"/>
        </w:rPr>
        <w:t xml:space="preserve"> da empresa individual ou pessoa jurídica no Conselho Regional de Engenharia e Agronomia (CREA) ou no Conselho de Arquitetura e Urbanismo (CAU), do domicílio ou sede da licitante, </w:t>
      </w:r>
      <w:r>
        <w:rPr>
          <w:rFonts w:ascii="Verdana" w:hAnsi="Verdana" w:cs="Arial"/>
          <w:sz w:val="18"/>
          <w:szCs w:val="18"/>
        </w:rPr>
        <w:t>conforme as áreas de atuação previstas no Termo de Referência</w:t>
      </w:r>
      <w:r>
        <w:rPr>
          <w:rFonts w:ascii="Verdana" w:hAnsi="Verdana"/>
          <w:sz w:val="18"/>
          <w:szCs w:val="18"/>
        </w:rPr>
        <w:t xml:space="preserve"> e para identificar </w:t>
      </w:r>
      <w:r>
        <w:rPr>
          <w:rFonts w:ascii="Verdana" w:hAnsi="Verdana" w:cs="Times-Roman"/>
          <w:sz w:val="18"/>
          <w:szCs w:val="18"/>
        </w:rPr>
        <w:t>o(s) seu(s) responsável(eis) técnico(s).</w:t>
      </w:r>
    </w:p>
    <w:p>
      <w:pPr>
        <w:keepNext w:val="0"/>
        <w:numPr>
          <w:ilvl w:val="5"/>
          <w:numId w:val="13"/>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Pr>
          <w:rFonts w:ascii="Verdana" w:hAnsi="Verdana" w:cs="Times-Bold"/>
          <w:bCs/>
          <w:sz w:val="18"/>
          <w:szCs w:val="18"/>
        </w:rPr>
        <w:t>Para fins de habilitação, tal documento não</w:t>
      </w:r>
      <w:r>
        <w:rPr>
          <w:rFonts w:ascii="Verdana" w:hAnsi="Verdana" w:cs="Times-Roman"/>
          <w:sz w:val="18"/>
          <w:szCs w:val="18"/>
        </w:rPr>
        <w:t xml:space="preserve"> </w:t>
      </w:r>
      <w:r>
        <w:rPr>
          <w:rFonts w:ascii="Verdana" w:hAnsi="Verdana" w:cs="Times-Bold"/>
          <w:bCs/>
          <w:sz w:val="18"/>
          <w:szCs w:val="18"/>
        </w:rPr>
        <w:t>necessita ser apresentado com o referido visto</w:t>
      </w:r>
      <w:r>
        <w:rPr>
          <w:rFonts w:ascii="Verdana" w:hAnsi="Verdana" w:cs="Times-Roman"/>
          <w:sz w:val="18"/>
          <w:szCs w:val="18"/>
        </w:rPr>
        <w:t>.</w:t>
      </w:r>
    </w:p>
    <w:p>
      <w:pPr>
        <w:keepNext w:val="0"/>
        <w:numPr>
          <w:ilvl w:val="4"/>
          <w:numId w:val="13"/>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Pr>
          <w:rFonts w:ascii="Verdana" w:hAnsi="Verdana"/>
          <w:color w:val="000000"/>
          <w:sz w:val="18"/>
          <w:szCs w:val="18"/>
        </w:rPr>
        <w:t>em nome da licitante, relativo à execução de obra ou serviço de engenharia.</w:t>
      </w:r>
    </w:p>
    <w:p>
      <w:pPr>
        <w:keepNext w:val="0"/>
        <w:numPr>
          <w:ilvl w:val="5"/>
          <w:numId w:val="13"/>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Pr>
          <w:rFonts w:ascii="Verdana" w:hAnsi="Verdana"/>
          <w:sz w:val="18"/>
          <w:szCs w:val="18"/>
        </w:rPr>
        <w:t>Esta comprovação poderá ser feita pela Certidão expedida pelo CREA ou CAU, apresentada conforme item 11.6.4.1.1.</w:t>
      </w:r>
    </w:p>
    <w:p>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pPr>
        <w:keepNext w:val="0"/>
        <w:numPr>
          <w:ilvl w:val="3"/>
          <w:numId w:val="13"/>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Pr>
          <w:rFonts w:ascii="Verdana" w:hAnsi="Verdana" w:cs="Times-Bold"/>
          <w:bCs/>
          <w:sz w:val="18"/>
          <w:szCs w:val="18"/>
        </w:rPr>
        <w:t>Para Qualificação Técnico-Profissional:</w:t>
      </w:r>
    </w:p>
    <w:p>
      <w:pPr>
        <w:keepNext w:val="0"/>
        <w:numPr>
          <w:ilvl w:val="4"/>
          <w:numId w:val="13"/>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Pr>
          <w:rFonts w:ascii="Verdana" w:hAnsi="Verdana"/>
          <w:color w:val="000000"/>
          <w:sz w:val="18"/>
          <w:szCs w:val="18"/>
        </w:rPr>
        <w:t xml:space="preserve">Comprovação da capacitação técnico-profissional, mediante apresentação de Certidão de Acervo Técnico – CAT (com registro de atestado), expedida pelo CREA ou CAU da região pertinente, nos termos da legislação aplicável, em nome do(s) responsável(is) técnico(s) e/ou membros da equipe técnica que participarão da obra, que demonstre a respectiva ART ou RRT e que conste o registro do atestado de capacidade técnica relativo à execução </w:t>
      </w:r>
      <w:r>
        <w:rPr>
          <w:rFonts w:ascii="Verdana" w:hAnsi="Verdana" w:cs="Arial"/>
          <w:sz w:val="18"/>
          <w:szCs w:val="18"/>
        </w:rPr>
        <w:t>de obra ou dos</w:t>
      </w:r>
      <w:r>
        <w:rPr>
          <w:rFonts w:ascii="Verdana" w:hAnsi="Verdana"/>
          <w:color w:val="000000"/>
          <w:sz w:val="18"/>
          <w:szCs w:val="18"/>
        </w:rPr>
        <w:t xml:space="preserve"> serviços, compatível em características com o objeto da presente licitação, com atividade concluída ou em andamento, que compõem as parcelas de maior relevância técnica e valor significativo da contratação, a saber:</w:t>
      </w:r>
    </w:p>
    <w:p>
      <w:pPr>
        <w:pStyle w:val="80"/>
        <w:keepNext w:val="0"/>
        <w:numPr>
          <w:ilvl w:val="5"/>
          <w:numId w:val="13"/>
        </w:numPr>
        <w:ind w:left="1985" w:hanging="284"/>
        <w:rPr>
          <w:rFonts w:ascii="Verdana" w:hAnsi="Verdana"/>
          <w:iCs/>
          <w:sz w:val="18"/>
          <w:szCs w:val="18"/>
        </w:rPr>
      </w:pPr>
      <w:r>
        <w:rPr>
          <w:rFonts w:ascii="Verdana" w:hAnsi="Verdana"/>
          <w:iCs/>
          <w:sz w:val="18"/>
          <w:szCs w:val="18"/>
        </w:rPr>
        <w:t>Para o Engenheiro Civil ou para o Arquiteto e Urbanista: serviços de:</w:t>
      </w:r>
    </w:p>
    <w:p>
      <w:pPr>
        <w:pStyle w:val="80"/>
        <w:keepNext w:val="0"/>
        <w:numPr>
          <w:ilvl w:val="6"/>
          <w:numId w:val="13"/>
        </w:numPr>
        <w:ind w:left="2552" w:hanging="284"/>
        <w:rPr>
          <w:rFonts w:ascii="Verdana" w:hAnsi="Verdana"/>
          <w:i/>
          <w:iCs/>
          <w:color w:val="FF0000"/>
          <w:sz w:val="18"/>
          <w:szCs w:val="18"/>
        </w:rPr>
      </w:pPr>
      <w:r>
        <w:rPr>
          <w:rFonts w:ascii="Verdana" w:hAnsi="Verdana" w:cs="Calibri"/>
          <w:i/>
          <w:sz w:val="16"/>
          <w:szCs w:val="16"/>
        </w:rPr>
        <w:t>- Execução de reforma ou construção de prédio comercial ou público.</w:t>
      </w:r>
    </w:p>
    <w:p>
      <w:pPr>
        <w:pStyle w:val="80"/>
        <w:keepNext w:val="0"/>
        <w:numPr>
          <w:ilvl w:val="4"/>
          <w:numId w:val="13"/>
        </w:numPr>
        <w:ind w:left="1701" w:hanging="283"/>
        <w:rPr>
          <w:rFonts w:ascii="Verdana" w:hAnsi="Verdana"/>
          <w:i/>
          <w:iCs/>
          <w:color w:val="FF0000"/>
          <w:sz w:val="18"/>
          <w:szCs w:val="18"/>
        </w:rPr>
      </w:pPr>
      <w:r>
        <w:rPr>
          <w:rFonts w:ascii="Verdana" w:hAnsi="Verdana"/>
          <w:sz w:val="18"/>
          <w:szCs w:val="18"/>
        </w:rPr>
        <w:t xml:space="preserve">Atestado ou declaração </w:t>
      </w:r>
      <w:r>
        <w:rPr>
          <w:rFonts w:ascii="Verdana" w:hAnsi="Verdana" w:cs="Arial"/>
          <w:sz w:val="18"/>
          <w:szCs w:val="18"/>
        </w:rPr>
        <w:t xml:space="preserve">(atividade concluída ou em andamento) </w:t>
      </w:r>
      <w:r>
        <w:rPr>
          <w:rFonts w:ascii="Verdana" w:hAnsi="Verdana"/>
          <w:sz w:val="18"/>
          <w:szCs w:val="18"/>
        </w:rPr>
        <w:t xml:space="preserve">fornecido por pessoa jurídica de direito público ou privado, comprovando que </w:t>
      </w:r>
      <w:r>
        <w:rPr>
          <w:rFonts w:ascii="Verdana" w:hAnsi="Verdana"/>
          <w:bCs/>
          <w:sz w:val="18"/>
          <w:szCs w:val="18"/>
        </w:rPr>
        <w:t>profissional(is) de seu quadro técnico</w:t>
      </w:r>
      <w:r>
        <w:rPr>
          <w:rFonts w:ascii="Verdana" w:hAnsi="Verdana"/>
          <w:sz w:val="18"/>
          <w:szCs w:val="18"/>
        </w:rPr>
        <w:t xml:space="preserve">, devidamente identificado(s), </w:t>
      </w:r>
      <w:r>
        <w:rPr>
          <w:rFonts w:ascii="Verdana" w:hAnsi="Verdana"/>
          <w:bCs/>
          <w:sz w:val="18"/>
          <w:szCs w:val="18"/>
        </w:rPr>
        <w:t xml:space="preserve">já executou ou está executando serviços </w:t>
      </w:r>
      <w:r>
        <w:rPr>
          <w:rFonts w:ascii="Verdana" w:hAnsi="Verdana"/>
          <w:sz w:val="18"/>
          <w:szCs w:val="18"/>
        </w:rPr>
        <w:t>de características semelhantes ao objeto desta licitação</w:t>
      </w:r>
      <w:r>
        <w:rPr>
          <w:rFonts w:ascii="Verdana" w:hAnsi="Verdana"/>
          <w:bCs/>
          <w:sz w:val="18"/>
          <w:szCs w:val="18"/>
        </w:rPr>
        <w:t xml:space="preserve">; </w:t>
      </w:r>
    </w:p>
    <w:p>
      <w:pPr>
        <w:pStyle w:val="80"/>
        <w:keepNext w:val="0"/>
        <w:numPr>
          <w:ilvl w:val="5"/>
          <w:numId w:val="13"/>
        </w:numPr>
        <w:ind w:left="1985" w:hanging="284"/>
        <w:rPr>
          <w:rFonts w:ascii="Verdana" w:hAnsi="Verdana"/>
          <w:i/>
          <w:iCs/>
          <w:color w:val="FF0000"/>
          <w:sz w:val="18"/>
          <w:szCs w:val="18"/>
        </w:rPr>
      </w:pPr>
      <w:r>
        <w:rPr>
          <w:rFonts w:ascii="Verdana" w:hAnsi="Verdana"/>
          <w:bCs/>
          <w:sz w:val="18"/>
          <w:szCs w:val="18"/>
        </w:rPr>
        <w:t xml:space="preserve">O atestado/declaração </w:t>
      </w:r>
      <w:r>
        <w:rPr>
          <w:rFonts w:ascii="Verdana" w:hAnsi="Verdana"/>
          <w:sz w:val="18"/>
          <w:szCs w:val="18"/>
        </w:rPr>
        <w:t xml:space="preserve">deverá estar registrado na entidade profissional competente e ser </w:t>
      </w:r>
      <w:r>
        <w:rPr>
          <w:rFonts w:ascii="Verdana" w:hAnsi="Verdana"/>
          <w:sz w:val="18"/>
          <w:szCs w:val="18"/>
          <w:u w:val="single"/>
        </w:rPr>
        <w:t>vinculada à respectiva CAT-A</w:t>
      </w:r>
      <w:r>
        <w:rPr>
          <w:rFonts w:ascii="Verdana" w:hAnsi="Verdana"/>
          <w:sz w:val="18"/>
          <w:szCs w:val="18"/>
        </w:rPr>
        <w:t xml:space="preserve"> (CAT com atestado) definida anteriormente, </w:t>
      </w:r>
      <w:r>
        <w:rPr>
          <w:rFonts w:ascii="Verdana" w:hAnsi="Verdana" w:cs="Arial"/>
          <w:sz w:val="18"/>
          <w:szCs w:val="18"/>
        </w:rPr>
        <w:t>como forma de conferir autenticidade e veracidade às informações constantes nestes documentos;</w:t>
      </w:r>
    </w:p>
    <w:p>
      <w:pPr>
        <w:pStyle w:val="80"/>
        <w:keepNext w:val="0"/>
        <w:numPr>
          <w:ilvl w:val="5"/>
          <w:numId w:val="13"/>
        </w:numPr>
        <w:ind w:left="1985" w:hanging="284"/>
        <w:rPr>
          <w:rFonts w:ascii="Verdana" w:hAnsi="Verdana"/>
          <w:i/>
          <w:iCs/>
          <w:color w:val="FF0000"/>
          <w:sz w:val="18"/>
          <w:szCs w:val="18"/>
        </w:rPr>
      </w:pPr>
      <w:r>
        <w:rPr>
          <w:rFonts w:ascii="Verdana" w:hAnsi="Verdana"/>
          <w:sz w:val="18"/>
          <w:szCs w:val="18"/>
        </w:rPr>
        <w:t>A apresentação da Certidão de Acervo Técnico – CAT-A não exime</w:t>
      </w:r>
      <w:r>
        <w:rPr>
          <w:rFonts w:ascii="Verdana" w:hAnsi="Verdana"/>
          <w:b/>
          <w:sz w:val="18"/>
          <w:szCs w:val="18"/>
        </w:rPr>
        <w:t xml:space="preserve"> </w:t>
      </w:r>
      <w:r>
        <w:rPr>
          <w:rFonts w:ascii="Verdana" w:hAnsi="Verdana"/>
          <w:sz w:val="18"/>
          <w:szCs w:val="18"/>
        </w:rPr>
        <w:t>a apresentação do atestado/declaração registrada no respectivo Conselho.</w:t>
      </w:r>
    </w:p>
    <w:p>
      <w:pPr>
        <w:pStyle w:val="80"/>
        <w:keepNext w:val="0"/>
        <w:numPr>
          <w:ilvl w:val="5"/>
          <w:numId w:val="13"/>
        </w:numPr>
        <w:ind w:left="1985" w:hanging="284"/>
        <w:rPr>
          <w:rFonts w:ascii="Verdana" w:hAnsi="Verdana"/>
          <w:i/>
          <w:iCs/>
          <w:color w:val="FF0000"/>
          <w:sz w:val="18"/>
          <w:szCs w:val="18"/>
        </w:rPr>
      </w:pPr>
      <w:r>
        <w:rPr>
          <w:rFonts w:ascii="Verdana" w:hAnsi="Verdana"/>
          <w:sz w:val="18"/>
          <w:szCs w:val="18"/>
        </w:rPr>
        <w:t>Será admitida, para fins de comprovação de quantitativo mínimo do serviço, a apresentação de diferentes atestados de serviços executados de forma concomitante;</w:t>
      </w:r>
    </w:p>
    <w:p>
      <w:pPr>
        <w:pStyle w:val="80"/>
        <w:keepNext w:val="0"/>
        <w:numPr>
          <w:ilvl w:val="5"/>
          <w:numId w:val="13"/>
        </w:numPr>
        <w:ind w:left="1985" w:hanging="284"/>
        <w:rPr>
          <w:rFonts w:ascii="Verdana" w:hAnsi="Verdana"/>
          <w:i/>
          <w:iCs/>
          <w:color w:val="FF0000"/>
          <w:sz w:val="18"/>
          <w:szCs w:val="18"/>
        </w:rPr>
      </w:pPr>
      <w:r>
        <w:rPr>
          <w:rFonts w:ascii="Verdana" w:hAnsi="Verdana" w:cs="Times-Roman"/>
          <w:sz w:val="18"/>
          <w:szCs w:val="18"/>
        </w:rPr>
        <w:t>Q</w:t>
      </w:r>
      <w:r>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pPr>
        <w:pStyle w:val="80"/>
        <w:keepNext w:val="0"/>
        <w:numPr>
          <w:ilvl w:val="5"/>
          <w:numId w:val="13"/>
        </w:numPr>
        <w:ind w:left="1985" w:hanging="284"/>
        <w:rPr>
          <w:rFonts w:ascii="Verdana" w:hAnsi="Verdana"/>
          <w:i/>
          <w:iCs/>
          <w:color w:val="FF0000"/>
          <w:sz w:val="18"/>
          <w:szCs w:val="18"/>
        </w:rPr>
      </w:pPr>
      <w:r>
        <w:rPr>
          <w:rFonts w:ascii="Verdana" w:hAnsi="Verdana"/>
          <w:sz w:val="18"/>
          <w:szCs w:val="18"/>
        </w:rPr>
        <w:t>Este(s) documento(s) deverá(ão) mencionar o endereço, telefone ou fax do declarante e ser assinado por seu representante legal, devidamente identificado e autorizado para tal fim, reservando-se o direito da COMISSÃO DO RDC de promover diligências para os esclarecimentos que julgar pertinente.</w:t>
      </w:r>
    </w:p>
    <w:p>
      <w:pPr>
        <w:pStyle w:val="80"/>
        <w:keepNext w:val="0"/>
        <w:numPr>
          <w:ilvl w:val="5"/>
          <w:numId w:val="13"/>
        </w:numPr>
        <w:ind w:left="1985" w:hanging="284"/>
        <w:rPr>
          <w:rFonts w:ascii="Verdana" w:hAnsi="Verdana"/>
          <w:i/>
          <w:iCs/>
          <w:color w:val="FF0000"/>
          <w:sz w:val="18"/>
          <w:szCs w:val="18"/>
        </w:rPr>
      </w:pPr>
      <w:r>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Pr>
          <w:rFonts w:ascii="Verdana" w:hAnsi="Verdana"/>
          <w:sz w:val="18"/>
          <w:szCs w:val="18"/>
        </w:rPr>
        <w:t xml:space="preserve"> </w:t>
      </w:r>
    </w:p>
    <w:p>
      <w:pPr>
        <w:pStyle w:val="80"/>
        <w:keepNext w:val="0"/>
        <w:numPr>
          <w:ilvl w:val="3"/>
          <w:numId w:val="13"/>
        </w:numPr>
        <w:ind w:left="1418" w:hanging="284"/>
        <w:rPr>
          <w:rFonts w:ascii="Verdana" w:hAnsi="Verdana"/>
          <w:i/>
          <w:iCs/>
          <w:color w:val="FF0000"/>
          <w:sz w:val="18"/>
          <w:szCs w:val="18"/>
        </w:rPr>
      </w:pPr>
      <w:r>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Pr>
          <w:rFonts w:ascii="Verdana" w:hAnsi="Verdana" w:cs="Times-Roman"/>
          <w:sz w:val="18"/>
          <w:szCs w:val="18"/>
        </w:rPr>
        <w:t>Os documentos necessários para a comprovação de que o profissional responsável pela obra está vinculado a licitante, são:</w:t>
      </w:r>
    </w:p>
    <w:p>
      <w:pPr>
        <w:pStyle w:val="80"/>
        <w:keepNext w:val="0"/>
        <w:numPr>
          <w:ilvl w:val="4"/>
          <w:numId w:val="13"/>
        </w:numPr>
        <w:ind w:left="1701" w:hanging="283"/>
        <w:rPr>
          <w:rFonts w:ascii="Verdana" w:hAnsi="Verdana"/>
          <w:i/>
          <w:iCs/>
          <w:color w:val="FF0000"/>
          <w:sz w:val="18"/>
          <w:szCs w:val="18"/>
        </w:rPr>
      </w:pPr>
      <w:r>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pPr>
        <w:pStyle w:val="80"/>
        <w:keepNext w:val="0"/>
        <w:numPr>
          <w:ilvl w:val="4"/>
          <w:numId w:val="13"/>
        </w:numPr>
        <w:ind w:left="1701" w:hanging="283"/>
        <w:rPr>
          <w:rFonts w:ascii="Verdana" w:hAnsi="Verdana"/>
          <w:i/>
          <w:iCs/>
          <w:color w:val="FF0000"/>
          <w:sz w:val="18"/>
          <w:szCs w:val="18"/>
        </w:rPr>
      </w:pPr>
      <w:r>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pPr>
        <w:pStyle w:val="80"/>
        <w:keepNext w:val="0"/>
        <w:numPr>
          <w:ilvl w:val="4"/>
          <w:numId w:val="13"/>
        </w:numPr>
        <w:ind w:left="1701" w:hanging="283"/>
        <w:rPr>
          <w:rFonts w:ascii="Verdana" w:hAnsi="Verdana"/>
          <w:i/>
          <w:iCs/>
          <w:color w:val="FF0000"/>
          <w:sz w:val="18"/>
          <w:szCs w:val="18"/>
        </w:rPr>
      </w:pPr>
      <w:r>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pPr>
        <w:pStyle w:val="80"/>
        <w:keepNext w:val="0"/>
        <w:numPr>
          <w:ilvl w:val="4"/>
          <w:numId w:val="13"/>
        </w:numPr>
        <w:ind w:left="1701" w:hanging="283"/>
        <w:rPr>
          <w:rFonts w:ascii="Verdana" w:hAnsi="Verdana"/>
          <w:i/>
          <w:iCs/>
          <w:color w:val="FF0000"/>
          <w:sz w:val="18"/>
          <w:szCs w:val="18"/>
        </w:rPr>
      </w:pPr>
      <w:r>
        <w:rPr>
          <w:rFonts w:ascii="Verdana" w:hAnsi="Verdana" w:cs="Times-Roman"/>
          <w:sz w:val="18"/>
          <w:szCs w:val="18"/>
        </w:rPr>
        <w:t>D</w:t>
      </w:r>
      <w:r>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Pr>
          <w:rFonts w:ascii="Verdana" w:hAnsi="Verdana" w:cs="Times-Roman"/>
          <w:sz w:val="18"/>
          <w:szCs w:val="18"/>
        </w:rPr>
        <w:t xml:space="preserve">. </w:t>
      </w:r>
      <w:r>
        <w:rPr>
          <w:rFonts w:ascii="Verdana" w:hAnsi="Verdana"/>
          <w:sz w:val="18"/>
          <w:szCs w:val="18"/>
        </w:rPr>
        <w:t>A contratação do citado profissional deverá ser efetivada em data prévia à da assinatura do contrato, sem a qual não haverá assinatura do mesmo.</w:t>
      </w:r>
    </w:p>
    <w:p>
      <w:pPr>
        <w:pStyle w:val="80"/>
        <w:keepNext w:val="0"/>
        <w:numPr>
          <w:ilvl w:val="4"/>
          <w:numId w:val="13"/>
        </w:numPr>
        <w:ind w:left="1701" w:hanging="283"/>
        <w:rPr>
          <w:rFonts w:ascii="Verdana" w:hAnsi="Verdana"/>
          <w:i/>
          <w:iCs/>
          <w:color w:val="FF0000"/>
          <w:sz w:val="18"/>
          <w:szCs w:val="18"/>
        </w:rPr>
      </w:pPr>
      <w:r>
        <w:rPr>
          <w:rFonts w:ascii="Verdana" w:hAnsi="Verdana" w:cs="Times-Roman"/>
          <w:sz w:val="18"/>
          <w:szCs w:val="18"/>
        </w:rPr>
        <w:t xml:space="preserve">No caso de dois ou mais licitantes apresentarem atestados de um mesmo profissional como responsável técnico, para fins de comprovação de qualificação técnica, </w:t>
      </w:r>
      <w:r>
        <w:rPr>
          <w:rFonts w:ascii="Verdana" w:hAnsi="Verdana" w:cs="Times-Bold"/>
          <w:bCs/>
          <w:sz w:val="18"/>
          <w:szCs w:val="18"/>
        </w:rPr>
        <w:t>todos serão inabilitados</w:t>
      </w:r>
      <w:r>
        <w:rPr>
          <w:rFonts w:ascii="Verdana" w:hAnsi="Verdana" w:cs="Times-Roman"/>
          <w:sz w:val="18"/>
          <w:szCs w:val="18"/>
        </w:rPr>
        <w:t>, não cabendo qualquer alegação ou recurso.</w:t>
      </w:r>
    </w:p>
    <w:p>
      <w:pPr>
        <w:keepNext w:val="0"/>
        <w:numPr>
          <w:ilvl w:val="4"/>
          <w:numId w:val="13"/>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80"/>
        <w:keepNext w:val="0"/>
        <w:numPr>
          <w:ilvl w:val="4"/>
          <w:numId w:val="13"/>
        </w:numPr>
        <w:ind w:left="1701" w:hanging="283"/>
        <w:rPr>
          <w:rFonts w:ascii="Verdana" w:hAnsi="Verdana"/>
          <w:i/>
          <w:iCs/>
          <w:color w:val="FF0000"/>
          <w:sz w:val="18"/>
          <w:szCs w:val="18"/>
        </w:rPr>
      </w:pPr>
      <w:r>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pPr>
        <w:keepNext w:val="0"/>
        <w:numPr>
          <w:ilvl w:val="4"/>
          <w:numId w:val="13"/>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Pr>
          <w:rFonts w:ascii="Verdana" w:hAnsi="Verdana"/>
          <w:sz w:val="18"/>
          <w:szCs w:val="18"/>
        </w:rPr>
        <w:t>O acervo técnico de uma pessoa jurídica variará em função da alteração do acervo do seu quadro de profissionais e consultores (§ único do art. 4º da Resolução 317/86 do CONFEA);</w:t>
      </w:r>
    </w:p>
    <w:p>
      <w:pPr>
        <w:pStyle w:val="80"/>
        <w:keepNext w:val="0"/>
        <w:numPr>
          <w:ilvl w:val="1"/>
          <w:numId w:val="13"/>
        </w:numPr>
        <w:ind w:left="851" w:hanging="284"/>
        <w:rPr>
          <w:rFonts w:ascii="Verdana" w:hAnsi="Verdana" w:cs="Arial"/>
          <w:color w:val="000000" w:themeColor="text1"/>
          <w:sz w:val="18"/>
          <w:szCs w:val="18"/>
        </w:rPr>
      </w:pPr>
      <w:r>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80"/>
        <w:keepNext w:val="0"/>
        <w:numPr>
          <w:ilvl w:val="1"/>
          <w:numId w:val="13"/>
        </w:numPr>
        <w:ind w:left="851" w:hanging="284"/>
        <w:rPr>
          <w:rFonts w:ascii="Verdana" w:hAnsi="Verdana" w:cs="Arial"/>
          <w:bCs/>
          <w:color w:val="000000"/>
          <w:sz w:val="18"/>
          <w:szCs w:val="18"/>
        </w:rPr>
      </w:pPr>
      <w:r>
        <w:rPr>
          <w:rFonts w:ascii="Verdana" w:hAnsi="Verdana" w:cs="Arial"/>
          <w:bCs/>
          <w:color w:val="000000"/>
          <w:sz w:val="18"/>
          <w:szCs w:val="18"/>
        </w:rPr>
        <w:t xml:space="preserve">A </w:t>
      </w:r>
      <w:r>
        <w:rPr>
          <w:rFonts w:ascii="Verdana" w:hAnsi="Verdana" w:cs="Arial"/>
          <w:color w:val="000000"/>
          <w:sz w:val="18"/>
          <w:szCs w:val="18"/>
        </w:rPr>
        <w:t>declaração</w:t>
      </w:r>
      <w:r>
        <w:rPr>
          <w:rFonts w:ascii="Verdana" w:hAnsi="Verdana" w:cs="Arial"/>
          <w:bCs/>
          <w:color w:val="000000"/>
          <w:sz w:val="18"/>
          <w:szCs w:val="18"/>
        </w:rPr>
        <w:t xml:space="preserve"> do vencedor acontecerá no momento imediatamente posterior à fase de habilitação.</w:t>
      </w:r>
    </w:p>
    <w:p>
      <w:pPr>
        <w:pStyle w:val="80"/>
        <w:keepNext w:val="0"/>
        <w:numPr>
          <w:ilvl w:val="1"/>
          <w:numId w:val="13"/>
        </w:numPr>
        <w:ind w:left="851" w:hanging="284"/>
        <w:rPr>
          <w:rFonts w:ascii="Verdana" w:hAnsi="Verdana" w:cs="Arial"/>
          <w:color w:val="000000" w:themeColor="text1"/>
          <w:sz w:val="18"/>
          <w:szCs w:val="18"/>
        </w:rPr>
      </w:pPr>
      <w:r>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pPr>
        <w:pStyle w:val="80"/>
        <w:keepNext w:val="0"/>
        <w:numPr>
          <w:ilvl w:val="2"/>
          <w:numId w:val="13"/>
        </w:numPr>
        <w:ind w:left="1134" w:hanging="283"/>
        <w:rPr>
          <w:rFonts w:ascii="Verdana" w:hAnsi="Verdana" w:cs="Arial"/>
          <w:color w:val="000000" w:themeColor="text1"/>
          <w:sz w:val="18"/>
          <w:szCs w:val="18"/>
        </w:rPr>
      </w:pPr>
      <w:r>
        <w:rPr>
          <w:rFonts w:ascii="Verdana" w:hAnsi="Verdana" w:cs="Arial"/>
          <w:color w:val="000000"/>
          <w:sz w:val="18"/>
          <w:szCs w:val="18"/>
        </w:rPr>
        <w:t>O prazo poderá ser prorrogado por igual período, a critério da administração pública, quando requerida pelo licitante, mediante apresentação de justificativa.</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 xml:space="preserve">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rPr>
        <w:t>Constatado</w:t>
      </w:r>
      <w:r>
        <w:rPr>
          <w:rFonts w:ascii="Verdana" w:hAnsi="Verdana" w:cs="Arial"/>
          <w:color w:val="000000"/>
          <w:sz w:val="18"/>
          <w:szCs w:val="18"/>
          <w:lang w:eastAsia="en-US"/>
        </w:rPr>
        <w:t xml:space="preserve"> o atendimento às exigências de habilitação fixadas no Edital, o licitante será declarado vencedor.</w:t>
      </w:r>
    </w:p>
    <w:p>
      <w:pPr>
        <w:pStyle w:val="67"/>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pPr>
        <w:pStyle w:val="80"/>
        <w:keepNext w:val="0"/>
        <w:numPr>
          <w:ilvl w:val="0"/>
          <w:numId w:val="13"/>
        </w:numPr>
        <w:ind w:left="284" w:hanging="284"/>
        <w:rPr>
          <w:rFonts w:ascii="Verdana" w:hAnsi="Verdana" w:cs="Arial"/>
          <w:sz w:val="18"/>
          <w:szCs w:val="18"/>
        </w:rPr>
      </w:pPr>
      <w:r>
        <w:rPr>
          <w:rFonts w:ascii="Verdana" w:hAnsi="Verdana" w:cs="Arial"/>
          <w:b/>
          <w:color w:val="000000"/>
          <w:sz w:val="18"/>
          <w:szCs w:val="18"/>
          <w:lang w:eastAsia="en-US"/>
        </w:rPr>
        <w:t xml:space="preserve">DOS </w:t>
      </w:r>
      <w:r>
        <w:rPr>
          <w:rFonts w:ascii="Verdana" w:hAnsi="Verdana" w:cs="Arial"/>
          <w:b/>
          <w:bCs/>
          <w:color w:val="000000"/>
          <w:sz w:val="18"/>
          <w:szCs w:val="18"/>
          <w:lang w:eastAsia="en-US"/>
        </w:rPr>
        <w:t>RECURSOS</w:t>
      </w:r>
      <w:r>
        <w:rPr>
          <w:rFonts w:ascii="Verdana" w:hAnsi="Verdana" w:cs="Arial"/>
          <w:b/>
          <w:color w:val="000000"/>
          <w:sz w:val="18"/>
          <w:szCs w:val="18"/>
          <w:lang w:eastAsia="en-US"/>
        </w:rPr>
        <w:t xml:space="preserve"> </w:t>
      </w:r>
    </w:p>
    <w:p>
      <w:pPr>
        <w:pStyle w:val="80"/>
        <w:keepNext w:val="0"/>
        <w:numPr>
          <w:ilvl w:val="1"/>
          <w:numId w:val="13"/>
        </w:numPr>
        <w:ind w:left="851" w:hanging="284"/>
        <w:rPr>
          <w:rFonts w:ascii="Verdana" w:hAnsi="Verdana" w:cs="Arial"/>
          <w:sz w:val="18"/>
          <w:szCs w:val="18"/>
        </w:rPr>
      </w:pPr>
      <w:r>
        <w:rPr>
          <w:rFonts w:ascii="Verdana" w:hAnsi="Verdana" w:cs="Arial"/>
          <w:color w:val="000000"/>
          <w:sz w:val="18"/>
          <w:szCs w:val="18"/>
          <w:lang w:eastAsia="en-US"/>
        </w:rPr>
        <w:t xml:space="preserve">Declarado o vencedor e decorrida a fase de regularização fiscal de microempresa, empresa de pequeno porte ou </w:t>
      </w:r>
      <w:r>
        <w:rPr>
          <w:rFonts w:ascii="Verdana" w:hAnsi="Verdana" w:eastAsia="Zurich BT" w:cs="Arial"/>
          <w:bCs/>
          <w:sz w:val="18"/>
          <w:szCs w:val="18"/>
        </w:rPr>
        <w:t>sociedade cooperativa</w:t>
      </w:r>
      <w:r>
        <w:rPr>
          <w:rFonts w:ascii="Verdana" w:hAnsi="Verdana" w:cs="Arial"/>
          <w:color w:val="000000"/>
          <w:sz w:val="18"/>
          <w:szCs w:val="18"/>
          <w:lang w:eastAsia="en-US"/>
        </w:rPr>
        <w:t xml:space="preserve">, se for o caso, </w:t>
      </w:r>
      <w:r>
        <w:rPr>
          <w:rFonts w:ascii="Verdana" w:hAnsi="Verdana" w:cs="Arial"/>
          <w:color w:val="000000"/>
          <w:sz w:val="18"/>
          <w:szCs w:val="18"/>
        </w:rPr>
        <w:t>poderá o licitante, que desejar apresentar recurso, manifestar a intenção de recorrer imediatamente após o término de cada sessão, de forma motivada, isto é, indicando contra qual(is) decisão(ões) pretende recorrer e por quais motivos, em campo próprio do sistema.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São suscetíveis de recurso neste momento as seguintes decisões:</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 xml:space="preserve">ato de habilitação ou inabilitação de licitante; </w:t>
      </w:r>
    </w:p>
    <w:p>
      <w:pPr>
        <w:pStyle w:val="80"/>
        <w:keepNext w:val="0"/>
        <w:numPr>
          <w:ilvl w:val="3"/>
          <w:numId w:val="13"/>
        </w:numPr>
        <w:ind w:left="1418" w:hanging="284"/>
        <w:rPr>
          <w:rFonts w:ascii="Verdana" w:hAnsi="Verdana" w:cs="Arial"/>
          <w:sz w:val="18"/>
          <w:szCs w:val="18"/>
        </w:rPr>
      </w:pPr>
      <w:r>
        <w:rPr>
          <w:rFonts w:ascii="Verdana" w:hAnsi="Verdana" w:cs="Arial"/>
          <w:sz w:val="18"/>
          <w:szCs w:val="18"/>
        </w:rPr>
        <w:t xml:space="preserve">julgamento das propostas; </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xml:space="preserve">Independentemente do momento de realização do ato a ser recorrido, o recurso deverá ser apresentado nesta fase recursal única. </w:t>
      </w:r>
    </w:p>
    <w:p>
      <w:pPr>
        <w:pStyle w:val="80"/>
        <w:keepNext w:val="0"/>
        <w:numPr>
          <w:ilvl w:val="1"/>
          <w:numId w:val="13"/>
        </w:numPr>
        <w:ind w:left="851" w:hanging="284"/>
        <w:rPr>
          <w:rFonts w:ascii="Verdana" w:hAnsi="Verdana" w:cs="Arial"/>
          <w:sz w:val="18"/>
          <w:szCs w:val="18"/>
        </w:rPr>
      </w:pPr>
      <w:r>
        <w:rPr>
          <w:rFonts w:ascii="Verdana" w:hAnsi="Verdana" w:cs="Arial"/>
          <w:color w:val="000000"/>
          <w:sz w:val="18"/>
          <w:szCs w:val="18"/>
        </w:rPr>
        <w:t xml:space="preserve">Havendo quem se manifeste, caberá à Comissão de Licitação verificar a tempestividade e a </w:t>
      </w:r>
      <w:r>
        <w:rPr>
          <w:rFonts w:ascii="Verdana" w:hAnsi="Verdana" w:cs="Arial"/>
          <w:color w:val="000000"/>
          <w:sz w:val="18"/>
          <w:szCs w:val="18"/>
          <w:lang w:eastAsia="en-US"/>
        </w:rPr>
        <w:t>existência</w:t>
      </w:r>
      <w:r>
        <w:rPr>
          <w:rFonts w:ascii="Verdana" w:hAnsi="Verdana" w:cs="Arial"/>
          <w:color w:val="000000"/>
          <w:sz w:val="18"/>
          <w:szCs w:val="18"/>
        </w:rPr>
        <w:t xml:space="preserve"> de motivação da intenção de recorrer, para decidir se admite ou não o recurso, fundamentadamente.</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Nesse momento a Comissão de Licitação não adentrará no mérito recursal, mas apenas verificará as condições de admissibilidade do recurso.</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Uma vez admitido o recurso, o recorrente terá, a partir de então, o prazo de cinco dias úteis para apresentar as razões, pelo sistema eletrônico, ficando os demais licitantes, desde logo, intimados para, querendo, apresentarem contrarrazões também pelo sistema eletrônico, em outros cinco dias úteis, que começarão a contar do término do prazo do recorrente, sendo-lhes assegurada vista imediata dos elementos indispensáveis à defesa de seus interesses.</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 xml:space="preserve">A competência e prazo para análise do recurso observará o disposto no art. 56 do Decreto nº 7.581, de 2011. </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O acolhimento do recurso invalida tão somente os atos insuscetíveis de aproveitamento.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Os autos do processo permanecerão com vista franqueada aos interessados, no endereço constante neste Edital.</w:t>
      </w:r>
    </w:p>
    <w:p>
      <w:pPr>
        <w:pStyle w:val="80"/>
        <w:keepNext w:val="0"/>
        <w:ind w:left="851" w:hanging="284"/>
        <w:rPr>
          <w:rFonts w:ascii="Verdana" w:hAnsi="Verdana" w:cs="Arial"/>
          <w:sz w:val="18"/>
          <w:szCs w:val="18"/>
        </w:rPr>
      </w:pPr>
    </w:p>
    <w:p>
      <w:pPr>
        <w:pStyle w:val="80"/>
        <w:keepNext w:val="0"/>
        <w:numPr>
          <w:ilvl w:val="0"/>
          <w:numId w:val="13"/>
        </w:numPr>
        <w:ind w:left="284" w:hanging="284"/>
        <w:rPr>
          <w:rFonts w:ascii="Verdana" w:hAnsi="Verdana" w:cs="Arial"/>
          <w:sz w:val="18"/>
          <w:szCs w:val="18"/>
        </w:rPr>
      </w:pPr>
      <w:r>
        <w:rPr>
          <w:rFonts w:ascii="Verdana" w:hAnsi="Verdana" w:cs="Arial"/>
          <w:b/>
          <w:color w:val="000000"/>
          <w:sz w:val="18"/>
          <w:szCs w:val="18"/>
        </w:rPr>
        <w:t xml:space="preserve">DA </w:t>
      </w:r>
      <w:r>
        <w:rPr>
          <w:rFonts w:ascii="Verdana" w:hAnsi="Verdana" w:cs="Arial"/>
          <w:b/>
          <w:bCs/>
          <w:color w:val="000000"/>
          <w:sz w:val="18"/>
          <w:szCs w:val="18"/>
          <w:lang w:eastAsia="en-US"/>
        </w:rPr>
        <w:t>ADJUDICAÇÃO</w:t>
      </w:r>
      <w:r>
        <w:rPr>
          <w:rFonts w:ascii="Verdana" w:hAnsi="Verdana" w:cs="Arial"/>
          <w:b/>
          <w:color w:val="000000"/>
          <w:sz w:val="18"/>
          <w:szCs w:val="18"/>
        </w:rPr>
        <w:t xml:space="preserve"> E HOMOLOGAÇÃO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Finalizada a fase recursal, a administração pública poderá negociar condições mais vantajosas com o primeiro colocado.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Exaurida a negociação acima, constatada a regularidade dos atos praticados, a autoridade competente poderá:</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determinar o retorno dos autos para saneamento de irregularidades que forem supríveis;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anular o procedimento, no todo ou em parte, por vício insanável;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revogar o procedimento por motivo de conveniência e oportunidade; ou,</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adjudicar o objeto, homologar a licitação e convocar o licitante vencedor para a assinatura do contrato, preferencialmente em ato único.</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lang w:eastAsia="en-US"/>
        </w:rPr>
        <w:t>Caberá</w:t>
      </w:r>
      <w:r>
        <w:rPr>
          <w:rFonts w:ascii="Verdana" w:hAnsi="Verdana" w:cs="Arial"/>
          <w:color w:val="000000"/>
          <w:sz w:val="18"/>
          <w:szCs w:val="18"/>
        </w:rPr>
        <w:t xml:space="preserve"> recurso no prazo de cinco dias úteis contado a partir da data da anulação ou revogação da licitação, observado o disposto no item 11 desse edital, no que couber. </w:t>
      </w:r>
      <w:r>
        <w:rPr>
          <w:rFonts w:ascii="Verdana" w:hAnsi="Verdana" w:cs="Arial"/>
          <w:color w:val="000000"/>
          <w:sz w:val="18"/>
          <w:szCs w:val="18"/>
        </w:rPr>
        <w:tab/>
      </w:r>
    </w:p>
    <w:p>
      <w:pPr>
        <w:pStyle w:val="80"/>
        <w:keepNext w:val="0"/>
        <w:numPr>
          <w:ilvl w:val="0"/>
          <w:numId w:val="13"/>
        </w:numPr>
        <w:ind w:left="284" w:hanging="284"/>
        <w:rPr>
          <w:rFonts w:ascii="Verdana" w:hAnsi="Verdana" w:cs="Arial"/>
          <w:sz w:val="18"/>
          <w:szCs w:val="18"/>
        </w:rPr>
      </w:pPr>
      <w:r>
        <w:rPr>
          <w:rFonts w:ascii="Verdana" w:hAnsi="Verdana" w:cs="Arial"/>
          <w:b/>
          <w:sz w:val="18"/>
          <w:szCs w:val="18"/>
        </w:rPr>
        <w:t xml:space="preserve">DA </w:t>
      </w:r>
      <w:r>
        <w:rPr>
          <w:rFonts w:ascii="Verdana" w:hAnsi="Verdana" w:cs="Arial"/>
          <w:b/>
          <w:bCs/>
          <w:sz w:val="18"/>
          <w:szCs w:val="18"/>
          <w:lang w:eastAsia="en-US"/>
        </w:rPr>
        <w:t>GARANTIA</w:t>
      </w:r>
      <w:r>
        <w:rPr>
          <w:rFonts w:ascii="Verdana" w:hAnsi="Verdana" w:cs="Arial"/>
          <w:b/>
          <w:sz w:val="18"/>
          <w:szCs w:val="18"/>
        </w:rPr>
        <w:t xml:space="preserve"> DE EXECUÇÃO</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 xml:space="preserve">Será exigida a prestação de garantia na presente contratação, conforme regras constantes do Termo de Referência. </w:t>
      </w:r>
    </w:p>
    <w:p>
      <w:pPr>
        <w:pStyle w:val="80"/>
        <w:keepNext w:val="0"/>
        <w:ind w:firstLine="0"/>
        <w:rPr>
          <w:rFonts w:ascii="Verdana" w:hAnsi="Verdana" w:cs="Arial"/>
          <w:bCs/>
          <w:iCs/>
          <w:color w:val="000000"/>
          <w:sz w:val="18"/>
          <w:szCs w:val="18"/>
        </w:rPr>
      </w:pPr>
    </w:p>
    <w:p>
      <w:pPr>
        <w:pStyle w:val="80"/>
        <w:keepNext w:val="0"/>
        <w:numPr>
          <w:ilvl w:val="0"/>
          <w:numId w:val="13"/>
        </w:numPr>
        <w:ind w:left="284" w:hanging="284"/>
        <w:rPr>
          <w:rFonts w:ascii="Verdana" w:hAnsi="Verdana" w:cs="Arial"/>
          <w:sz w:val="18"/>
          <w:szCs w:val="18"/>
        </w:rPr>
      </w:pPr>
      <w:r>
        <w:rPr>
          <w:rFonts w:ascii="Verdana" w:hAnsi="Verdana" w:cs="Arial"/>
          <w:b/>
          <w:color w:val="000000"/>
          <w:sz w:val="18"/>
          <w:szCs w:val="18"/>
        </w:rPr>
        <w:t xml:space="preserve">DO </w:t>
      </w:r>
      <w:r>
        <w:rPr>
          <w:rFonts w:ascii="Verdana" w:hAnsi="Verdana" w:cs="Arial"/>
          <w:b/>
          <w:bCs/>
          <w:color w:val="000000"/>
          <w:sz w:val="18"/>
          <w:szCs w:val="18"/>
          <w:lang w:eastAsia="en-US"/>
        </w:rPr>
        <w:t>TERMO</w:t>
      </w:r>
      <w:r>
        <w:rPr>
          <w:rFonts w:ascii="Verdana" w:hAnsi="Verdana" w:cs="Arial"/>
          <w:b/>
          <w:color w:val="000000"/>
          <w:sz w:val="18"/>
          <w:szCs w:val="18"/>
        </w:rPr>
        <w:t xml:space="preserve"> DE CONTRATO OU INSTRUMENTO EQUIVALENTE</w:t>
      </w:r>
    </w:p>
    <w:p>
      <w:pPr>
        <w:pStyle w:val="80"/>
        <w:keepNext w:val="0"/>
        <w:numPr>
          <w:ilvl w:val="1"/>
          <w:numId w:val="13"/>
        </w:numPr>
        <w:ind w:left="851" w:hanging="284"/>
        <w:rPr>
          <w:rFonts w:ascii="Verdana" w:hAnsi="Verdana" w:cs="Arial"/>
          <w:sz w:val="18"/>
          <w:szCs w:val="18"/>
        </w:rPr>
      </w:pPr>
      <w:r>
        <w:rPr>
          <w:rFonts w:ascii="Verdana" w:hAnsi="Verdana" w:cs="Arial"/>
          <w:sz w:val="18"/>
          <w:szCs w:val="18"/>
        </w:rPr>
        <w:t>Após a homologação da licitação, em sendo realizada a contratação, será firmado Termo de Contrato ou emitido instrumento equivalente.</w:t>
      </w:r>
    </w:p>
    <w:p>
      <w:pPr>
        <w:pStyle w:val="80"/>
        <w:keepNext w:val="0"/>
        <w:numPr>
          <w:ilvl w:val="1"/>
          <w:numId w:val="13"/>
        </w:numPr>
        <w:ind w:left="851" w:hanging="284"/>
        <w:rPr>
          <w:rFonts w:ascii="Verdana" w:hAnsi="Verdana" w:eastAsia="Arial" w:cs="Arial"/>
          <w:color w:val="000000"/>
          <w:sz w:val="18"/>
          <w:szCs w:val="18"/>
        </w:rPr>
      </w:pPr>
      <w:bookmarkStart w:id="4" w:name="_Hlk37451885"/>
      <w:r>
        <w:rPr>
          <w:rFonts w:ascii="Verdana" w:hAnsi="Verdana" w:eastAsia="Arial" w:cs="Arial"/>
          <w:color w:val="000000"/>
          <w:sz w:val="18"/>
          <w:szCs w:val="18"/>
        </w:rPr>
        <w:t xml:space="preserve">O vencedor terá o prazo de 03 (três)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03 (três) dias, a contar da data de seu recebimento.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O prazo previsto no subitem anterior poderá ser prorrogado, por igual período, por solicitação justificada do adjudicatário e aceita pela Administração.</w:t>
      </w:r>
    </w:p>
    <w:bookmarkEnd w:id="4"/>
    <w:p>
      <w:pPr>
        <w:pStyle w:val="80"/>
        <w:keepNext w:val="0"/>
        <w:numPr>
          <w:ilvl w:val="1"/>
          <w:numId w:val="13"/>
        </w:numPr>
        <w:ind w:left="851" w:hanging="284"/>
        <w:rPr>
          <w:rFonts w:ascii="Verdana" w:hAnsi="Verdana" w:eastAsia="Arial" w:cs="Arial"/>
          <w:color w:val="000000"/>
          <w:sz w:val="18"/>
          <w:szCs w:val="18"/>
        </w:rPr>
      </w:pPr>
      <w:r>
        <w:rPr>
          <w:rFonts w:ascii="Verdana" w:hAnsi="Verdana" w:eastAsia="Arial" w:cs="Arial"/>
          <w:color w:val="000000"/>
          <w:sz w:val="18"/>
          <w:szCs w:val="18"/>
        </w:rPr>
        <w:t>O Aceite da Nota de Empenho ou do instrumento equivalente, emitida à empresa adjudicada, implica no reconhecimento de que:</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referida Nota está substituindo o contrato, aplicando-se à relação de negócios ali estabelecida as disposições da Lei nº 8.666, de 1993;</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a contratada se vincula à sua proposta e às previsões contidas no edital e seus anexos;</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a contratada reconhece que as hipóteses de rescisão são aquelas previstas nos artigos 77 e 78 da Lei nº 8.666/93 e reconhece os direitos da Administração previstos nos artigos 79 e 80 da mesma Lei.</w:t>
      </w:r>
    </w:p>
    <w:p>
      <w:pPr>
        <w:pStyle w:val="80"/>
        <w:keepNext w:val="0"/>
        <w:numPr>
          <w:ilvl w:val="1"/>
          <w:numId w:val="13"/>
        </w:numPr>
        <w:ind w:left="851" w:hanging="284"/>
        <w:rPr>
          <w:rFonts w:ascii="Verdana" w:hAnsi="Verdana" w:eastAsia="Arial" w:cs="Arial"/>
          <w:color w:val="000000"/>
          <w:sz w:val="18"/>
          <w:szCs w:val="18"/>
        </w:rPr>
      </w:pPr>
      <w:r>
        <w:rPr>
          <w:rFonts w:ascii="Verdana" w:hAnsi="Verdana" w:eastAsia="Arial"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Nos casos em que houver necessidade de assinatura do instrumento de contrato, e o fornecedor não estiver inscrito no SICAF, este deverá proceder ao seu cadastramento, sem ônus, antes da contratação.</w:t>
      </w:r>
    </w:p>
    <w:p>
      <w:pPr>
        <w:pStyle w:val="80"/>
        <w:keepNext w:val="0"/>
        <w:numPr>
          <w:ilvl w:val="2"/>
          <w:numId w:val="13"/>
        </w:numPr>
        <w:ind w:left="1134" w:hanging="283"/>
        <w:rPr>
          <w:rFonts w:ascii="Verdana" w:hAnsi="Verdana" w:eastAsia="Arial" w:cs="Arial"/>
          <w:color w:val="000000"/>
          <w:sz w:val="18"/>
          <w:szCs w:val="18"/>
        </w:rPr>
      </w:pPr>
      <w:r>
        <w:rPr>
          <w:rFonts w:ascii="Verdana" w:hAnsi="Verdana" w:eastAsia="Arial" w:cs="Arial"/>
          <w:color w:val="000000"/>
          <w:sz w:val="18"/>
          <w:szCs w:val="18"/>
        </w:rPr>
        <w:t>Na hipótese de irregularidade do registro no SICAF, o contratado deverá regularizar a sua situação perante o cadastro</w:t>
      </w:r>
      <w:r>
        <w:rPr>
          <w:rFonts w:ascii="Verdana" w:hAnsi="Verdana" w:cs="Arial"/>
          <w:color w:val="000000"/>
          <w:sz w:val="18"/>
          <w:szCs w:val="18"/>
        </w:rPr>
        <w:t xml:space="preserve"> no prazo de até 05 (cinco) dias úteis, sob pena de aplicação das penalidades previstas no edital e anexos.</w:t>
      </w:r>
    </w:p>
    <w:p>
      <w:pPr>
        <w:pStyle w:val="80"/>
        <w:keepNext w:val="0"/>
        <w:numPr>
          <w:ilvl w:val="1"/>
          <w:numId w:val="13"/>
        </w:numPr>
        <w:ind w:left="851" w:hanging="284"/>
        <w:rPr>
          <w:rFonts w:ascii="Verdana" w:hAnsi="Verdana" w:eastAsia="Arial" w:cs="Arial"/>
          <w:color w:val="000000"/>
          <w:sz w:val="18"/>
          <w:szCs w:val="18"/>
        </w:rPr>
      </w:pPr>
      <w:r>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pPr>
        <w:pStyle w:val="80"/>
        <w:keepNext w:val="0"/>
        <w:numPr>
          <w:ilvl w:val="1"/>
          <w:numId w:val="13"/>
        </w:numPr>
        <w:ind w:left="851" w:hanging="284"/>
        <w:rPr>
          <w:rFonts w:ascii="Verdana" w:hAnsi="Verdana" w:cs="Arial"/>
          <w:color w:val="000000"/>
          <w:sz w:val="18"/>
          <w:szCs w:val="18"/>
        </w:rPr>
      </w:pPr>
      <w:bookmarkStart w:id="5" w:name="_Hlk37452257"/>
      <w:r>
        <w:rPr>
          <w:rFonts w:ascii="Verdana" w:hAnsi="Verdana" w:cs="Arial"/>
          <w:color w:val="000000"/>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nas condições ofertadas pelo licitante originalmente vencedor.</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Pr>
          <w:rFonts w:ascii="Verdana" w:hAnsi="Verdana" w:eastAsia="Arial" w:cs="Arial"/>
          <w:color w:val="000000"/>
          <w:sz w:val="18"/>
          <w:szCs w:val="18"/>
        </w:rPr>
        <w:t>para</w:t>
      </w:r>
      <w:r>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5"/>
      <w:r>
        <w:rPr>
          <w:rFonts w:ascii="Verdana" w:hAnsi="Verdana" w:cs="Arial"/>
          <w:color w:val="000000"/>
          <w:sz w:val="18"/>
          <w:szCs w:val="18"/>
        </w:rPr>
        <w:t>. </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pPr>
        <w:pStyle w:val="80"/>
        <w:keepNext w:val="0"/>
        <w:numPr>
          <w:ilvl w:val="0"/>
          <w:numId w:val="13"/>
        </w:numPr>
        <w:ind w:left="284" w:hanging="284"/>
        <w:rPr>
          <w:rFonts w:ascii="Verdana" w:hAnsi="Verdana" w:cs="Arial"/>
          <w:b/>
          <w:color w:val="000000"/>
          <w:sz w:val="18"/>
          <w:szCs w:val="18"/>
        </w:rPr>
      </w:pPr>
      <w:r>
        <w:rPr>
          <w:rFonts w:ascii="Verdana" w:hAnsi="Verdana" w:cs="Arial"/>
          <w:b/>
          <w:color w:val="000000"/>
          <w:sz w:val="18"/>
          <w:szCs w:val="18"/>
        </w:rPr>
        <w:t>DO REAJUSTAMENTO EM SENTIDO GERAL</w:t>
      </w:r>
    </w:p>
    <w:p>
      <w:pPr>
        <w:pStyle w:val="80"/>
        <w:keepNext w:val="0"/>
        <w:numPr>
          <w:ilvl w:val="1"/>
          <w:numId w:val="13"/>
        </w:numPr>
        <w:ind w:left="851" w:hanging="284"/>
        <w:rPr>
          <w:rFonts w:ascii="Verdana" w:hAnsi="Verdana" w:cs="Arial"/>
          <w:sz w:val="18"/>
          <w:szCs w:val="18"/>
          <w:lang w:eastAsia="en-US"/>
        </w:rPr>
      </w:pPr>
      <w:r>
        <w:rPr>
          <w:rFonts w:ascii="Verdana" w:hAnsi="Verdana" w:cs="Arial"/>
          <w:sz w:val="18"/>
          <w:szCs w:val="18"/>
          <w:lang w:eastAsia="en-US"/>
        </w:rPr>
        <w:t xml:space="preserve">As </w:t>
      </w:r>
      <w:r>
        <w:rPr>
          <w:rFonts w:ascii="Verdana" w:hAnsi="Verdana" w:cs="Arial"/>
          <w:color w:val="000000"/>
          <w:sz w:val="18"/>
          <w:szCs w:val="18"/>
        </w:rPr>
        <w:t>regras</w:t>
      </w:r>
      <w:r>
        <w:rPr>
          <w:rFonts w:ascii="Verdana" w:hAnsi="Verdana" w:cs="Arial"/>
          <w:sz w:val="18"/>
          <w:szCs w:val="18"/>
          <w:lang w:eastAsia="en-US"/>
        </w:rPr>
        <w:t xml:space="preserve"> acerca do reajuste do valor contratual são as estabelecidas no Termo de Referência, anexo a este Edital.</w:t>
      </w:r>
    </w:p>
    <w:p>
      <w:pPr>
        <w:pStyle w:val="80"/>
        <w:keepNext w:val="0"/>
        <w:ind w:left="567" w:firstLine="0"/>
        <w:rPr>
          <w:rFonts w:ascii="Verdana" w:hAnsi="Verdana" w:cs="Arial"/>
          <w:sz w:val="18"/>
          <w:szCs w:val="18"/>
        </w:rPr>
      </w:pPr>
    </w:p>
    <w:p>
      <w:pPr>
        <w:pStyle w:val="80"/>
        <w:keepNext w:val="0"/>
        <w:numPr>
          <w:ilvl w:val="0"/>
          <w:numId w:val="13"/>
        </w:numPr>
        <w:rPr>
          <w:rFonts w:ascii="Verdana" w:hAnsi="Verdana" w:cs="Arial"/>
          <w:sz w:val="18"/>
          <w:szCs w:val="18"/>
        </w:rPr>
      </w:pPr>
      <w:r>
        <w:rPr>
          <w:rFonts w:ascii="Verdana" w:hAnsi="Verdana" w:cs="Arial"/>
          <w:i/>
          <w:color w:val="FF0000"/>
          <w:sz w:val="18"/>
          <w:szCs w:val="18"/>
        </w:rPr>
        <w:t xml:space="preserve"> </w:t>
      </w:r>
      <w:r>
        <w:rPr>
          <w:rFonts w:ascii="Verdana" w:hAnsi="Verdana" w:cs="Arial"/>
          <w:b/>
          <w:sz w:val="18"/>
          <w:szCs w:val="18"/>
        </w:rPr>
        <w:t xml:space="preserve">DA </w:t>
      </w:r>
      <w:r>
        <w:rPr>
          <w:rFonts w:ascii="Verdana" w:hAnsi="Verdana" w:cs="Arial"/>
          <w:b/>
          <w:color w:val="000000"/>
          <w:sz w:val="18"/>
          <w:szCs w:val="18"/>
        </w:rPr>
        <w:t>ACEITAÇÃO</w:t>
      </w:r>
      <w:r>
        <w:rPr>
          <w:rFonts w:ascii="Verdana" w:hAnsi="Verdana" w:cs="Arial"/>
          <w:b/>
          <w:sz w:val="18"/>
          <w:szCs w:val="18"/>
        </w:rPr>
        <w:t xml:space="preserve"> DO OBJETO E DA FISCALIZAÇÃO</w:t>
      </w:r>
    </w:p>
    <w:p>
      <w:pPr>
        <w:pStyle w:val="80"/>
        <w:keepNext w:val="0"/>
        <w:numPr>
          <w:ilvl w:val="1"/>
          <w:numId w:val="13"/>
        </w:numPr>
        <w:ind w:left="851" w:hanging="284"/>
        <w:rPr>
          <w:rFonts w:ascii="Verdana" w:hAnsi="Verdana" w:cs="Arial"/>
          <w:sz w:val="18"/>
          <w:szCs w:val="18"/>
        </w:rPr>
      </w:pPr>
      <w:r>
        <w:rPr>
          <w:rFonts w:ascii="Verdana" w:hAnsi="Verdana" w:cs="Arial"/>
          <w:sz w:val="18"/>
          <w:szCs w:val="18"/>
          <w:lang w:eastAsia="en-US"/>
        </w:rPr>
        <w:t>Os critérios de recebimento e aceitação do objeto e de fiscalização estão previstos no Termo de Referência.</w:t>
      </w:r>
    </w:p>
    <w:p>
      <w:pPr>
        <w:pStyle w:val="80"/>
        <w:keepNext w:val="0"/>
        <w:ind w:left="567" w:firstLine="0"/>
        <w:rPr>
          <w:rFonts w:ascii="Verdana" w:hAnsi="Verdana" w:cs="Arial"/>
          <w:sz w:val="18"/>
          <w:szCs w:val="18"/>
        </w:rPr>
      </w:pPr>
    </w:p>
    <w:p>
      <w:pPr>
        <w:pStyle w:val="80"/>
        <w:keepNext w:val="0"/>
        <w:numPr>
          <w:ilvl w:val="0"/>
          <w:numId w:val="13"/>
        </w:numPr>
        <w:rPr>
          <w:rFonts w:ascii="Verdana" w:hAnsi="Verdana" w:cs="Arial"/>
          <w:sz w:val="18"/>
          <w:szCs w:val="18"/>
        </w:rPr>
      </w:pPr>
      <w:r>
        <w:rPr>
          <w:rFonts w:ascii="Verdana" w:hAnsi="Verdana" w:cs="Arial"/>
          <w:b/>
          <w:color w:val="000000"/>
          <w:sz w:val="18"/>
          <w:szCs w:val="18"/>
          <w:lang w:eastAsia="en-US"/>
        </w:rPr>
        <w:t xml:space="preserve"> DAS OBRIGAÇÕES DA CONTRATANTE E DA CONTRATADA</w:t>
      </w:r>
    </w:p>
    <w:p>
      <w:pPr>
        <w:pStyle w:val="80"/>
        <w:keepNext w:val="0"/>
        <w:numPr>
          <w:ilvl w:val="1"/>
          <w:numId w:val="13"/>
        </w:numPr>
        <w:ind w:left="851" w:hanging="284"/>
        <w:rPr>
          <w:rFonts w:ascii="Verdana" w:hAnsi="Verdana" w:cs="Arial"/>
          <w:sz w:val="18"/>
          <w:szCs w:val="18"/>
        </w:rPr>
      </w:pPr>
      <w:r>
        <w:rPr>
          <w:rFonts w:ascii="Verdana" w:hAnsi="Verdana" w:cs="Arial"/>
          <w:color w:val="000000"/>
          <w:sz w:val="18"/>
          <w:szCs w:val="18"/>
          <w:lang w:eastAsia="en-US"/>
        </w:rPr>
        <w:t xml:space="preserve">As </w:t>
      </w:r>
      <w:r>
        <w:rPr>
          <w:rFonts w:ascii="Verdana" w:hAnsi="Verdana" w:cs="Arial"/>
          <w:sz w:val="18"/>
          <w:szCs w:val="18"/>
          <w:lang w:eastAsia="en-US"/>
        </w:rPr>
        <w:t>obrigações</w:t>
      </w:r>
      <w:r>
        <w:rPr>
          <w:rFonts w:ascii="Verdana" w:hAnsi="Verdana" w:cs="Arial"/>
          <w:color w:val="000000"/>
          <w:sz w:val="18"/>
          <w:szCs w:val="18"/>
          <w:lang w:eastAsia="en-US"/>
        </w:rPr>
        <w:t xml:space="preserve"> da Contratante e da Contratada são as estabelecidas no </w:t>
      </w:r>
      <w:r>
        <w:rPr>
          <w:rFonts w:ascii="Verdana" w:hAnsi="Verdana" w:cs="Arial"/>
          <w:sz w:val="18"/>
          <w:szCs w:val="18"/>
          <w:lang w:eastAsia="en-US"/>
        </w:rPr>
        <w:t>Termo de Referência.</w:t>
      </w:r>
    </w:p>
    <w:p>
      <w:pPr>
        <w:pStyle w:val="80"/>
        <w:keepNext w:val="0"/>
        <w:widowControl/>
        <w:spacing w:before="120" w:after="120"/>
        <w:ind w:left="567" w:firstLine="0"/>
        <w:rPr>
          <w:rFonts w:ascii="Verdana" w:hAnsi="Verdana" w:cs="Arial"/>
          <w:sz w:val="18"/>
          <w:szCs w:val="18"/>
        </w:rPr>
      </w:pPr>
    </w:p>
    <w:p>
      <w:pPr>
        <w:pStyle w:val="80"/>
        <w:keepNext w:val="0"/>
        <w:numPr>
          <w:ilvl w:val="0"/>
          <w:numId w:val="13"/>
        </w:numPr>
        <w:rPr>
          <w:rFonts w:ascii="Verdana" w:hAnsi="Verdana" w:cs="Arial"/>
          <w:sz w:val="18"/>
          <w:szCs w:val="18"/>
        </w:rPr>
      </w:pPr>
      <w:r>
        <w:rPr>
          <w:rFonts w:ascii="Verdana" w:hAnsi="Verdana" w:cs="Arial"/>
          <w:b/>
          <w:color w:val="000000"/>
          <w:sz w:val="18"/>
          <w:szCs w:val="18"/>
        </w:rPr>
        <w:t xml:space="preserve">DO </w:t>
      </w:r>
      <w:r>
        <w:rPr>
          <w:rFonts w:ascii="Verdana" w:hAnsi="Verdana" w:cs="Arial"/>
          <w:b/>
          <w:color w:val="000000"/>
          <w:sz w:val="18"/>
          <w:szCs w:val="18"/>
          <w:lang w:eastAsia="en-US"/>
        </w:rPr>
        <w:t>PAGAMENTO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 xml:space="preserve">As regras </w:t>
      </w:r>
      <w:r>
        <w:rPr>
          <w:rFonts w:ascii="Verdana" w:hAnsi="Verdana" w:cs="Arial"/>
          <w:sz w:val="18"/>
          <w:szCs w:val="18"/>
          <w:lang w:eastAsia="en-US"/>
        </w:rPr>
        <w:t>acerca</w:t>
      </w:r>
      <w:r>
        <w:rPr>
          <w:rFonts w:ascii="Verdana" w:hAnsi="Verdana" w:cs="Arial"/>
          <w:color w:val="000000"/>
          <w:sz w:val="18"/>
          <w:szCs w:val="18"/>
          <w:lang w:eastAsia="en-US"/>
        </w:rPr>
        <w:t xml:space="preserve"> do pagamento são as estabelecidas no Termo de Referência, anexo a este Edital.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É admitida a cessão de crédito decorrente da contratação de que trata este Instrumento Convocatório, nos termos do previsto na minuta contratual anexa a este Edital. </w:t>
      </w:r>
    </w:p>
    <w:p>
      <w:pPr>
        <w:pStyle w:val="80"/>
        <w:keepNext w:val="0"/>
        <w:numPr>
          <w:ilvl w:val="2"/>
          <w:numId w:val="13"/>
        </w:numPr>
        <w:ind w:left="1134" w:hanging="283"/>
        <w:rPr>
          <w:rFonts w:ascii="Verdana" w:hAnsi="Verdana" w:cs="Arial"/>
          <w:iCs/>
          <w:sz w:val="18"/>
          <w:szCs w:val="18"/>
          <w:lang w:eastAsia="en-US"/>
        </w:rPr>
      </w:pPr>
      <w:r>
        <w:rPr>
          <w:rFonts w:ascii="Verdana" w:hAnsi="Verdana" w:cs="Arial"/>
          <w:iCs/>
          <w:sz w:val="18"/>
          <w:szCs w:val="18"/>
          <w:lang w:eastAsia="en-US"/>
        </w:rPr>
        <w:t>A presente contratação não permite a antecipação de pagamento, conforme as regras previstas no Termo de Referência.</w:t>
      </w:r>
    </w:p>
    <w:p>
      <w:pPr>
        <w:pStyle w:val="80"/>
        <w:keepNext w:val="0"/>
        <w:ind w:left="1854" w:firstLine="0"/>
        <w:rPr>
          <w:rFonts w:ascii="Verdana" w:hAnsi="Verdana" w:cs="Arial"/>
          <w:iCs/>
          <w:sz w:val="18"/>
          <w:szCs w:val="18"/>
          <w:lang w:eastAsia="en-US"/>
        </w:rPr>
      </w:pPr>
    </w:p>
    <w:p>
      <w:pPr>
        <w:pStyle w:val="80"/>
        <w:keepNext w:val="0"/>
        <w:numPr>
          <w:ilvl w:val="0"/>
          <w:numId w:val="13"/>
        </w:numPr>
        <w:rPr>
          <w:rFonts w:ascii="Verdana" w:hAnsi="Verdana" w:cs="Arial"/>
          <w:sz w:val="18"/>
          <w:szCs w:val="18"/>
        </w:rPr>
      </w:pPr>
      <w:r>
        <w:rPr>
          <w:rFonts w:ascii="Verdana" w:hAnsi="Verdana" w:cs="Arial"/>
          <w:b/>
          <w:color w:val="000000"/>
          <w:sz w:val="18"/>
          <w:szCs w:val="18"/>
        </w:rPr>
        <w:t>DAS SANÇÕES ADMINISTRATIVAS.</w:t>
      </w:r>
    </w:p>
    <w:p>
      <w:pPr>
        <w:pStyle w:val="80"/>
        <w:keepNext w:val="0"/>
        <w:numPr>
          <w:ilvl w:val="1"/>
          <w:numId w:val="13"/>
        </w:numPr>
        <w:ind w:left="851" w:hanging="284"/>
        <w:rPr>
          <w:rFonts w:ascii="Verdana" w:hAnsi="Verdana" w:cs="Arial"/>
          <w:sz w:val="18"/>
          <w:szCs w:val="18"/>
        </w:rPr>
      </w:pPr>
      <w:r>
        <w:rPr>
          <w:rFonts w:ascii="Verdana" w:hAnsi="Verdana" w:cs="Arial"/>
          <w:color w:val="000000"/>
          <w:sz w:val="18"/>
          <w:szCs w:val="18"/>
          <w:lang w:eastAsia="en-US"/>
        </w:rPr>
        <w:t>Comete</w:t>
      </w:r>
      <w:r>
        <w:rPr>
          <w:rFonts w:ascii="Verdana" w:hAnsi="Verdana" w:cs="Arial"/>
          <w:sz w:val="18"/>
          <w:szCs w:val="18"/>
          <w:shd w:val="clear" w:color="auto" w:fill="FFFFFF"/>
        </w:rPr>
        <w:t xml:space="preserve"> infração administrativa, nos termos do art. 47 da Lei nº 12.462, de 2011, o licitante que:</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convocado dentro do prazo de validade da sua proposta não celebrar o contrato, inclusive nas hipóteses previstas no item 14.6 deste Edital;</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deixar de entregar a documentação exigida para o certame ou apresentar documento falso;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ensejar o retardamento da execução ou da entrega do objeto da licitação sem motivo justificado;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não mantiver a proposta, salvo se em decorrência de fato superveniente, devidamente justificado;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fraudar a licitação ou praticar atos fraudulentos na execução do contrato;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comportar-se de modo inidôneo ou cometer fraude fiscal; ou</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 xml:space="preserve">der causa à inexecução total ou parcial do contrato. </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O licitante que cometer qualquer das infrações discriminadas nos subitens anteriores ficará sujeito, sem prejuízo da responsabilidade civil e criminal, às seguintes sanções: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Advertência por faltas leves, assim entendidas como aquelas que não acarretarem prejuízos significativos ao objeto da contratação;</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Multa de até 1% (um por cento) sobre o valor total da obra estimado pela Administração, prejudicado pela conduta do licitante;</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Suspensão temporária de participação em licitação e impedimento de contratar com a Administração, por prazo não superior a 2 (dois) anos;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penalidade de multa pode ser aplicada cumulativamente com as demais sanções.</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aplicação de qualquer das penalidades previstas realizar-se-á em processo administrativo que assegurará o contraditório e a ampla defesa ao licitante01/2021/ADjudicatário, observando-se o procedimento previsto na Lei nº 12.462, de 2011, e subsidiariamente nas Leis nº 8.666, de 1993 e 9.784, de 1999.</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As penalidades serão obrigatoriamente registradas no SICAF.</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As sanções por atos praticados no decorrer da contratação estão previstas no Termo de Referência.</w:t>
      </w:r>
    </w:p>
    <w:p>
      <w:pPr>
        <w:pStyle w:val="80"/>
        <w:keepNext w:val="0"/>
        <w:widowControl/>
        <w:spacing w:before="120" w:after="120"/>
        <w:ind w:left="425" w:firstLine="0"/>
        <w:rPr>
          <w:rFonts w:ascii="Verdana" w:hAnsi="Verdana" w:cs="Arial"/>
          <w:sz w:val="18"/>
          <w:szCs w:val="18"/>
        </w:rPr>
      </w:pPr>
    </w:p>
    <w:p>
      <w:pPr>
        <w:pStyle w:val="80"/>
        <w:keepNext w:val="0"/>
        <w:numPr>
          <w:ilvl w:val="0"/>
          <w:numId w:val="13"/>
        </w:numPr>
        <w:ind w:left="284" w:hanging="284"/>
        <w:rPr>
          <w:rFonts w:ascii="Verdana" w:hAnsi="Verdana" w:cs="Arial"/>
          <w:b/>
          <w:color w:val="000000"/>
          <w:sz w:val="18"/>
          <w:szCs w:val="18"/>
        </w:rPr>
      </w:pPr>
      <w:r>
        <w:rPr>
          <w:rFonts w:ascii="Verdana" w:hAnsi="Verdana" w:cs="Arial"/>
          <w:b/>
          <w:color w:val="000000"/>
          <w:sz w:val="18"/>
          <w:szCs w:val="18"/>
        </w:rPr>
        <w:t xml:space="preserve"> DA IMPUGNAÇÃO AO EDITAL E DO PEDIDO DE ESCLARECIMENTO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Até 5 (cinco) dias úteis antes da data designada para a abertura da sessão pública, qualquer pessoa poderá impugnar este Edital.</w:t>
      </w:r>
    </w:p>
    <w:p>
      <w:pPr>
        <w:pStyle w:val="80"/>
        <w:keepNext w:val="0"/>
        <w:numPr>
          <w:ilvl w:val="1"/>
          <w:numId w:val="13"/>
        </w:numPr>
        <w:ind w:left="851" w:hanging="284"/>
        <w:rPr>
          <w:rFonts w:ascii="Verdana" w:hAnsi="Verdana" w:cs="Arial"/>
          <w:color w:val="000000"/>
          <w:sz w:val="18"/>
          <w:szCs w:val="18"/>
        </w:rPr>
      </w:pPr>
      <w:r>
        <w:rPr>
          <w:rFonts w:ascii="Verdana" w:hAnsi="Verdana" w:cs="Arial"/>
          <w:color w:val="000000"/>
          <w:sz w:val="18"/>
          <w:szCs w:val="18"/>
          <w:lang w:eastAsia="en-US"/>
        </w:rPr>
        <w:t xml:space="preserve">A impugnação poderá ser realizada por forma eletrônica, pelo e-mail </w:t>
      </w:r>
      <w:r>
        <w:fldChar w:fldCharType="begin"/>
      </w:r>
      <w:r>
        <w:instrText xml:space="preserve"> HYPERLINK "mailto:cpl@id.uff.br" </w:instrText>
      </w:r>
      <w:r>
        <w:fldChar w:fldCharType="separate"/>
      </w:r>
      <w:r>
        <w:rPr>
          <w:rStyle w:val="12"/>
          <w:rFonts w:ascii="Verdana" w:hAnsi="Verdana"/>
          <w:b/>
          <w:sz w:val="18"/>
          <w:szCs w:val="18"/>
        </w:rPr>
        <w:t>rdc.cli.proad@id.uff.br</w:t>
      </w:r>
      <w:r>
        <w:rPr>
          <w:rStyle w:val="12"/>
          <w:rFonts w:ascii="Verdana" w:hAnsi="Verdana"/>
          <w:b/>
          <w:sz w:val="18"/>
          <w:szCs w:val="18"/>
        </w:rPr>
        <w:fldChar w:fldCharType="end"/>
      </w:r>
      <w:r>
        <w:rPr>
          <w:rFonts w:ascii="Verdana" w:hAnsi="Verdana"/>
          <w:b/>
          <w:sz w:val="18"/>
          <w:szCs w:val="18"/>
        </w:rPr>
        <w:t>.</w:t>
      </w:r>
      <w:r>
        <w:rPr>
          <w:rFonts w:ascii="Verdana" w:hAnsi="Verdana"/>
          <w:sz w:val="18"/>
          <w:szCs w:val="18"/>
        </w:rPr>
        <w:t xml:space="preserve"> para a Comissão do RDC</w:t>
      </w:r>
      <w:r>
        <w:rPr>
          <w:rFonts w:ascii="Verdana" w:hAnsi="Verdana" w:cs="Arial"/>
          <w:color w:val="000000"/>
          <w:sz w:val="18"/>
          <w:szCs w:val="18"/>
          <w:lang w:eastAsia="en-US"/>
        </w:rPr>
        <w:t xml:space="preserve">, ou por petição dirigida ou protocolada </w:t>
      </w:r>
      <w:r>
        <w:rPr>
          <w:rFonts w:ascii="Verdana" w:hAnsi="Verdana" w:cs="Arial"/>
          <w:sz w:val="18"/>
          <w:szCs w:val="18"/>
        </w:rPr>
        <w:t>no Protocolo Geral da Reitoria, situado na Rua Miguel de Frias n.º 09, Icaraí, Niterói – RJ</w:t>
      </w:r>
      <w:r>
        <w:rPr>
          <w:rFonts w:ascii="Verdana" w:hAnsi="Verdana" w:cs="Arial"/>
          <w:color w:val="000000"/>
          <w:sz w:val="18"/>
          <w:szCs w:val="18"/>
        </w:rPr>
        <w:t>.</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Acolhida a impugnação, será definida e publicada nova data para a realização do certame.</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w:t>
      </w:r>
      <w:r>
        <w:rPr>
          <w:rFonts w:ascii="Verdana" w:hAnsi="Verdana"/>
          <w:sz w:val="18"/>
          <w:szCs w:val="18"/>
        </w:rPr>
        <w:t xml:space="preserve"> </w:t>
      </w:r>
    </w:p>
    <w:p>
      <w:pPr>
        <w:pStyle w:val="80"/>
        <w:keepNext w:val="0"/>
        <w:numPr>
          <w:ilvl w:val="2"/>
          <w:numId w:val="13"/>
        </w:numPr>
        <w:ind w:left="1134" w:hanging="283"/>
        <w:rPr>
          <w:rFonts w:ascii="Verdana" w:hAnsi="Verdana" w:cs="Arial"/>
          <w:color w:val="000000"/>
          <w:sz w:val="18"/>
          <w:szCs w:val="18"/>
          <w:lang w:eastAsia="en-US"/>
        </w:rPr>
      </w:pPr>
      <w:r>
        <w:rPr>
          <w:rFonts w:ascii="Verdana" w:hAnsi="Verdana"/>
          <w:sz w:val="18"/>
          <w:szCs w:val="18"/>
        </w:rPr>
        <w:t xml:space="preserve">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informando </w:t>
      </w:r>
      <w:r>
        <w:rPr>
          <w:rFonts w:ascii="Verdana" w:hAnsi="Verdana"/>
          <w:b/>
          <w:sz w:val="18"/>
          <w:szCs w:val="18"/>
        </w:rPr>
        <w:t>o número da licitação, modalidade, objeto e nº do processo</w:t>
      </w:r>
      <w:r>
        <w:rPr>
          <w:rFonts w:ascii="Verdana" w:hAnsi="Verdana"/>
          <w:sz w:val="18"/>
          <w:szCs w:val="18"/>
        </w:rPr>
        <w:t xml:space="preserve">, por e-mail: </w:t>
      </w:r>
      <w:r>
        <w:fldChar w:fldCharType="begin"/>
      </w:r>
      <w:r>
        <w:instrText xml:space="preserve"> HYPERLINK "mailto:cpl@id.uff.br" </w:instrText>
      </w:r>
      <w:r>
        <w:fldChar w:fldCharType="separate"/>
      </w:r>
      <w:r>
        <w:rPr>
          <w:rStyle w:val="12"/>
          <w:rFonts w:ascii="Verdana" w:hAnsi="Verdana"/>
          <w:b/>
          <w:sz w:val="18"/>
          <w:szCs w:val="18"/>
        </w:rPr>
        <w:t>rdc.cli.proad@id.uff.br</w:t>
      </w:r>
      <w:r>
        <w:rPr>
          <w:rStyle w:val="12"/>
          <w:rFonts w:ascii="Verdana" w:hAnsi="Verdana"/>
          <w:b/>
          <w:sz w:val="18"/>
          <w:szCs w:val="18"/>
        </w:rPr>
        <w:fldChar w:fldCharType="end"/>
      </w:r>
      <w:r>
        <w:rPr>
          <w:rFonts w:ascii="Verdana" w:hAnsi="Verdana"/>
          <w:b/>
          <w:sz w:val="18"/>
          <w:szCs w:val="18"/>
        </w:rPr>
        <w:t>.</w:t>
      </w:r>
      <w:r>
        <w:rPr>
          <w:rFonts w:ascii="Verdana" w:hAnsi="Verdana"/>
          <w:sz w:val="18"/>
          <w:szCs w:val="18"/>
        </w:rPr>
        <w:t xml:space="preserve"> para a Comissão do RDC que os reencaminhará para a Coordenadoria de Arquitetura/CArq da Divisão de Projetos/DDP da Superintendência de Arquitetura, Engenharia e Patrimônio/SAEP, para que os esclarecimentos possam ser prestados.</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As impugnações e pedidos de esclarecimentos não suspendem os prazos previstos no certame.</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concessão de efeito suspensivo à impugnação é medida excepcional e deverá ser motivada pelo pregoeiro, nos autos do processo de licitação.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As respostas aos pedidos de esclarecimentos serão divulgadas pelo sistema e vincularão os participantes e a Administração.</w:t>
      </w:r>
    </w:p>
    <w:p>
      <w:pPr>
        <w:pStyle w:val="80"/>
        <w:keepNext w:val="0"/>
        <w:ind w:firstLine="0"/>
        <w:rPr>
          <w:rFonts w:ascii="Verdana" w:hAnsi="Verdana" w:cs="Arial"/>
          <w:b/>
          <w:color w:val="000000"/>
          <w:sz w:val="18"/>
          <w:szCs w:val="18"/>
        </w:rPr>
      </w:pPr>
    </w:p>
    <w:p>
      <w:pPr>
        <w:pStyle w:val="80"/>
        <w:keepNext w:val="0"/>
        <w:numPr>
          <w:ilvl w:val="0"/>
          <w:numId w:val="13"/>
        </w:numPr>
        <w:ind w:left="284" w:hanging="284"/>
        <w:rPr>
          <w:rFonts w:ascii="Verdana" w:hAnsi="Verdana" w:cs="Arial"/>
          <w:b/>
          <w:color w:val="000000"/>
          <w:sz w:val="18"/>
          <w:szCs w:val="18"/>
        </w:rPr>
      </w:pPr>
      <w:r>
        <w:rPr>
          <w:rFonts w:ascii="Verdana" w:hAnsi="Verdana" w:cs="Arial"/>
          <w:b/>
          <w:color w:val="000000"/>
          <w:sz w:val="18"/>
          <w:szCs w:val="18"/>
        </w:rPr>
        <w:t>DAS DISPOSIÇÕES GERAIS</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Da sessão pública do RDC divulgar-se-á Ata no sistema eletrônico.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Todas as referências de tempo no Edital, no aviso e durante a sessão pública observarão o horário de Brasília – DF.</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No julgamento das propostas e da habilitação, a Comissão do RDC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homologação do resultado desta licitação não implicará direito à contratação.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Em caso de divergência entre disposições deste Edital e de seus anexos ou demais peças que compõem o processo, prevalecerá as deste Edital.</w:t>
      </w: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O Edital está disponibilizado, na íntegra, no endereço eletrônico</w:t>
      </w:r>
      <w:r>
        <w:fldChar w:fldCharType="begin"/>
      </w:r>
      <w:r>
        <w:instrText xml:space="preserve"> HYPERLINK "http://www.gov.br/compras" </w:instrText>
      </w:r>
      <w:r>
        <w:fldChar w:fldCharType="separate"/>
      </w:r>
      <w:r>
        <w:rPr>
          <w:rFonts w:ascii="Verdana" w:hAnsi="Verdana" w:cs="Arial"/>
          <w:sz w:val="18"/>
          <w:szCs w:val="18"/>
          <w:lang w:eastAsia="en-US"/>
        </w:rPr>
        <w:t xml:space="preserve"> </w:t>
      </w:r>
      <w:r>
        <w:rPr>
          <w:rFonts w:ascii="Verdana" w:hAnsi="Verdana" w:cs="Arial"/>
          <w:color w:val="000000"/>
          <w:sz w:val="18"/>
          <w:szCs w:val="18"/>
          <w:lang w:eastAsia="en-US"/>
        </w:rPr>
        <w:t>www.gov.br/compras</w:t>
      </w:r>
      <w:r>
        <w:rPr>
          <w:rFonts w:ascii="Verdana" w:hAnsi="Verdana" w:cs="Arial"/>
          <w:color w:val="000000"/>
          <w:sz w:val="18"/>
          <w:szCs w:val="18"/>
          <w:lang w:eastAsia="en-US"/>
        </w:rPr>
        <w:fldChar w:fldCharType="end"/>
      </w:r>
      <w:r>
        <w:rPr>
          <w:rFonts w:ascii="Verdana" w:hAnsi="Verdana" w:cs="Arial"/>
          <w:color w:val="000000"/>
          <w:sz w:val="18"/>
          <w:szCs w:val="18"/>
          <w:lang w:eastAsia="en-US"/>
        </w:rPr>
        <w:t xml:space="preserve"> e</w:t>
      </w:r>
      <w:r>
        <w:fldChar w:fldCharType="begin"/>
      </w:r>
      <w:r>
        <w:instrText xml:space="preserve"> HYPERLINK "http://www.uff.br/licitacoes" </w:instrText>
      </w:r>
      <w:r>
        <w:fldChar w:fldCharType="separate"/>
      </w:r>
      <w:r>
        <w:rPr>
          <w:rFonts w:ascii="Verdana" w:hAnsi="Verdana" w:cs="Arial"/>
          <w:sz w:val="18"/>
          <w:szCs w:val="18"/>
          <w:lang w:eastAsia="en-US"/>
        </w:rPr>
        <w:t xml:space="preserve"> </w:t>
      </w:r>
      <w:r>
        <w:rPr>
          <w:rFonts w:ascii="Verdana" w:hAnsi="Verdana" w:cs="Arial"/>
          <w:color w:val="000000"/>
          <w:sz w:val="18"/>
          <w:szCs w:val="18"/>
          <w:lang w:eastAsia="en-US"/>
        </w:rPr>
        <w:t>www.uff.br/licitacoes</w:t>
      </w:r>
      <w:r>
        <w:rPr>
          <w:rFonts w:ascii="Verdana" w:hAnsi="Verdana" w:cs="Arial"/>
          <w:color w:val="000000"/>
          <w:sz w:val="18"/>
          <w:szCs w:val="18"/>
          <w:lang w:eastAsia="en-US"/>
        </w:rPr>
        <w:fldChar w:fldCharType="end"/>
      </w:r>
      <w:r>
        <w:rPr>
          <w:rFonts w:ascii="Verdana" w:hAnsi="Verdana" w:cs="Arial"/>
          <w:color w:val="000000"/>
          <w:sz w:val="18"/>
          <w:szCs w:val="18"/>
          <w:lang w:eastAsia="en-US"/>
        </w:rPr>
        <w:t>. Os autos do processo administrativo são digitais e podem ser consultados, por qualquer interessado, por meio do clique no nº do processo, constante também do endereço eletrônico &lt;</w:t>
      </w:r>
      <w:r>
        <w:fldChar w:fldCharType="begin"/>
      </w:r>
      <w:r>
        <w:instrText xml:space="preserve"> HYPERLINK "http://www.uff.br/licitacoes" </w:instrText>
      </w:r>
      <w:r>
        <w:fldChar w:fldCharType="separate"/>
      </w:r>
      <w:r>
        <w:rPr>
          <w:rFonts w:ascii="Verdana" w:hAnsi="Verdana" w:cs="Arial"/>
          <w:sz w:val="18"/>
          <w:szCs w:val="18"/>
          <w:lang w:eastAsia="en-US"/>
        </w:rPr>
        <w:t xml:space="preserve"> </w:t>
      </w:r>
      <w:r>
        <w:rPr>
          <w:rFonts w:ascii="Verdana" w:hAnsi="Verdana" w:cs="Arial"/>
          <w:color w:val="000000"/>
          <w:sz w:val="18"/>
          <w:szCs w:val="18"/>
          <w:lang w:eastAsia="en-US"/>
        </w:rPr>
        <w:t>www.uff.br/licitacoes</w:t>
      </w:r>
      <w:r>
        <w:rPr>
          <w:rFonts w:ascii="Verdana" w:hAnsi="Verdana" w:cs="Arial"/>
          <w:color w:val="000000"/>
          <w:sz w:val="18"/>
          <w:szCs w:val="18"/>
          <w:lang w:eastAsia="en-US"/>
        </w:rPr>
        <w:fldChar w:fldCharType="end"/>
      </w:r>
      <w:r>
        <w:rPr>
          <w:rFonts w:ascii="Verdana" w:hAnsi="Verdana" w:cs="Arial"/>
          <w:color w:val="000000"/>
          <w:sz w:val="18"/>
          <w:szCs w:val="18"/>
          <w:lang w:eastAsia="en-US"/>
        </w:rPr>
        <w:t xml:space="preserve"> &gt;.</w:t>
      </w:r>
    </w:p>
    <w:p>
      <w:pPr>
        <w:pStyle w:val="80"/>
        <w:keepNext w:val="0"/>
        <w:ind w:left="851" w:hanging="284"/>
        <w:rPr>
          <w:rFonts w:ascii="Verdana" w:hAnsi="Verdana" w:cs="Arial"/>
          <w:color w:val="000000"/>
          <w:sz w:val="18"/>
          <w:szCs w:val="18"/>
          <w:lang w:eastAsia="en-US"/>
        </w:rPr>
      </w:pPr>
    </w:p>
    <w:p>
      <w:pPr>
        <w:pStyle w:val="80"/>
        <w:keepNext w:val="0"/>
        <w:numPr>
          <w:ilvl w:val="1"/>
          <w:numId w:val="13"/>
        </w:numPr>
        <w:ind w:left="851" w:hanging="284"/>
        <w:rPr>
          <w:rFonts w:ascii="Verdana" w:hAnsi="Verdana" w:cs="Arial"/>
          <w:color w:val="000000"/>
          <w:sz w:val="18"/>
          <w:szCs w:val="18"/>
          <w:lang w:eastAsia="en-US"/>
        </w:rPr>
      </w:pPr>
      <w:r>
        <w:rPr>
          <w:rFonts w:ascii="Verdana" w:hAnsi="Verdana" w:cs="Arial"/>
          <w:color w:val="000000"/>
          <w:sz w:val="18"/>
          <w:szCs w:val="18"/>
          <w:lang w:eastAsia="en-US"/>
        </w:rPr>
        <w:t>Integram este Edital, para todos os fins e efeitos, os seguintes anexos:</w:t>
      </w:r>
    </w:p>
    <w:p>
      <w:pPr>
        <w:pStyle w:val="80"/>
        <w:keepNext w:val="0"/>
        <w:numPr>
          <w:ilvl w:val="2"/>
          <w:numId w:val="13"/>
        </w:numPr>
        <w:ind w:left="1134" w:hanging="283"/>
        <w:rPr>
          <w:rFonts w:ascii="Verdana" w:hAnsi="Verdana" w:cs="Arial"/>
          <w:sz w:val="18"/>
          <w:szCs w:val="18"/>
        </w:rPr>
      </w:pPr>
      <w:r>
        <w:rPr>
          <w:rFonts w:ascii="Verdana" w:hAnsi="Verdana" w:cs="Arial"/>
          <w:color w:val="000000"/>
          <w:sz w:val="18"/>
          <w:szCs w:val="18"/>
        </w:rPr>
        <w:t>ANEXO I – Termo de Referência;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II – Memorial Descritivo ou Especificações dos serviços;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III-A – Planilha de Custos e Formação de Preços;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III-B – Modelo de Cronograma Físico-Financeiro;</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IV – Modelo de Composição do BDI;</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V-A e B – Modelo de Encargos Sociais e Trabalhistas;</w:t>
      </w:r>
    </w:p>
    <w:p>
      <w:pPr>
        <w:pStyle w:val="80"/>
        <w:keepNext w:val="0"/>
        <w:numPr>
          <w:ilvl w:val="2"/>
          <w:numId w:val="13"/>
        </w:numPr>
        <w:ind w:left="1134" w:hanging="283"/>
        <w:rPr>
          <w:rFonts w:ascii="Verdana" w:hAnsi="Verdana" w:cs="Arial"/>
          <w:color w:val="000000"/>
          <w:sz w:val="18"/>
          <w:szCs w:val="18"/>
        </w:rPr>
      </w:pPr>
      <w:r>
        <w:rPr>
          <w:rFonts w:ascii="Verdana" w:hAnsi="Verdana" w:cs="Arial"/>
          <w:color w:val="000000"/>
          <w:sz w:val="18"/>
          <w:szCs w:val="18"/>
        </w:rPr>
        <w:t>ANEXO VI – Modelo de Carta Proposta;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sz w:val="18"/>
          <w:szCs w:val="18"/>
        </w:rPr>
        <w:t xml:space="preserve"> VII – Modelo de Termo de Realização de Vistoria;</w:t>
      </w:r>
    </w:p>
    <w:p>
      <w:pPr>
        <w:pStyle w:val="80"/>
        <w:keepNext w:val="0"/>
        <w:numPr>
          <w:ilvl w:val="2"/>
          <w:numId w:val="13"/>
        </w:numPr>
        <w:ind w:left="1134" w:hanging="283"/>
        <w:rPr>
          <w:rFonts w:ascii="Verdana" w:hAnsi="Verdana" w:cs="Arial"/>
          <w:sz w:val="18"/>
          <w:szCs w:val="18"/>
        </w:rPr>
      </w:pPr>
      <w:r>
        <w:rPr>
          <w:rFonts w:ascii="Verdana" w:hAnsi="Verdana" w:cs="Arial"/>
          <w:sz w:val="18"/>
          <w:szCs w:val="18"/>
        </w:rPr>
        <w:t>ANEXO VIII – Modelo de Termo de não Realização de Vistoria;</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 IX– Modelo de Declaração de Responsabilidade</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 xml:space="preserve">ANEXO X - </w:t>
      </w:r>
      <w:r>
        <w:rPr>
          <w:rFonts w:ascii="Verdana" w:hAnsi="Verdana" w:cs="Arial"/>
          <w:bCs/>
          <w:iCs/>
          <w:sz w:val="18"/>
          <w:szCs w:val="18"/>
        </w:rPr>
        <w:t>Minuta de Termo de Contrato;</w:t>
      </w:r>
    </w:p>
    <w:p>
      <w:pPr>
        <w:pStyle w:val="80"/>
        <w:keepNext w:val="0"/>
        <w:numPr>
          <w:ilvl w:val="2"/>
          <w:numId w:val="13"/>
        </w:numPr>
        <w:ind w:left="1134" w:hanging="283"/>
        <w:rPr>
          <w:rFonts w:ascii="Verdana" w:hAnsi="Verdana" w:cs="Arial"/>
          <w:sz w:val="18"/>
          <w:szCs w:val="18"/>
        </w:rPr>
      </w:pPr>
      <w:r>
        <w:rPr>
          <w:rFonts w:ascii="Verdana" w:hAnsi="Verdana" w:cs="Arial"/>
          <w:iCs/>
          <w:sz w:val="18"/>
          <w:szCs w:val="18"/>
        </w:rPr>
        <w:t>ANEXO</w:t>
      </w:r>
      <w:r>
        <w:rPr>
          <w:rFonts w:ascii="Verdana" w:hAnsi="Verdana" w:cs="Arial"/>
          <w:bCs/>
          <w:iCs/>
          <w:sz w:val="18"/>
          <w:szCs w:val="18"/>
        </w:rPr>
        <w:t xml:space="preserve"> XI – </w:t>
      </w:r>
      <w:r>
        <w:rPr>
          <w:rFonts w:ascii="Verdana" w:hAnsi="Verdana" w:cstheme="minorHAnsi"/>
          <w:sz w:val="18"/>
          <w:szCs w:val="18"/>
        </w:rPr>
        <w:t>Projeto Executivo de Arquitetura e Complementares.</w:t>
      </w:r>
    </w:p>
    <w:p>
      <w:pPr>
        <w:pStyle w:val="80"/>
        <w:keepNext w:val="0"/>
        <w:ind w:left="1854" w:firstLine="0"/>
        <w:rPr>
          <w:rFonts w:ascii="Verdana" w:hAnsi="Verdana" w:cs="Arial"/>
          <w:sz w:val="18"/>
          <w:szCs w:val="18"/>
        </w:rPr>
      </w:pPr>
    </w:p>
    <w:p>
      <w:pPr>
        <w:pStyle w:val="80"/>
        <w:keepNext w:val="0"/>
        <w:rPr>
          <w:rFonts w:ascii="Verdana" w:hAnsi="Verdana" w:cs="Arial"/>
          <w:color w:val="000000"/>
          <w:sz w:val="18"/>
          <w:szCs w:val="18"/>
        </w:rPr>
      </w:pPr>
    </w:p>
    <w:p>
      <w:pPr>
        <w:pStyle w:val="80"/>
        <w:keepNext w:val="0"/>
        <w:jc w:val="center"/>
        <w:rPr>
          <w:rFonts w:ascii="Verdana" w:hAnsi="Verdana" w:cs="Arial"/>
          <w:color w:val="000000"/>
          <w:sz w:val="18"/>
          <w:szCs w:val="18"/>
        </w:rPr>
      </w:pPr>
      <w:r>
        <w:rPr>
          <w:rFonts w:ascii="Verdana" w:hAnsi="Verdana" w:cs="Arial"/>
          <w:color w:val="000000"/>
          <w:sz w:val="18"/>
          <w:szCs w:val="18"/>
        </w:rPr>
        <w:t>Niterói, 30 de março de 2021.</w:t>
      </w:r>
    </w:p>
    <w:p>
      <w:pPr>
        <w:pStyle w:val="80"/>
        <w:keepNext w:val="0"/>
        <w:jc w:val="center"/>
        <w:rPr>
          <w:rFonts w:ascii="Verdana" w:hAnsi="Verdana" w:cs="Arial"/>
          <w:color w:val="000000"/>
          <w:sz w:val="18"/>
          <w:szCs w:val="18"/>
        </w:rPr>
      </w:pPr>
    </w:p>
    <w:p>
      <w:pPr>
        <w:pStyle w:val="80"/>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pPr>
        <w:pStyle w:val="80"/>
        <w:keepNext w:val="0"/>
        <w:spacing w:before="0" w:after="0" w:line="240" w:lineRule="auto"/>
        <w:jc w:val="center"/>
        <w:rPr>
          <w:rFonts w:ascii="Verdana" w:hAnsi="Verdana" w:cs="Arial"/>
          <w:b/>
          <w:bCs/>
          <w:iCs/>
          <w:color w:val="000000"/>
          <w:sz w:val="16"/>
          <w:szCs w:val="16"/>
          <w:bdr w:val="single" w:color="auto" w:sz="4" w:space="0"/>
        </w:rPr>
      </w:pPr>
      <w:r>
        <w:rPr>
          <w:rFonts w:ascii="Verdana" w:hAnsi="Verdana" w:cs="Arial"/>
          <w:b/>
          <w:bCs/>
          <w:iCs/>
          <w:color w:val="000000"/>
          <w:sz w:val="16"/>
          <w:szCs w:val="16"/>
        </w:rPr>
        <w:t>Responsável</w:t>
      </w:r>
    </w:p>
    <w:p>
      <w:pPr>
        <w:pStyle w:val="80"/>
        <w:keepNext w:val="0"/>
        <w:jc w:val="center"/>
        <w:rPr>
          <w:rFonts w:ascii="Verdana" w:hAnsi="Verdana" w:cs="Arial"/>
          <w:b/>
          <w:bCs/>
          <w:iCs/>
          <w:color w:val="000000"/>
          <w:sz w:val="16"/>
          <w:szCs w:val="16"/>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134" w:bottom="851" w:left="1701" w:header="426" w:footer="0" w:gutter="0"/>
      <w:cols w:space="720" w:num="1"/>
      <w:formProt w:val="0"/>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WenQuanYi Micro Hei">
    <w:altName w:val="Times New Roman"/>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Mangal">
    <w:panose1 w:val="02040503050203030202"/>
    <w:charset w:val="01"/>
    <w:family w:val="roman"/>
    <w:pitch w:val="default"/>
    <w:sig w:usb0="00008003" w:usb1="00000000"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Verdana">
    <w:panose1 w:val="020B0604030504040204"/>
    <w:charset w:val="00"/>
    <w:family w:val="swiss"/>
    <w:pitch w:val="default"/>
    <w:sig w:usb0="A10006FF" w:usb1="4000205B" w:usb2="00000010" w:usb3="00000000" w:csb0="2000019F" w:csb1="00000000"/>
  </w:font>
  <w:font w:name="Times-Roman">
    <w:altName w:val="Times New Roman"/>
    <w:panose1 w:val="00000000000000000000"/>
    <w:charset w:val="00"/>
    <w:family w:val="auto"/>
    <w:pitch w:val="default"/>
    <w:sig w:usb0="00000000" w:usb1="00000000" w:usb2="00000000" w:usb3="00000000" w:csb0="00000001" w:csb1="00000000"/>
  </w:font>
  <w:font w:name="Times-Bold">
    <w:altName w:val="Segoe Print"/>
    <w:panose1 w:val="00000000000000000000"/>
    <w:charset w:val="00"/>
    <w:family w:val="auto"/>
    <w:pitch w:val="default"/>
    <w:sig w:usb0="00000000" w:usb1="00000000" w:usb2="00000000" w:usb3="00000000" w:csb0="00000001"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Zurich BT">
    <w:altName w:val="Segoe Print"/>
    <w:panose1 w:val="00000000000000000000"/>
    <w:charset w:val="00"/>
    <w:family w:val="roman"/>
    <w:pitch w:val="default"/>
    <w:sig w:usb0="00000000" w:usb1="00000000" w:usb2="00000000" w:usb3="00000000" w:csb0="00000000" w:csb1="00000000"/>
  </w:font>
  <w:font w:name="Times-Italic">
    <w:altName w:val="Segoe Print"/>
    <w:panose1 w:val="00000000000000000000"/>
    <w:charset w:val="00"/>
    <w:family w:val="auto"/>
    <w:pitch w:val="default"/>
    <w:sig w:usb0="00000000" w:usb1="00000000" w:usb2="00000000" w:usb3="00000000" w:csb0="00000001" w:csb1="00000000"/>
  </w:font>
  <w:font w:name="Times-BoldItalic">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4"/>
        <w:szCs w:val="14"/>
      </w:rPr>
      <w:id w:val="250395305"/>
      <w:docPartObj>
        <w:docPartGallery w:val="AutoText"/>
      </w:docPartObj>
    </w:sdtPr>
    <w:sdtEndPr>
      <w:rPr>
        <w:sz w:val="14"/>
        <w:szCs w:val="14"/>
      </w:rPr>
    </w:sdtEndPr>
    <w:sdtContent>
      <w:p>
        <w:pPr>
          <w:jc w:val="right"/>
          <w:rPr>
            <w:sz w:val="14"/>
            <w:szCs w:val="14"/>
          </w:rPr>
        </w:pPr>
        <w:r>
          <w:rPr>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25</w:t>
        </w:r>
        <w:r>
          <w:rPr>
            <w:sz w:val="14"/>
            <w:szCs w:val="14"/>
          </w:rPr>
          <w:fldChar w:fldCharType="end"/>
        </w:r>
        <w:r>
          <w:rPr>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25</w:t>
        </w:r>
        <w:r>
          <w:rPr>
            <w:sz w:val="14"/>
            <w:szCs w:val="14"/>
          </w:rPr>
          <w:fldChar w:fldCharType="end"/>
        </w:r>
      </w:p>
    </w:sdtContent>
  </w:sdt>
  <w:p>
    <w:pPr>
      <w:pStyle w:val="20"/>
      <w:keepNext w:val="0"/>
      <w:rPr>
        <w:sz w:val="16"/>
        <w:szCs w:val="16"/>
      </w:rPr>
    </w:pPr>
    <w:r>
      <w:t>___________________________________________________________________</w:t>
    </w:r>
  </w:p>
  <w:p>
    <w:pPr>
      <w:pStyle w:val="20"/>
      <w:rPr>
        <w:rFonts w:cs="Arial"/>
        <w:sz w:val="12"/>
        <w:szCs w:val="12"/>
      </w:rPr>
    </w:pPr>
    <w:r>
      <w:rPr>
        <w:rFonts w:cs="Arial"/>
        <w:sz w:val="12"/>
        <w:szCs w:val="12"/>
      </w:rPr>
      <w:t>Câmara Nacional de Modelos de Licitações e Contratos Administrativos da Consultoria-Geral da União</w:t>
    </w:r>
  </w:p>
  <w:p>
    <w:pPr>
      <w:pStyle w:val="20"/>
      <w:rPr>
        <w:rFonts w:cs="Arial"/>
        <w:sz w:val="12"/>
        <w:szCs w:val="12"/>
      </w:rPr>
    </w:pPr>
    <w:r>
      <w:rPr>
        <w:rFonts w:cs="Arial"/>
        <w:sz w:val="12"/>
        <w:szCs w:val="12"/>
      </w:rPr>
      <w:t>Edital modelo para Regime Diferenciado de Contratações. Obras</w:t>
    </w:r>
  </w:p>
  <w:p>
    <w:pPr>
      <w:pStyle w:val="20"/>
      <w:rPr>
        <w:rFonts w:cs="Arial"/>
        <w:sz w:val="12"/>
        <w:szCs w:val="12"/>
      </w:rPr>
    </w:pPr>
    <w:r>
      <w:rPr>
        <w:rFonts w:cs="Arial"/>
        <w:sz w:val="12"/>
        <w:szCs w:val="12"/>
      </w:rPr>
      <w:t>Atualização: Julho/2020</w:t>
    </w:r>
  </w:p>
  <w:p>
    <w:pPr>
      <w:pStyle w:val="20"/>
      <w:keepNext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sz w:val="16"/>
        <w:szCs w:val="16"/>
      </w:rPr>
    </w:pPr>
    <w:r>
      <w:rPr>
        <w:sz w:val="16"/>
        <w:szCs w:val="16"/>
      </w:rPr>
      <w:t>Processo n.º 23069.152835/2021-98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77B35"/>
    <w:multiLevelType w:val="multilevel"/>
    <w:tmpl w:val="03377B35"/>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999760F"/>
    <w:multiLevelType w:val="multilevel"/>
    <w:tmpl w:val="0999760F"/>
    <w:lvl w:ilvl="0" w:tentative="0">
      <w:start w:val="4"/>
      <w:numFmt w:val="decimal"/>
      <w:lvlText w:val="%1."/>
      <w:lvlJc w:val="left"/>
      <w:pPr>
        <w:ind w:left="660" w:hanging="660"/>
      </w:pPr>
      <w:rPr>
        <w:rFonts w:hint="default"/>
        <w:color w:val="000000"/>
      </w:rPr>
    </w:lvl>
    <w:lvl w:ilvl="1" w:tentative="0">
      <w:start w:val="6"/>
      <w:numFmt w:val="decimal"/>
      <w:lvlText w:val="%1.%2."/>
      <w:lvlJc w:val="left"/>
      <w:pPr>
        <w:ind w:left="1038" w:hanging="660"/>
      </w:pPr>
      <w:rPr>
        <w:rFonts w:hint="default"/>
        <w:color w:val="000000"/>
      </w:rPr>
    </w:lvl>
    <w:lvl w:ilvl="2" w:tentative="0">
      <w:start w:val="1"/>
      <w:numFmt w:val="decimal"/>
      <w:lvlText w:val="%1.%2.%3."/>
      <w:lvlJc w:val="left"/>
      <w:pPr>
        <w:ind w:left="1476" w:hanging="720"/>
      </w:pPr>
      <w:rPr>
        <w:rFonts w:hint="default"/>
        <w:color w:val="000000"/>
      </w:rPr>
    </w:lvl>
    <w:lvl w:ilvl="3" w:tentative="0">
      <w:start w:val="1"/>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3">
    <w:nsid w:val="1F8B3FEA"/>
    <w:multiLevelType w:val="multilevel"/>
    <w:tmpl w:val="1F8B3FEA"/>
    <w:lvl w:ilvl="0" w:tentative="0">
      <w:start w:val="4"/>
      <w:numFmt w:val="decimal"/>
      <w:lvlText w:val="%1"/>
      <w:lvlJc w:val="left"/>
      <w:pPr>
        <w:tabs>
          <w:tab w:val="left" w:pos="360"/>
        </w:tabs>
        <w:ind w:left="360" w:hanging="360"/>
      </w:pPr>
      <w:rPr>
        <w:rFonts w:hint="default"/>
        <w:b/>
      </w:rPr>
    </w:lvl>
    <w:lvl w:ilvl="1" w:tentative="0">
      <w:start w:val="1"/>
      <w:numFmt w:val="decimal"/>
      <w:lvlText w:val="%1.%2"/>
      <w:lvlJc w:val="left"/>
      <w:pPr>
        <w:tabs>
          <w:tab w:val="left" w:pos="1211"/>
        </w:tabs>
        <w:ind w:left="1211" w:hanging="360"/>
      </w:pPr>
      <w:rPr>
        <w:rFonts w:hint="default" w:ascii="Verdana" w:hAnsi="Verdana"/>
        <w:b w:val="0"/>
        <w:sz w:val="18"/>
        <w:szCs w:val="18"/>
      </w:rPr>
    </w:lvl>
    <w:lvl w:ilvl="2" w:tentative="0">
      <w:start w:val="1"/>
      <w:numFmt w:val="decimal"/>
      <w:lvlText w:val="%1.%2.%3"/>
      <w:lvlJc w:val="left"/>
      <w:pPr>
        <w:tabs>
          <w:tab w:val="left" w:pos="2130"/>
        </w:tabs>
        <w:ind w:left="2130" w:hanging="720"/>
      </w:pPr>
      <w:rPr>
        <w:rFonts w:hint="default" w:ascii="Verdana" w:hAnsi="Verdana"/>
        <w:b w:val="0"/>
        <w:sz w:val="18"/>
        <w:szCs w:val="18"/>
      </w:rPr>
    </w:lvl>
    <w:lvl w:ilvl="3" w:tentative="0">
      <w:start w:val="1"/>
      <w:numFmt w:val="decimal"/>
      <w:lvlText w:val="%1.%2.%3.%4"/>
      <w:lvlJc w:val="left"/>
      <w:pPr>
        <w:tabs>
          <w:tab w:val="left" w:pos="2835"/>
        </w:tabs>
        <w:ind w:left="2835" w:hanging="720"/>
      </w:pPr>
      <w:rPr>
        <w:rFonts w:hint="default" w:ascii="Verdana" w:hAnsi="Verdana"/>
        <w:b w:val="0"/>
        <w:sz w:val="18"/>
        <w:szCs w:val="18"/>
      </w:rPr>
    </w:lvl>
    <w:lvl w:ilvl="4" w:tentative="0">
      <w:start w:val="1"/>
      <w:numFmt w:val="decimal"/>
      <w:lvlText w:val="%1.%2.%3.%4.%5"/>
      <w:lvlJc w:val="left"/>
      <w:pPr>
        <w:tabs>
          <w:tab w:val="left" w:pos="3540"/>
        </w:tabs>
        <w:ind w:left="3540" w:hanging="720"/>
      </w:pPr>
      <w:rPr>
        <w:rFonts w:hint="default"/>
        <w:b w:val="0"/>
      </w:rPr>
    </w:lvl>
    <w:lvl w:ilvl="5" w:tentative="0">
      <w:start w:val="1"/>
      <w:numFmt w:val="decimal"/>
      <w:lvlText w:val="%1.%2.%3.%4.%5.%6"/>
      <w:lvlJc w:val="left"/>
      <w:pPr>
        <w:tabs>
          <w:tab w:val="left" w:pos="4605"/>
        </w:tabs>
        <w:ind w:left="4605" w:hanging="1080"/>
      </w:pPr>
      <w:rPr>
        <w:rFonts w:hint="default"/>
        <w:b w:val="0"/>
      </w:rPr>
    </w:lvl>
    <w:lvl w:ilvl="6" w:tentative="0">
      <w:start w:val="1"/>
      <w:numFmt w:val="decimal"/>
      <w:lvlText w:val="%1.%2.%3.%4.%5.%6.%7"/>
      <w:lvlJc w:val="left"/>
      <w:pPr>
        <w:tabs>
          <w:tab w:val="left" w:pos="5310"/>
        </w:tabs>
        <w:ind w:left="5310" w:hanging="1080"/>
      </w:pPr>
      <w:rPr>
        <w:rFonts w:hint="default"/>
        <w:b w:val="0"/>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4">
    <w:nsid w:val="26A417A3"/>
    <w:multiLevelType w:val="multilevel"/>
    <w:tmpl w:val="26A417A3"/>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5">
    <w:nsid w:val="29FB3847"/>
    <w:multiLevelType w:val="multilevel"/>
    <w:tmpl w:val="29FB3847"/>
    <w:lvl w:ilvl="0" w:tentative="0">
      <w:start w:val="1"/>
      <w:numFmt w:val="decimal"/>
      <w:lvlText w:val="%1."/>
      <w:lvlJc w:val="left"/>
      <w:pPr>
        <w:ind w:left="0" w:firstLine="0"/>
      </w:pPr>
      <w:rPr>
        <w:b/>
      </w:rPr>
    </w:lvl>
    <w:lvl w:ilvl="1" w:tentative="0">
      <w:start w:val="2"/>
      <w:numFmt w:val="decimal"/>
      <w:lvlText w:val="%1.%2."/>
      <w:lvlJc w:val="left"/>
      <w:pPr>
        <w:ind w:left="567" w:firstLine="0"/>
      </w:pPr>
    </w:lvl>
    <w:lvl w:ilvl="2" w:tentative="0">
      <w:start w:val="1"/>
      <w:numFmt w:val="decimal"/>
      <w:lvlText w:val="%1.%2.%3."/>
      <w:lvlJc w:val="left"/>
      <w:pPr>
        <w:ind w:left="1134" w:firstLine="0"/>
      </w:pPr>
      <w:rPr>
        <w:b w:val="0"/>
      </w:rPr>
    </w:lvl>
    <w:lvl w:ilvl="3" w:tentative="0">
      <w:start w:val="1"/>
      <w:numFmt w:val="decimal"/>
      <w:lvlText w:val="%1.%2.%3.%4."/>
      <w:lvlJc w:val="left"/>
      <w:pPr>
        <w:ind w:left="1701" w:firstLine="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2A536525"/>
    <w:multiLevelType w:val="multilevel"/>
    <w:tmpl w:val="2A536525"/>
    <w:lvl w:ilvl="0" w:tentative="0">
      <w:start w:val="1"/>
      <w:numFmt w:val="lowerLetter"/>
      <w:lvlText w:val="%1)"/>
      <w:lvlJc w:val="left"/>
      <w:pPr>
        <w:ind w:left="2574" w:hanging="360"/>
      </w:pPr>
    </w:lvl>
    <w:lvl w:ilvl="1" w:tentative="0">
      <w:start w:val="1"/>
      <w:numFmt w:val="lowerLetter"/>
      <w:lvlText w:val="%2."/>
      <w:lvlJc w:val="left"/>
      <w:pPr>
        <w:ind w:left="3294" w:hanging="360"/>
      </w:pPr>
    </w:lvl>
    <w:lvl w:ilvl="2" w:tentative="0">
      <w:start w:val="1"/>
      <w:numFmt w:val="lowerRoman"/>
      <w:lvlText w:val="%3."/>
      <w:lvlJc w:val="right"/>
      <w:pPr>
        <w:ind w:left="4014" w:hanging="180"/>
      </w:pPr>
    </w:lvl>
    <w:lvl w:ilvl="3" w:tentative="0">
      <w:start w:val="1"/>
      <w:numFmt w:val="decimal"/>
      <w:lvlText w:val="%4."/>
      <w:lvlJc w:val="left"/>
      <w:pPr>
        <w:ind w:left="4734" w:hanging="360"/>
      </w:pPr>
    </w:lvl>
    <w:lvl w:ilvl="4" w:tentative="0">
      <w:start w:val="1"/>
      <w:numFmt w:val="lowerLetter"/>
      <w:lvlText w:val="%5."/>
      <w:lvlJc w:val="left"/>
      <w:pPr>
        <w:ind w:left="5454" w:hanging="360"/>
      </w:pPr>
    </w:lvl>
    <w:lvl w:ilvl="5" w:tentative="0">
      <w:start w:val="1"/>
      <w:numFmt w:val="lowerRoman"/>
      <w:lvlText w:val="%6."/>
      <w:lvlJc w:val="right"/>
      <w:pPr>
        <w:ind w:left="6174" w:hanging="180"/>
      </w:pPr>
    </w:lvl>
    <w:lvl w:ilvl="6" w:tentative="0">
      <w:start w:val="1"/>
      <w:numFmt w:val="decimal"/>
      <w:lvlText w:val="%7."/>
      <w:lvlJc w:val="left"/>
      <w:pPr>
        <w:ind w:left="6894" w:hanging="360"/>
      </w:pPr>
    </w:lvl>
    <w:lvl w:ilvl="7" w:tentative="0">
      <w:start w:val="1"/>
      <w:numFmt w:val="lowerLetter"/>
      <w:lvlText w:val="%8."/>
      <w:lvlJc w:val="left"/>
      <w:pPr>
        <w:ind w:left="7614" w:hanging="360"/>
      </w:pPr>
    </w:lvl>
    <w:lvl w:ilvl="8" w:tentative="0">
      <w:start w:val="1"/>
      <w:numFmt w:val="lowerRoman"/>
      <w:lvlText w:val="%9."/>
      <w:lvlJc w:val="right"/>
      <w:pPr>
        <w:ind w:left="8334" w:hanging="180"/>
      </w:pPr>
    </w:lvl>
  </w:abstractNum>
  <w:abstractNum w:abstractNumId="7">
    <w:nsid w:val="2A6A53B5"/>
    <w:multiLevelType w:val="multilevel"/>
    <w:tmpl w:val="2A6A53B5"/>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b w:val="0"/>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8">
    <w:nsid w:val="36CB5ACA"/>
    <w:multiLevelType w:val="multilevel"/>
    <w:tmpl w:val="36CB5ACA"/>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7516B2C"/>
    <w:multiLevelType w:val="multilevel"/>
    <w:tmpl w:val="37516B2C"/>
    <w:lvl w:ilvl="0" w:tentative="0">
      <w:start w:val="1"/>
      <w:numFmt w:val="decimal"/>
      <w:lvlText w:val="%1."/>
      <w:lvlJc w:val="left"/>
      <w:pPr>
        <w:ind w:left="0" w:firstLine="0"/>
      </w:pPr>
      <w:rPr>
        <w:b/>
      </w:rPr>
    </w:lvl>
    <w:lvl w:ilvl="1" w:tentative="0">
      <w:start w:val="1"/>
      <w:numFmt w:val="decimal"/>
      <w:lvlText w:val="%1.%2."/>
      <w:lvlJc w:val="left"/>
      <w:pPr>
        <w:ind w:left="567" w:firstLine="0"/>
      </w:pPr>
    </w:lvl>
    <w:lvl w:ilvl="2" w:tentative="0">
      <w:start w:val="1"/>
      <w:numFmt w:val="decimal"/>
      <w:lvlText w:val="%1.%2.%3."/>
      <w:lvlJc w:val="left"/>
      <w:pPr>
        <w:ind w:left="1134" w:firstLine="0"/>
      </w:pPr>
      <w:rPr>
        <w:b w:val="0"/>
      </w:rPr>
    </w:lvl>
    <w:lvl w:ilvl="3" w:tentative="0">
      <w:start w:val="1"/>
      <w:numFmt w:val="decimal"/>
      <w:lvlText w:val="%1.%2.%3.%4."/>
      <w:lvlJc w:val="left"/>
      <w:pPr>
        <w:ind w:left="1701" w:firstLine="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42806A5A"/>
    <w:multiLevelType w:val="multilevel"/>
    <w:tmpl w:val="42806A5A"/>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472343CA"/>
    <w:multiLevelType w:val="multilevel"/>
    <w:tmpl w:val="472343CA"/>
    <w:lvl w:ilvl="0" w:tentative="0">
      <w:start w:val="4"/>
      <w:numFmt w:val="decimal"/>
      <w:lvlText w:val="%1."/>
      <w:lvlJc w:val="left"/>
      <w:pPr>
        <w:ind w:left="660" w:hanging="660"/>
      </w:pPr>
      <w:rPr>
        <w:rFonts w:hint="default"/>
        <w:color w:val="000000"/>
      </w:rPr>
    </w:lvl>
    <w:lvl w:ilvl="1" w:tentative="0">
      <w:start w:val="4"/>
      <w:numFmt w:val="decimal"/>
      <w:lvlText w:val="%1.%2."/>
      <w:lvlJc w:val="left"/>
      <w:pPr>
        <w:ind w:left="1038" w:hanging="660"/>
      </w:pPr>
      <w:rPr>
        <w:rFonts w:hint="default"/>
        <w:color w:val="000000"/>
      </w:rPr>
    </w:lvl>
    <w:lvl w:ilvl="2" w:tentative="0">
      <w:start w:val="1"/>
      <w:numFmt w:val="decimal"/>
      <w:lvlText w:val="%1.%2.%3."/>
      <w:lvlJc w:val="left"/>
      <w:pPr>
        <w:ind w:left="1713" w:hanging="720"/>
      </w:pPr>
      <w:rPr>
        <w:rFonts w:hint="default"/>
        <w:color w:val="000000"/>
      </w:rPr>
    </w:lvl>
    <w:lvl w:ilvl="3" w:tentative="0">
      <w:start w:val="2"/>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12">
    <w:nsid w:val="51D05B32"/>
    <w:multiLevelType w:val="multilevel"/>
    <w:tmpl w:val="51D05B32"/>
    <w:lvl w:ilvl="0" w:tentative="0">
      <w:start w:val="8"/>
      <w:numFmt w:val="decimal"/>
      <w:lvlText w:val="%1."/>
      <w:lvlJc w:val="left"/>
      <w:pPr>
        <w:ind w:left="375" w:hanging="375"/>
      </w:pPr>
      <w:rPr>
        <w:rFonts w:hint="default" w:cs="Times New Roman"/>
        <w:b/>
        <w:color w:val="000000"/>
      </w:rPr>
    </w:lvl>
    <w:lvl w:ilvl="1" w:tentative="0">
      <w:start w:val="1"/>
      <w:numFmt w:val="decimal"/>
      <w:lvlText w:val="%1.%2."/>
      <w:lvlJc w:val="left"/>
      <w:pPr>
        <w:ind w:left="1287" w:hanging="720"/>
      </w:pPr>
      <w:rPr>
        <w:rFonts w:hint="default" w:cs="Times New Roman"/>
        <w:i w:val="0"/>
        <w:color w:val="000000"/>
      </w:rPr>
    </w:lvl>
    <w:lvl w:ilvl="2" w:tentative="0">
      <w:start w:val="1"/>
      <w:numFmt w:val="decimal"/>
      <w:lvlText w:val="%1.%2.%3."/>
      <w:lvlJc w:val="left"/>
      <w:pPr>
        <w:ind w:left="1854" w:hanging="720"/>
      </w:pPr>
      <w:rPr>
        <w:rFonts w:hint="default" w:cs="Times New Roman"/>
        <w:i w:val="0"/>
        <w:color w:val="000000"/>
        <w:sz w:val="18"/>
        <w:szCs w:val="18"/>
      </w:rPr>
    </w:lvl>
    <w:lvl w:ilvl="3" w:tentative="0">
      <w:start w:val="1"/>
      <w:numFmt w:val="decimal"/>
      <w:lvlText w:val="%1.%2.%3.%4."/>
      <w:lvlJc w:val="left"/>
      <w:pPr>
        <w:ind w:left="2781" w:hanging="1080"/>
      </w:pPr>
      <w:rPr>
        <w:rFonts w:hint="default" w:cs="Times New Roman"/>
        <w:i w:val="0"/>
        <w:color w:val="000000"/>
      </w:rPr>
    </w:lvl>
    <w:lvl w:ilvl="4" w:tentative="0">
      <w:start w:val="1"/>
      <w:numFmt w:val="decimal"/>
      <w:lvlText w:val="%1.%2.%3.%4.%5."/>
      <w:lvlJc w:val="left"/>
      <w:pPr>
        <w:ind w:left="3708" w:hanging="1440"/>
      </w:pPr>
      <w:rPr>
        <w:rFonts w:hint="default" w:cs="Times New Roman"/>
        <w:i w:val="0"/>
        <w:color w:val="000000"/>
      </w:rPr>
    </w:lvl>
    <w:lvl w:ilvl="5" w:tentative="0">
      <w:start w:val="1"/>
      <w:numFmt w:val="decimal"/>
      <w:lvlText w:val="%1.%2.%3.%4.%5.%6."/>
      <w:lvlJc w:val="left"/>
      <w:pPr>
        <w:ind w:left="4275" w:hanging="1440"/>
      </w:pPr>
      <w:rPr>
        <w:rFonts w:hint="default" w:cs="Times New Roman"/>
        <w:i w:val="0"/>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3">
    <w:nsid w:val="55DA64AB"/>
    <w:multiLevelType w:val="multilevel"/>
    <w:tmpl w:val="55DA64AB"/>
    <w:lvl w:ilvl="0" w:tentative="0">
      <w:start w:val="2"/>
      <w:numFmt w:val="decimal"/>
      <w:lvlText w:val="%1."/>
      <w:lvlJc w:val="left"/>
      <w:pPr>
        <w:ind w:left="0" w:firstLine="0"/>
      </w:pPr>
      <w:rPr>
        <w:rFonts w:hint="default"/>
        <w:b/>
      </w:rPr>
    </w:lvl>
    <w:lvl w:ilvl="1" w:tentative="0">
      <w:start w:val="1"/>
      <w:numFmt w:val="decimal"/>
      <w:lvlText w:val="%1.%2."/>
      <w:lvlJc w:val="left"/>
      <w:pPr>
        <w:ind w:left="567"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4">
    <w:nsid w:val="58C70088"/>
    <w:multiLevelType w:val="multilevel"/>
    <w:tmpl w:val="58C70088"/>
    <w:lvl w:ilvl="0" w:tentative="0">
      <w:start w:val="1"/>
      <w:numFmt w:val="decimal"/>
      <w:pStyle w:val="87"/>
      <w:lvlText w:val="%1."/>
      <w:lvlJc w:val="left"/>
      <w:pPr>
        <w:ind w:left="502" w:hanging="360"/>
      </w:pPr>
      <w:rPr>
        <w:b/>
        <w:i w:val="0"/>
        <w:strike w:val="0"/>
        <w:dstrike w:val="0"/>
      </w:rPr>
    </w:lvl>
    <w:lvl w:ilvl="1" w:tentative="0">
      <w:start w:val="1"/>
      <w:numFmt w:val="decimal"/>
      <w:pStyle w:val="85"/>
      <w:lvlText w:val="%1.%2."/>
      <w:lvlJc w:val="left"/>
      <w:pPr>
        <w:ind w:left="858" w:hanging="432"/>
      </w:pPr>
      <w:rPr>
        <w:b w:val="0"/>
        <w:strike w:val="0"/>
      </w:rPr>
    </w:lvl>
    <w:lvl w:ilvl="2" w:tentative="0">
      <w:start w:val="1"/>
      <w:numFmt w:val="decimal"/>
      <w:lvlText w:val="%1.%2.%3."/>
      <w:lvlJc w:val="left"/>
      <w:pPr>
        <w:ind w:left="1224" w:hanging="504"/>
      </w:pPr>
      <w:rPr>
        <w:i w:val="0"/>
        <w:strike w:val="0"/>
      </w:rPr>
    </w:lvl>
    <w:lvl w:ilvl="3" w:tentative="0">
      <w:start w:val="1"/>
      <w:numFmt w:val="decimal"/>
      <w:lvlText w:val="%1.%2.%3.%4."/>
      <w:lvlJc w:val="left"/>
      <w:pPr>
        <w:ind w:left="1728" w:hanging="648"/>
      </w:pPr>
    </w:lvl>
    <w:lvl w:ilvl="4" w:tentative="0">
      <w:start w:val="1"/>
      <w:numFmt w:val="decimal"/>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5FA91080"/>
    <w:multiLevelType w:val="multilevel"/>
    <w:tmpl w:val="5FA91080"/>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lowerLetter"/>
      <w:lvlText w:val="%4)"/>
      <w:lvlJc w:val="left"/>
      <w:pPr>
        <w:ind w:left="2781" w:hanging="1080"/>
      </w:pPr>
      <w:rPr>
        <w:rFonts w:hint="default"/>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1"/>
  </w:num>
  <w:num w:numId="2">
    <w:abstractNumId w:val="14"/>
  </w:num>
  <w:num w:numId="3">
    <w:abstractNumId w:val="9"/>
  </w:num>
  <w:num w:numId="4">
    <w:abstractNumId w:val="5"/>
  </w:num>
  <w:num w:numId="5">
    <w:abstractNumId w:val="13"/>
  </w:num>
  <w:num w:numId="6">
    <w:abstractNumId w:val="7"/>
  </w:num>
  <w:num w:numId="7">
    <w:abstractNumId w:val="3"/>
  </w:num>
  <w:num w:numId="8">
    <w:abstractNumId w:val="15"/>
  </w:num>
  <w:num w:numId="9">
    <w:abstractNumId w:val="8"/>
  </w:num>
  <w:num w:numId="10">
    <w:abstractNumId w:val="11"/>
  </w:num>
  <w:num w:numId="11">
    <w:abstractNumId w:val="2"/>
  </w:num>
  <w:num w:numId="12">
    <w:abstractNumId w:val="4"/>
  </w:num>
  <w:num w:numId="13">
    <w:abstractNumId w:val="12"/>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26F7"/>
    <w:rsid w:val="00104990"/>
    <w:rsid w:val="00105939"/>
    <w:rsid w:val="00107E05"/>
    <w:rsid w:val="001107D8"/>
    <w:rsid w:val="00111997"/>
    <w:rsid w:val="001142F0"/>
    <w:rsid w:val="00115091"/>
    <w:rsid w:val="00117D18"/>
    <w:rsid w:val="0012095F"/>
    <w:rsid w:val="00120C1D"/>
    <w:rsid w:val="001225CA"/>
    <w:rsid w:val="00122846"/>
    <w:rsid w:val="00124D3B"/>
    <w:rsid w:val="001330F4"/>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116E"/>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410DF"/>
    <w:rsid w:val="00443C35"/>
    <w:rsid w:val="00443E9E"/>
    <w:rsid w:val="0044424A"/>
    <w:rsid w:val="0044659C"/>
    <w:rsid w:val="00447667"/>
    <w:rsid w:val="004479A4"/>
    <w:rsid w:val="00453B64"/>
    <w:rsid w:val="00454F62"/>
    <w:rsid w:val="0045560F"/>
    <w:rsid w:val="00455669"/>
    <w:rsid w:val="0046022B"/>
    <w:rsid w:val="0046240D"/>
    <w:rsid w:val="00463287"/>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1A3"/>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3A3"/>
    <w:rsid w:val="007E0AAF"/>
    <w:rsid w:val="007E2F29"/>
    <w:rsid w:val="007F0730"/>
    <w:rsid w:val="007F2286"/>
    <w:rsid w:val="007F25CE"/>
    <w:rsid w:val="007F388A"/>
    <w:rsid w:val="007F3F3A"/>
    <w:rsid w:val="007F428B"/>
    <w:rsid w:val="007F4EA9"/>
    <w:rsid w:val="007F4F7D"/>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5AD0"/>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7A27"/>
    <w:rsid w:val="00BC2020"/>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5967"/>
    <w:rsid w:val="00C45BD1"/>
    <w:rsid w:val="00C45C58"/>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03B8"/>
    <w:rsid w:val="00D677B0"/>
    <w:rsid w:val="00D67CDC"/>
    <w:rsid w:val="00D7067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409B"/>
    <w:rsid w:val="00E84BA3"/>
    <w:rsid w:val="00E85536"/>
    <w:rsid w:val="00E959ED"/>
    <w:rsid w:val="00E95C00"/>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EF7BA7"/>
    <w:rsid w:val="00F0586B"/>
    <w:rsid w:val="00F07420"/>
    <w:rsid w:val="00F07970"/>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 w:val="6E423F6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uiPriority w:val="0"/>
    <w:pPr>
      <w:keepNext/>
      <w:shd w:val="clear" w:color="auto" w:fill="FFFFFF"/>
      <w:tabs>
        <w:tab w:val="left" w:pos="708"/>
      </w:tabs>
      <w:suppressAutoHyphens/>
      <w:overflowPunct w:val="0"/>
      <w:spacing w:after="0" w:line="240" w:lineRule="auto"/>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link w:val="26"/>
    <w:qFormat/>
    <w:uiPriority w:val="0"/>
    <w:pPr>
      <w:numPr>
        <w:ilvl w:val="0"/>
        <w:numId w:val="1"/>
      </w:numPr>
      <w:tabs>
        <w:tab w:val="left" w:pos="708"/>
      </w:tabs>
      <w:outlineLvl w:val="0"/>
    </w:pPr>
    <w:rPr>
      <w:b/>
      <w:bCs/>
      <w:sz w:val="36"/>
      <w:szCs w:val="36"/>
    </w:rPr>
  </w:style>
  <w:style w:type="paragraph" w:styleId="5">
    <w:name w:val="heading 2"/>
    <w:basedOn w:val="1"/>
    <w:next w:val="4"/>
    <w:link w:val="27"/>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link w:val="28"/>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link w:val="25"/>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Emphasis"/>
    <w:basedOn w:val="7"/>
    <w:qFormat/>
    <w:uiPriority w:val="20"/>
    <w:rPr>
      <w:i/>
      <w:iCs/>
    </w:rPr>
  </w:style>
  <w:style w:type="character" w:styleId="12">
    <w:name w:val="Hyperlink"/>
    <w:basedOn w:val="7"/>
    <w:uiPriority w:val="0"/>
    <w:rPr>
      <w:color w:val="0563C1"/>
      <w:u w:val="single"/>
    </w:rPr>
  </w:style>
  <w:style w:type="paragraph" w:styleId="13">
    <w:name w:val="List"/>
    <w:basedOn w:val="4"/>
    <w:uiPriority w:val="0"/>
    <w:rPr>
      <w:rFonts w:cs="Lohit Hindi"/>
    </w:rPr>
  </w:style>
  <w:style w:type="paragraph" w:styleId="14">
    <w:name w:val="Body Text"/>
    <w:basedOn w:val="1"/>
    <w:link w:val="84"/>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5">
    <w:name w:val="annotation text"/>
    <w:basedOn w:val="1"/>
    <w:link w:val="83"/>
    <w:unhideWhenUsed/>
    <w:qFormat/>
    <w:uiPriority w:val="0"/>
    <w:rPr>
      <w:sz w:val="20"/>
      <w:szCs w:val="20"/>
    </w:rPr>
  </w:style>
  <w:style w:type="paragraph" w:styleId="16">
    <w:name w:val="List Bullet 5"/>
    <w:basedOn w:val="1"/>
    <w:qFormat/>
    <w:uiPriority w:val="0"/>
  </w:style>
  <w:style w:type="paragraph" w:styleId="17">
    <w:name w:val="Normal (Web)"/>
    <w:basedOn w:val="1"/>
    <w:uiPriority w:val="99"/>
    <w:pPr>
      <w:spacing w:before="28" w:after="28"/>
    </w:pPr>
    <w:rPr>
      <w:rFonts w:ascii="Times New Roman" w:hAnsi="Times New Roman" w:cs="Times New Roman"/>
    </w:rPr>
  </w:style>
  <w:style w:type="paragraph" w:styleId="18">
    <w:name w:val="header"/>
    <w:basedOn w:val="1"/>
    <w:link w:val="73"/>
    <w:qFormat/>
    <w:uiPriority w:val="0"/>
    <w:pPr>
      <w:suppressLineNumbers/>
      <w:tabs>
        <w:tab w:val="center" w:pos="4252"/>
        <w:tab w:val="right" w:pos="8504"/>
      </w:tabs>
    </w:pPr>
  </w:style>
  <w:style w:type="paragraph" w:styleId="19">
    <w:name w:val="annotation subject"/>
    <w:basedOn w:val="15"/>
    <w:next w:val="15"/>
    <w:link w:val="95"/>
    <w:semiHidden/>
    <w:unhideWhenUsed/>
    <w:qFormat/>
    <w:uiPriority w:val="99"/>
    <w:rPr>
      <w:b/>
      <w:bCs/>
    </w:rPr>
  </w:style>
  <w:style w:type="paragraph" w:styleId="20">
    <w:name w:val="footer"/>
    <w:basedOn w:val="1"/>
    <w:link w:val="74"/>
    <w:qFormat/>
    <w:uiPriority w:val="99"/>
    <w:pPr>
      <w:suppressLineNumbers/>
      <w:tabs>
        <w:tab w:val="center" w:pos="4252"/>
        <w:tab w:val="right" w:pos="8504"/>
      </w:tabs>
    </w:pPr>
  </w:style>
  <w:style w:type="paragraph" w:styleId="21">
    <w:name w:val="caption"/>
    <w:basedOn w:val="1"/>
    <w:next w:val="1"/>
    <w:uiPriority w:val="0"/>
    <w:pPr>
      <w:suppressLineNumbers/>
      <w:spacing w:before="120" w:after="120"/>
    </w:pPr>
    <w:rPr>
      <w:rFonts w:cs="Lohit Hindi"/>
      <w:i/>
      <w:iCs/>
    </w:rPr>
  </w:style>
  <w:style w:type="paragraph" w:styleId="22">
    <w:name w:val="Balloon Text"/>
    <w:basedOn w:val="1"/>
    <w:link w:val="68"/>
    <w:uiPriority w:val="0"/>
    <w:rPr>
      <w:rFonts w:ascii="Tahoma" w:hAnsi="Tahoma"/>
      <w:sz w:val="16"/>
      <w:szCs w:val="16"/>
    </w:rPr>
  </w:style>
  <w:style w:type="paragraph" w:styleId="23">
    <w:name w:val="Subtitle"/>
    <w:basedOn w:val="3"/>
    <w:next w:val="4"/>
    <w:link w:val="79"/>
    <w:qFormat/>
    <w:uiPriority w:val="0"/>
    <w:pPr>
      <w:spacing w:before="60"/>
      <w:jc w:val="center"/>
    </w:pPr>
    <w:rPr>
      <w:sz w:val="36"/>
      <w:szCs w:val="36"/>
    </w:rPr>
  </w:style>
  <w:style w:type="table" w:styleId="24">
    <w:name w:val="Table Grid"/>
    <w:basedOn w:val="8"/>
    <w:qFormat/>
    <w:uiPriority w:val="59"/>
    <w:pPr>
      <w:spacing w:after="0" w:line="240" w:lineRule="auto"/>
      <w:textAlignment w:val="baseline"/>
    </w:pPr>
    <w:rPr>
      <w:rFonts w:ascii="Liberation Serif" w:hAnsi="Liberation Serif" w:eastAsia="WenQuanYi Micro Hei" w:cs="Lohit Hindi"/>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ítulo Carácter"/>
    <w:basedOn w:val="7"/>
    <w:link w:val="3"/>
    <w:qFormat/>
    <w:uiPriority w:val="0"/>
    <w:rPr>
      <w:rFonts w:ascii="Liberation Sans" w:hAnsi="Liberation Sans" w:eastAsia="WenQuanYi Micro Hei" w:cs="Lohit Hindi"/>
      <w:color w:val="00000A"/>
      <w:sz w:val="28"/>
      <w:szCs w:val="28"/>
      <w:shd w:val="clear" w:color="auto" w:fill="FFFFFF"/>
      <w:lang w:eastAsia="pt-BR"/>
    </w:rPr>
  </w:style>
  <w:style w:type="character" w:customStyle="1" w:styleId="26">
    <w:name w:val="Cabeçalho 1 Carácter"/>
    <w:basedOn w:val="7"/>
    <w:link w:val="2"/>
    <w:qFormat/>
    <w:uiPriority w:val="0"/>
    <w:rPr>
      <w:rFonts w:ascii="Liberation Sans" w:hAnsi="Liberation Sans" w:eastAsia="WenQuanYi Micro Hei" w:cs="Lohit Hindi"/>
      <w:b/>
      <w:bCs/>
      <w:color w:val="00000A"/>
      <w:sz w:val="36"/>
      <w:szCs w:val="36"/>
      <w:shd w:val="clear" w:color="auto" w:fill="FFFFFF"/>
      <w:lang w:eastAsia="pt-BR"/>
    </w:rPr>
  </w:style>
  <w:style w:type="character" w:customStyle="1" w:styleId="27">
    <w:name w:val="Cabeçalho 2 Carácter"/>
    <w:basedOn w:val="7"/>
    <w:link w:val="5"/>
    <w:qFormat/>
    <w:uiPriority w:val="0"/>
    <w:rPr>
      <w:rFonts w:ascii="Times New Roman" w:hAnsi="Times New Roman" w:eastAsia="Times New Roman" w:cs="Times New Roman"/>
      <w:b/>
      <w:color w:val="000000"/>
      <w:sz w:val="24"/>
      <w:szCs w:val="20"/>
      <w:shd w:val="clear" w:color="auto" w:fill="FFFFFF"/>
      <w:lang w:eastAsia="pt-BR"/>
    </w:rPr>
  </w:style>
  <w:style w:type="character" w:customStyle="1" w:styleId="28">
    <w:name w:val="Cabeçalho 3 Carácter"/>
    <w:basedOn w:val="7"/>
    <w:link w:val="6"/>
    <w:qFormat/>
    <w:uiPriority w:val="0"/>
    <w:rPr>
      <w:rFonts w:ascii="Liberation Sans" w:hAnsi="Liberation Sans" w:eastAsia="WenQuanYi Micro Hei" w:cs="Lohit Hindi"/>
      <w:b/>
      <w:bCs/>
      <w:color w:val="808080"/>
      <w:sz w:val="28"/>
      <w:szCs w:val="28"/>
      <w:shd w:val="clear" w:color="auto" w:fill="FFFFFF"/>
      <w:lang w:eastAsia="pt-BR"/>
    </w:rPr>
  </w:style>
  <w:style w:type="character" w:customStyle="1" w:styleId="29">
    <w:name w:val="Texto de balão Char"/>
    <w:qFormat/>
    <w:uiPriority w:val="0"/>
    <w:rPr>
      <w:rFonts w:ascii="Tahoma" w:hAnsi="Tahoma" w:cs="Tahoma"/>
      <w:sz w:val="16"/>
      <w:szCs w:val="16"/>
    </w:rPr>
  </w:style>
  <w:style w:type="character" w:customStyle="1" w:styleId="30">
    <w:name w:val="normal__char1"/>
    <w:qFormat/>
    <w:uiPriority w:val="0"/>
    <w:rPr>
      <w:rFonts w:ascii="Arial" w:hAnsi="Arial" w:cs="Arial"/>
      <w:sz w:val="24"/>
      <w:szCs w:val="24"/>
      <w:u w:val="none"/>
    </w:rPr>
  </w:style>
  <w:style w:type="character" w:customStyle="1" w:styleId="31">
    <w:name w:val="apple-style-span"/>
    <w:basedOn w:val="7"/>
    <w:qFormat/>
    <w:uiPriority w:val="0"/>
  </w:style>
  <w:style w:type="character" w:customStyle="1" w:styleId="32">
    <w:name w:val="Link da Internet"/>
    <w:qFormat/>
    <w:uiPriority w:val="0"/>
    <w:rPr>
      <w:color w:val="000080"/>
      <w:u w:val="single"/>
      <w:lang w:val="en-US" w:eastAsia="en-US" w:bidi="en-US"/>
    </w:rPr>
  </w:style>
  <w:style w:type="character" w:customStyle="1" w:styleId="33">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4">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5">
    <w:name w:val="Cabeçalho Char"/>
    <w:qFormat/>
    <w:uiPriority w:val="0"/>
    <w:rPr>
      <w:rFonts w:ascii="Ecofont_Spranq_eco_Sans" w:hAnsi="Ecofont_Spranq_eco_Sans" w:cs="Tahoma"/>
      <w:sz w:val="24"/>
      <w:szCs w:val="24"/>
    </w:rPr>
  </w:style>
  <w:style w:type="character" w:customStyle="1" w:styleId="36">
    <w:name w:val="Rodapé Char"/>
    <w:qFormat/>
    <w:uiPriority w:val="99"/>
    <w:rPr>
      <w:rFonts w:ascii="Ecofont_Spranq_eco_Sans" w:hAnsi="Ecofont_Spranq_eco_Sans" w:cs="Tahoma"/>
      <w:sz w:val="24"/>
      <w:szCs w:val="24"/>
    </w:rPr>
  </w:style>
  <w:style w:type="character" w:customStyle="1" w:styleId="37">
    <w:name w:val="cp_0020corpodespacho__char1"/>
    <w:qFormat/>
    <w:uiPriority w:val="0"/>
    <w:rPr>
      <w:rFonts w:ascii="Times New Roman" w:hAnsi="Times New Roman" w:cs="Times New Roman"/>
      <w:sz w:val="26"/>
      <w:szCs w:val="26"/>
      <w:u w:val="none"/>
    </w:rPr>
  </w:style>
  <w:style w:type="character" w:customStyle="1" w:styleId="38">
    <w:name w:val="em_0020ementa__char1"/>
    <w:qFormat/>
    <w:uiPriority w:val="0"/>
    <w:rPr>
      <w:rFonts w:ascii="Times New Roman" w:hAnsi="Times New Roman" w:cs="Times New Roman"/>
      <w:sz w:val="28"/>
      <w:szCs w:val="28"/>
      <w:u w:val="none"/>
    </w:rPr>
  </w:style>
  <w:style w:type="character" w:customStyle="1" w:styleId="39">
    <w:name w:val="ListLabel 1"/>
    <w:qFormat/>
    <w:uiPriority w:val="0"/>
    <w:rPr>
      <w:b/>
    </w:rPr>
  </w:style>
  <w:style w:type="character" w:customStyle="1" w:styleId="40">
    <w:name w:val="ListLabel 2"/>
    <w:qFormat/>
    <w:uiPriority w:val="0"/>
  </w:style>
  <w:style w:type="character" w:customStyle="1" w:styleId="41">
    <w:name w:val="ListLabel 3"/>
    <w:qFormat/>
    <w:uiPriority w:val="0"/>
    <w:rPr>
      <w:rFonts w:eastAsia="Arial Unicode MS"/>
    </w:rPr>
  </w:style>
  <w:style w:type="character" w:customStyle="1" w:styleId="42">
    <w:name w:val="ListLabel 4"/>
    <w:qFormat/>
    <w:uiPriority w:val="0"/>
    <w:rPr>
      <w:rFonts w:cs="Arial"/>
      <w:i/>
      <w:color w:val="FF0000"/>
    </w:rPr>
  </w:style>
  <w:style w:type="character" w:customStyle="1" w:styleId="43">
    <w:name w:val="ListLabel 5"/>
    <w:qFormat/>
    <w:uiPriority w:val="0"/>
    <w:rPr>
      <w:color w:val="0000FF"/>
    </w:rPr>
  </w:style>
  <w:style w:type="character" w:customStyle="1" w:styleId="44">
    <w:name w:val="ListLabel 6"/>
    <w:qFormat/>
    <w:uiPriority w:val="0"/>
    <w:rPr>
      <w:b/>
    </w:rPr>
  </w:style>
  <w:style w:type="character" w:customStyle="1" w:styleId="45">
    <w:name w:val="ListLabel 7"/>
    <w:uiPriority w:val="0"/>
    <w:rPr>
      <w:b/>
      <w:color w:val="00000A"/>
    </w:rPr>
  </w:style>
  <w:style w:type="character" w:customStyle="1" w:styleId="46">
    <w:name w:val="ListLabel 8"/>
    <w:uiPriority w:val="0"/>
  </w:style>
  <w:style w:type="character" w:customStyle="1" w:styleId="47">
    <w:name w:val="ListLabel 9"/>
    <w:uiPriority w:val="0"/>
    <w:rPr>
      <w:color w:val="00000A"/>
    </w:rPr>
  </w:style>
  <w:style w:type="character" w:customStyle="1" w:styleId="48">
    <w:name w:val="ListLabel 10"/>
    <w:uiPriority w:val="0"/>
    <w:rPr>
      <w:b/>
    </w:rPr>
  </w:style>
  <w:style w:type="character" w:customStyle="1" w:styleId="49">
    <w:name w:val="ListLabel 11"/>
    <w:uiPriority w:val="0"/>
  </w:style>
  <w:style w:type="character" w:customStyle="1" w:styleId="50">
    <w:name w:val="ListLabel 12"/>
    <w:uiPriority w:val="0"/>
    <w:rPr>
      <w:b/>
    </w:rPr>
  </w:style>
  <w:style w:type="character" w:customStyle="1" w:styleId="51">
    <w:name w:val="ListLabel 13"/>
    <w:uiPriority w:val="0"/>
  </w:style>
  <w:style w:type="character" w:customStyle="1" w:styleId="52">
    <w:name w:val="WW_CharLFO2LVL1"/>
    <w:uiPriority w:val="0"/>
    <w:rPr>
      <w:b/>
    </w:rPr>
  </w:style>
  <w:style w:type="character" w:customStyle="1" w:styleId="53">
    <w:name w:val="WW_CharLFO2LVL2"/>
    <w:uiPriority w:val="0"/>
  </w:style>
  <w:style w:type="character" w:customStyle="1" w:styleId="54">
    <w:name w:val="WW_CharLFO2LVL3"/>
    <w:uiPriority w:val="0"/>
  </w:style>
  <w:style w:type="character" w:customStyle="1" w:styleId="55">
    <w:name w:val="WW_CharLFO3LVL1"/>
    <w:uiPriority w:val="0"/>
    <w:rPr>
      <w:b/>
    </w:rPr>
  </w:style>
  <w:style w:type="character" w:customStyle="1" w:styleId="56">
    <w:name w:val="WW_CharLFO3LVL2"/>
    <w:uiPriority w:val="0"/>
  </w:style>
  <w:style w:type="character" w:customStyle="1" w:styleId="57">
    <w:name w:val="WW_CharLFO3LVL3"/>
    <w:uiPriority w:val="0"/>
  </w:style>
  <w:style w:type="character" w:customStyle="1" w:styleId="58">
    <w:name w:val="WW_CharLFO4LVL1"/>
    <w:uiPriority w:val="0"/>
    <w:rPr>
      <w:b/>
    </w:rPr>
  </w:style>
  <w:style w:type="character" w:customStyle="1" w:styleId="59">
    <w:name w:val="WW_CharLFO4LVL2"/>
    <w:uiPriority w:val="0"/>
  </w:style>
  <w:style w:type="character" w:customStyle="1" w:styleId="60">
    <w:name w:val="WW_CharLFO4LVL3"/>
    <w:uiPriority w:val="0"/>
  </w:style>
  <w:style w:type="character" w:customStyle="1" w:styleId="61">
    <w:name w:val="Comment Text Char"/>
    <w:basedOn w:val="7"/>
    <w:uiPriority w:val="0"/>
    <w:rPr>
      <w:rFonts w:cs="Mangal"/>
      <w:sz w:val="20"/>
      <w:szCs w:val="18"/>
    </w:rPr>
  </w:style>
  <w:style w:type="character" w:customStyle="1" w:styleId="62">
    <w:name w:val="Quote Char"/>
    <w:basedOn w:val="7"/>
    <w:link w:val="63"/>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3">
    <w:name w:val="Citação1"/>
    <w:basedOn w:val="1"/>
    <w:next w:val="1"/>
    <w:link w:val="62"/>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character" w:customStyle="1" w:styleId="64">
    <w:name w:val="Manoel"/>
    <w:qFormat/>
    <w:uiPriority w:val="0"/>
    <w:rPr>
      <w:rFonts w:ascii="Arial" w:hAnsi="Arial" w:cs="Arial"/>
      <w:color w:val="7030A0"/>
      <w:sz w:val="20"/>
    </w:rPr>
  </w:style>
  <w:style w:type="paragraph" w:customStyle="1" w:styleId="65">
    <w:name w:val="LO-Normal"/>
    <w:uiPriority w:val="0"/>
    <w:pPr>
      <w:keepNext/>
      <w:widowControl w:val="0"/>
      <w:shd w:val="clear" w:color="auto" w:fill="FFFFFF"/>
      <w:suppressAutoHyphens/>
      <w:spacing w:after="0" w:line="240" w:lineRule="auto"/>
      <w:textAlignment w:val="baseline"/>
    </w:pPr>
    <w:rPr>
      <w:rFonts w:ascii="Liberation Serif" w:hAnsi="Liberation Serif" w:eastAsia="WenQuanYi Micro Hei" w:cs="Lohit Hindi"/>
      <w:sz w:val="24"/>
      <w:szCs w:val="24"/>
      <w:lang w:val="pt-BR" w:eastAsia="zh-CN" w:bidi="hi-IN"/>
    </w:rPr>
  </w:style>
  <w:style w:type="paragraph" w:customStyle="1" w:styleId="66">
    <w:name w:val="Índice"/>
    <w:basedOn w:val="1"/>
    <w:uiPriority w:val="0"/>
    <w:pPr>
      <w:suppressLineNumbers/>
    </w:pPr>
    <w:rPr>
      <w:rFonts w:cs="Lohit Hindi"/>
    </w:rPr>
  </w:style>
  <w:style w:type="paragraph" w:styleId="67">
    <w:name w:val="List Paragraph"/>
    <w:basedOn w:val="1"/>
    <w:qFormat/>
    <w:uiPriority w:val="34"/>
    <w:pPr>
      <w:tabs>
        <w:tab w:val="left" w:pos="-12"/>
      </w:tabs>
      <w:ind w:left="720"/>
    </w:pPr>
  </w:style>
  <w:style w:type="character" w:customStyle="1" w:styleId="68">
    <w:name w:val="Texto de balão Carácter"/>
    <w:basedOn w:val="7"/>
    <w:link w:val="22"/>
    <w:uiPriority w:val="0"/>
    <w:rPr>
      <w:rFonts w:ascii="Tahoma" w:hAnsi="Tahoma" w:eastAsia="Times New Roman" w:cs="Tahoma"/>
      <w:color w:val="00000A"/>
      <w:sz w:val="16"/>
      <w:szCs w:val="16"/>
      <w:shd w:val="clear" w:color="auto" w:fill="FFFFFF"/>
      <w:lang w:eastAsia="pt-BR"/>
    </w:rPr>
  </w:style>
  <w:style w:type="paragraph" w:customStyle="1" w:styleId="69">
    <w:name w:val="Nível 2"/>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70">
    <w:name w:val="Quote"/>
    <w:basedOn w:val="1"/>
    <w:link w:val="7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character" w:customStyle="1" w:styleId="71">
    <w:name w:val="Citação Carácter"/>
    <w:basedOn w:val="7"/>
    <w:link w:val="70"/>
    <w:qFormat/>
    <w:uiPriority w:val="0"/>
    <w:rPr>
      <w:rFonts w:ascii="Ecofont_Spranq_eco_Sans" w:hAnsi="Ecofont_Spranq_eco_Sans" w:eastAsia="Calibri" w:cs="Tahoma"/>
      <w:i/>
      <w:iCs/>
      <w:color w:val="000000"/>
      <w:sz w:val="20"/>
      <w:szCs w:val="24"/>
      <w:shd w:val="clear" w:color="auto" w:fill="FFFFCC"/>
    </w:rPr>
  </w:style>
  <w:style w:type="paragraph" w:customStyle="1" w:styleId="72">
    <w:name w:val="citação 2"/>
    <w:basedOn w:val="70"/>
    <w:qFormat/>
    <w:uiPriority w:val="0"/>
    <w:rPr>
      <w:szCs w:val="20"/>
    </w:rPr>
  </w:style>
  <w:style w:type="character" w:customStyle="1" w:styleId="73">
    <w:name w:val="Cabeçalho Carácter"/>
    <w:basedOn w:val="7"/>
    <w:link w:val="18"/>
    <w:qFormat/>
    <w:uiPriority w:val="0"/>
    <w:rPr>
      <w:rFonts w:ascii="Ecofont_Spranq_eco_Sans" w:hAnsi="Ecofont_Spranq_eco_Sans" w:eastAsia="Times New Roman" w:cs="Tahoma"/>
      <w:color w:val="00000A"/>
      <w:sz w:val="24"/>
      <w:szCs w:val="24"/>
      <w:shd w:val="clear" w:color="auto" w:fill="FFFFFF"/>
      <w:lang w:eastAsia="pt-BR"/>
    </w:rPr>
  </w:style>
  <w:style w:type="character" w:customStyle="1" w:styleId="74">
    <w:name w:val="Rodapé Carácter"/>
    <w:basedOn w:val="7"/>
    <w:link w:val="20"/>
    <w:qFormat/>
    <w:uiPriority w:val="99"/>
    <w:rPr>
      <w:rFonts w:ascii="Ecofont_Spranq_eco_Sans" w:hAnsi="Ecofont_Spranq_eco_Sans" w:eastAsia="Times New Roman" w:cs="Tahoma"/>
      <w:color w:val="00000A"/>
      <w:sz w:val="24"/>
      <w:szCs w:val="24"/>
      <w:shd w:val="clear" w:color="auto" w:fill="FFFFFF"/>
      <w:lang w:eastAsia="pt-BR"/>
    </w:rPr>
  </w:style>
  <w:style w:type="paragraph" w:customStyle="1" w:styleId="75">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76">
    <w:name w:val="Conteúdo da tabela"/>
    <w:basedOn w:val="1"/>
    <w:qFormat/>
    <w:uiPriority w:val="0"/>
    <w:pPr>
      <w:suppressLineNumbers/>
    </w:pPr>
  </w:style>
  <w:style w:type="paragraph" w:customStyle="1" w:styleId="77">
    <w:name w:val="Citações"/>
    <w:basedOn w:val="1"/>
    <w:qFormat/>
    <w:uiPriority w:val="0"/>
    <w:pPr>
      <w:spacing w:after="283"/>
      <w:ind w:left="567" w:right="567"/>
    </w:pPr>
  </w:style>
  <w:style w:type="paragraph" w:customStyle="1" w:styleId="78">
    <w:name w:val="Título do documento"/>
    <w:basedOn w:val="3"/>
    <w:next w:val="4"/>
    <w:qFormat/>
    <w:uiPriority w:val="0"/>
    <w:pPr>
      <w:jc w:val="center"/>
    </w:pPr>
    <w:rPr>
      <w:b/>
      <w:bCs/>
      <w:sz w:val="56"/>
      <w:szCs w:val="56"/>
    </w:rPr>
  </w:style>
  <w:style w:type="character" w:customStyle="1" w:styleId="79">
    <w:name w:val="Subtítulo Carácter"/>
    <w:basedOn w:val="7"/>
    <w:link w:val="23"/>
    <w:qFormat/>
    <w:uiPriority w:val="0"/>
    <w:rPr>
      <w:rFonts w:ascii="Liberation Sans" w:hAnsi="Liberation Sans" w:eastAsia="WenQuanYi Micro Hei" w:cs="Lohit Hindi"/>
      <w:color w:val="00000A"/>
      <w:sz w:val="36"/>
      <w:szCs w:val="36"/>
      <w:shd w:val="clear" w:color="auto" w:fill="FFFFFF"/>
      <w:lang w:eastAsia="pt-BR"/>
    </w:rPr>
  </w:style>
  <w:style w:type="paragraph" w:customStyle="1" w:styleId="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81">
    <w:name w:val="Linha horizontal"/>
    <w:basedOn w:val="1"/>
    <w:next w:val="4"/>
    <w:qFormat/>
    <w:uiPriority w:val="0"/>
    <w:pPr>
      <w:suppressLineNumbers/>
      <w:pBdr>
        <w:bottom w:val="double" w:color="808080" w:sz="2" w:space="0"/>
      </w:pBdr>
      <w:spacing w:after="283"/>
    </w:pPr>
    <w:rPr>
      <w:sz w:val="12"/>
      <w:szCs w:val="12"/>
    </w:rPr>
  </w:style>
  <w:style w:type="paragraph" w:customStyle="1" w:styleId="82">
    <w:name w:val="Título de tabela"/>
    <w:basedOn w:val="76"/>
    <w:qFormat/>
    <w:uiPriority w:val="0"/>
    <w:pPr>
      <w:jc w:val="center"/>
    </w:pPr>
    <w:rPr>
      <w:b/>
      <w:bCs/>
    </w:rPr>
  </w:style>
  <w:style w:type="character" w:customStyle="1" w:styleId="83">
    <w:name w:val="Texto de comentário Carácter"/>
    <w:basedOn w:val="7"/>
    <w:link w:val="15"/>
    <w:qFormat/>
    <w:uiPriority w:val="0"/>
    <w:rPr>
      <w:rFonts w:ascii="Ecofont_Spranq_eco_Sans" w:hAnsi="Ecofont_Spranq_eco_Sans" w:eastAsia="Times New Roman" w:cs="Tahoma"/>
      <w:color w:val="00000A"/>
      <w:sz w:val="20"/>
      <w:szCs w:val="20"/>
      <w:shd w:val="clear" w:color="auto" w:fill="FFFFFF"/>
      <w:lang w:eastAsia="pt-BR"/>
    </w:rPr>
  </w:style>
  <w:style w:type="character" w:customStyle="1" w:styleId="84">
    <w:name w:val="Corpo de texto Carácter"/>
    <w:basedOn w:val="7"/>
    <w:link w:val="14"/>
    <w:qFormat/>
    <w:uiPriority w:val="0"/>
    <w:rPr>
      <w:rFonts w:ascii="Times New Roman" w:hAnsi="Times New Roman" w:eastAsia="Arial Unicode MS" w:cs="Times New Roman"/>
      <w:sz w:val="24"/>
      <w:szCs w:val="20"/>
      <w:lang w:eastAsia="pt-BR"/>
    </w:rPr>
  </w:style>
  <w:style w:type="paragraph" w:customStyle="1" w:styleId="85">
    <w:name w:val="Nivel 2"/>
    <w:link w:val="86"/>
    <w:qFormat/>
    <w:uiPriority w:val="0"/>
    <w:pPr>
      <w:numPr>
        <w:ilvl w:val="1"/>
        <w:numId w:val="2"/>
      </w:numPr>
      <w:spacing w:before="120" w:after="120" w:line="276" w:lineRule="auto"/>
      <w:jc w:val="both"/>
    </w:pPr>
    <w:rPr>
      <w:rFonts w:ascii="Ecofont_Spranq_eco_Sans" w:hAnsi="Ecofont_Spranq_eco_Sans" w:eastAsia="Arial Unicode MS" w:cs="Times New Roman"/>
      <w:sz w:val="20"/>
      <w:szCs w:val="20"/>
      <w:lang w:val="pt-BR" w:eastAsia="pt-BR" w:bidi="ar-SA"/>
    </w:rPr>
  </w:style>
  <w:style w:type="character" w:customStyle="1" w:styleId="86">
    <w:name w:val="Nivel 2 Char"/>
    <w:basedOn w:val="7"/>
    <w:link w:val="85"/>
    <w:qFormat/>
    <w:uiPriority w:val="0"/>
    <w:rPr>
      <w:rFonts w:ascii="Ecofont_Spranq_eco_Sans" w:hAnsi="Ecofont_Spranq_eco_Sans" w:eastAsia="Arial Unicode MS" w:cs="Times New Roman"/>
      <w:sz w:val="20"/>
      <w:szCs w:val="20"/>
      <w:lang w:eastAsia="pt-BR"/>
    </w:rPr>
  </w:style>
  <w:style w:type="paragraph" w:customStyle="1" w:styleId="87">
    <w:name w:val="Nivel 1"/>
    <w:basedOn w:val="85"/>
    <w:next w:val="85"/>
    <w:qFormat/>
    <w:uiPriority w:val="0"/>
    <w:pPr>
      <w:numPr>
        <w:ilvl w:val="0"/>
      </w:numPr>
    </w:pPr>
    <w:rPr>
      <w:rFonts w:cs="Arial"/>
      <w:b/>
    </w:rPr>
  </w:style>
  <w:style w:type="paragraph" w:customStyle="1" w:styleId="88">
    <w:name w:val="Nivel 3"/>
    <w:basedOn w:val="85"/>
    <w:link w:val="89"/>
    <w:qFormat/>
    <w:uiPriority w:val="0"/>
    <w:pPr>
      <w:numPr>
        <w:ilvl w:val="0"/>
        <w:numId w:val="0"/>
      </w:numPr>
      <w:ind w:left="1224" w:hanging="504"/>
    </w:pPr>
    <w:rPr>
      <w:rFonts w:cs="Arial"/>
      <w:color w:val="000000"/>
    </w:rPr>
  </w:style>
  <w:style w:type="character" w:customStyle="1" w:styleId="89">
    <w:name w:val="Nivel 3 Char"/>
    <w:basedOn w:val="7"/>
    <w:link w:val="88"/>
    <w:qFormat/>
    <w:uiPriority w:val="0"/>
    <w:rPr>
      <w:rFonts w:ascii="Ecofont_Spranq_eco_Sans" w:hAnsi="Ecofont_Spranq_eco_Sans" w:eastAsia="Arial Unicode MS" w:cs="Arial"/>
      <w:color w:val="000000"/>
      <w:sz w:val="20"/>
      <w:szCs w:val="20"/>
      <w:lang w:eastAsia="pt-BR"/>
    </w:rPr>
  </w:style>
  <w:style w:type="paragraph" w:customStyle="1" w:styleId="90">
    <w:name w:val="Nivel 4"/>
    <w:basedOn w:val="88"/>
    <w:link w:val="91"/>
    <w:qFormat/>
    <w:uiPriority w:val="0"/>
    <w:pPr>
      <w:numPr>
        <w:ilvl w:val="3"/>
      </w:numPr>
      <w:ind w:left="1224" w:hanging="504"/>
    </w:pPr>
    <w:rPr>
      <w:color w:val="auto"/>
    </w:rPr>
  </w:style>
  <w:style w:type="character" w:customStyle="1" w:styleId="91">
    <w:name w:val="Nivel 4 Char"/>
    <w:basedOn w:val="7"/>
    <w:link w:val="90"/>
    <w:qFormat/>
    <w:uiPriority w:val="0"/>
    <w:rPr>
      <w:rFonts w:ascii="Ecofont_Spranq_eco_Sans" w:hAnsi="Ecofont_Spranq_eco_Sans" w:eastAsia="Arial Unicode MS" w:cs="Arial"/>
      <w:sz w:val="20"/>
      <w:szCs w:val="20"/>
      <w:lang w:eastAsia="pt-BR"/>
    </w:rPr>
  </w:style>
  <w:style w:type="paragraph" w:customStyle="1" w:styleId="92">
    <w:name w:val="Nivel 5"/>
    <w:basedOn w:val="90"/>
    <w:qFormat/>
    <w:uiPriority w:val="0"/>
    <w:pPr>
      <w:numPr>
        <w:ilvl w:val="4"/>
      </w:numPr>
      <w:tabs>
        <w:tab w:val="left" w:pos="360"/>
      </w:tabs>
      <w:ind w:left="2496" w:hanging="1080"/>
    </w:pPr>
  </w:style>
  <w:style w:type="paragraph" w:customStyle="1" w:styleId="93">
    <w:name w:val="Grade Colorida - Ênfase 11"/>
    <w:basedOn w:val="1"/>
    <w:next w:val="1"/>
    <w:link w:val="94"/>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94">
    <w:name w:val="Grade Colorida - Ênfase 1 Char"/>
    <w:link w:val="93"/>
    <w:qFormat/>
    <w:uiPriority w:val="29"/>
    <w:rPr>
      <w:rFonts w:ascii="Ecofont_Spranq_eco_Sans" w:hAnsi="Ecofont_Spranq_eco_Sans" w:eastAsia="Calibri" w:cs="Tahoma"/>
      <w:i/>
      <w:iCs/>
      <w:color w:val="000000"/>
      <w:sz w:val="20"/>
      <w:szCs w:val="24"/>
      <w:shd w:val="clear" w:color="auto" w:fill="FFFFCC"/>
    </w:rPr>
  </w:style>
  <w:style w:type="character" w:customStyle="1" w:styleId="95">
    <w:name w:val="Assunto de comentário Carácter"/>
    <w:basedOn w:val="83"/>
    <w:link w:val="19"/>
    <w:semiHidden/>
    <w:qFormat/>
    <w:uiPriority w:val="99"/>
    <w:rPr>
      <w:rFonts w:ascii="Ecofont_Spranq_eco_Sans" w:hAnsi="Ecofont_Spranq_eco_Sans" w:eastAsia="Times New Roman" w:cs="Tahoma"/>
      <w:b/>
      <w:bCs/>
      <w:color w:val="00000A"/>
      <w:sz w:val="20"/>
      <w:szCs w:val="20"/>
      <w:shd w:val="clear" w:color="auto" w:fill="FFFFFF"/>
      <w:lang w:eastAsia="pt-BR"/>
    </w:rPr>
  </w:style>
  <w:style w:type="table" w:styleId="96">
    <w:name w:val="Medium Grid 2 Accent 2"/>
    <w:basedOn w:val="8"/>
    <w:semiHidden/>
    <w:unhideWhenUsed/>
    <w:qFormat/>
    <w:uiPriority w:val="0"/>
    <w:pPr>
      <w:spacing w:after="0" w:line="240" w:lineRule="auto"/>
      <w:textAlignment w:val="baseline"/>
    </w:pPr>
    <w:rPr>
      <w:rFonts w:ascii="Ecofont_Spranq_eco_Sans" w:hAnsi="Ecofont_Spranq_eco_Sans" w:eastAsia="Calibri" w:cs="Ecofont_Spranq_eco_Sans"/>
      <w:i/>
      <w:iCs/>
      <w:color w:val="000000"/>
      <w:szCs w:val="24"/>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tcPr>
        <w:shd w:val="clear" w:color="auto" w:fill="FDF2EA"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BE4D5" w:themeFill="accent2" w:themeFillTint="33"/>
      </w:tcPr>
    </w:tblStylePr>
    <w:tblStylePr w:type="band1Vert">
      <w:tcPr>
        <w:shd w:val="clear" w:color="auto" w:fill="F6BE98" w:themeFill="accent2" w:themeFillTint="7F"/>
      </w:tcPr>
    </w:tblStylePr>
    <w:tblStylePr w:type="band1Horz">
      <w:tcPr>
        <w:tcBorders>
          <w:insideH w:val="single" w:sz="6" w:space="0"/>
          <w:insideV w:val="single" w:sz="6" w:space="0"/>
        </w:tcBorders>
        <w:shd w:val="clear" w:color="auto" w:fill="F6BE98" w:themeFill="accent2" w:themeFillTint="7F"/>
      </w:tcPr>
    </w:tblStylePr>
    <w:tblStylePr w:type="nwCell">
      <w:tcPr>
        <w:shd w:val="clear" w:color="auto" w:fill="FFFFFF" w:themeFill="background1"/>
      </w:tcPr>
    </w:tblStylePr>
  </w:style>
  <w:style w:type="character" w:customStyle="1" w:styleId="97">
    <w:name w:val="Grade Média 2 - Ênfase 2 Char"/>
    <w:semiHidden/>
    <w:qFormat/>
    <w:uiPriority w:val="0"/>
    <w:rPr>
      <w:rFonts w:ascii="Ecofont_Spranq_eco_Sans" w:hAnsi="Ecofont_Spranq_eco_Sans" w:eastAsia="Calibri" w:cs="Ecofont_Spranq_eco_Sans"/>
      <w:i/>
      <w:iCs/>
      <w:color w:val="000000"/>
      <w:szCs w:val="24"/>
      <w:shd w:val="clear" w:color="auto" w:fill="FFFFCC"/>
    </w:rPr>
  </w:style>
  <w:style w:type="paragraph" w:customStyle="1" w:styleId="98">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pt-BR" w:eastAsia="pt-BR" w:bidi="ar-SA"/>
    </w:rPr>
  </w:style>
  <w:style w:type="paragraph" w:customStyle="1" w:styleId="99">
    <w:name w:val="Nivel 01"/>
    <w:basedOn w:val="2"/>
    <w:next w:val="1"/>
    <w:qFormat/>
    <w:uiPriority w:val="0"/>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cs="Times New Roman" w:eastAsiaTheme="majorEastAsia"/>
      <w:color w:val="000000"/>
      <w:sz w:val="20"/>
      <w:szCs w:val="20"/>
    </w:rPr>
  </w:style>
  <w:style w:type="paragraph" w:customStyle="1" w:styleId="100">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101">
    <w:name w:val="highlight"/>
    <w:basedOn w:val="7"/>
    <w:qFormat/>
    <w:uiPriority w:val="0"/>
  </w:style>
  <w:style w:type="paragraph" w:customStyle="1" w:styleId="102">
    <w:name w:val="Sombreamento Médio 1 - Ênfase 31"/>
    <w:basedOn w:val="1"/>
    <w:next w:val="1"/>
    <w:qFormat/>
    <w:uiPriority w:val="0"/>
    <w:pPr>
      <w:keepNext w:val="0"/>
      <w:pBdr>
        <w:top w:val="single" w:color="000080" w:sz="4" w:space="1"/>
        <w:left w:val="single" w:color="000080" w:sz="4" w:space="4"/>
        <w:bottom w:val="single" w:color="000080" w:sz="4" w:space="1"/>
        <w:right w:val="single" w:color="000080" w:sz="4" w:space="4"/>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103">
    <w:name w:val="Normal numerado"/>
    <w:basedOn w:val="1"/>
    <w:qFormat/>
    <w:uiPriority w:val="0"/>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customStyle="1" w:styleId="104">
    <w:name w:val="Revision"/>
    <w:hidden/>
    <w:semiHidden/>
    <w:qFormat/>
    <w:uiPriority w:val="99"/>
    <w:pPr>
      <w:spacing w:after="0" w:line="240" w:lineRule="auto"/>
    </w:pPr>
    <w:rPr>
      <w:rFonts w:ascii="Ecofont_Spranq_eco_Sans" w:hAnsi="Ecofont_Spranq_eco_Sans" w:eastAsia="Times New Roman" w:cs="Tahoma"/>
      <w:color w:val="00000A"/>
      <w:sz w:val="24"/>
      <w:szCs w:val="24"/>
      <w:lang w:val="pt-BR" w:eastAsia="pt-BR" w:bidi="ar-SA"/>
    </w:rPr>
  </w:style>
  <w:style w:type="character" w:customStyle="1" w:styleId="105">
    <w:name w:val="Comment Reference1"/>
    <w:basedOn w:val="7"/>
    <w:qFormat/>
    <w:uiPriority w:val="0"/>
    <w:rPr>
      <w:sz w:val="16"/>
      <w:szCs w:val="16"/>
    </w:rPr>
  </w:style>
  <w:style w:type="paragraph" w:customStyle="1" w:styleId="106">
    <w:name w:val="Comment Text1"/>
    <w:basedOn w:val="65"/>
    <w:qFormat/>
    <w:uiPriority w:val="0"/>
    <w:rPr>
      <w:rFonts w:cs="Mangal"/>
      <w:sz w:val="20"/>
      <w:szCs w:val="18"/>
    </w:rPr>
  </w:style>
  <w:style w:type="paragraph" w:customStyle="1" w:styleId="107">
    <w:name w:val="figura"/>
    <w:basedOn w:val="1"/>
    <w:qFormat/>
    <w:uiPriority w:val="0"/>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108">
    <w:name w:val="xl59"/>
    <w:basedOn w:val="1"/>
    <w:qFormat/>
    <w:uiPriority w:val="0"/>
    <w:pPr>
      <w:keepNext w:val="0"/>
      <w:pBdr>
        <w:top w:val="single" w:color="auto" w:sz="4" w:space="0"/>
        <w:bottom w:val="single" w:color="auto" w:sz="4" w:space="0"/>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C0D46-CA20-43F8-AFE4-DABCF1353510}">
  <ds:schemaRefs/>
</ds:datastoreItem>
</file>

<file path=customXml/itemProps3.xml><?xml version="1.0" encoding="utf-8"?>
<ds:datastoreItem xmlns:ds="http://schemas.openxmlformats.org/officeDocument/2006/customXml" ds:itemID="{0B0CDCF3-9132-4273-84E6-F2A645C93EFB}">
  <ds:schemaRefs/>
</ds:datastoreItem>
</file>

<file path=customXml/itemProps4.xml><?xml version="1.0" encoding="utf-8"?>
<ds:datastoreItem xmlns:ds="http://schemas.openxmlformats.org/officeDocument/2006/customXml" ds:itemID="{69F88508-67B7-47DD-A4DA-F344CC162BF5}">
  <ds:schemaRefs/>
</ds:datastoreItem>
</file>

<file path=customXml/itemProps5.xml><?xml version="1.0" encoding="utf-8"?>
<ds:datastoreItem xmlns:ds="http://schemas.openxmlformats.org/officeDocument/2006/customXml" ds:itemID="{7ADEDFD8-1C0B-4DE1-8047-3A259A0B5662}">
  <ds:schemaRefs/>
</ds:datastoreItem>
</file>

<file path=docProps/app.xml><?xml version="1.0" encoding="utf-8"?>
<Properties xmlns="http://schemas.openxmlformats.org/officeDocument/2006/extended-properties" xmlns:vt="http://schemas.openxmlformats.org/officeDocument/2006/docPropsVTypes">
  <Template>Normal</Template>
  <Pages>25</Pages>
  <Words>12232</Words>
  <Characters>66053</Characters>
  <Lines>550</Lines>
  <Paragraphs>156</Paragraphs>
  <TotalTime>1450</TotalTime>
  <ScaleCrop>false</ScaleCrop>
  <LinksUpToDate>false</LinksUpToDate>
  <CharactersWithSpaces>78129</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2020-08-27T12:15:00Z</dcterms:created>
  <dc:creator>Isabella Silva Oliveira Cavalcanti</dc:creator>
  <cp:lastModifiedBy>UFF</cp:lastModifiedBy>
  <cp:lastPrinted>2020-10-20T19:14:00Z</cp:lastPrinted>
  <dcterms:modified xsi:type="dcterms:W3CDTF">2021-04-06T17:46:36Z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1046-11.2.0.10078</vt:lpwstr>
  </property>
</Properties>
</file>