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0885.0" w:type="dxa"/>
        <w:jc w:val="left"/>
        <w:tblInd w:w="185.0" w:type="dxa"/>
        <w:tblBorders>
          <w:top w:color="5f5f5f" w:space="0" w:sz="34" w:val="single"/>
          <w:left w:color="5f5f5f" w:space="0" w:sz="34" w:val="single"/>
          <w:bottom w:color="5f5f5f" w:space="0" w:sz="34" w:val="single"/>
          <w:right w:color="5f5f5f" w:space="0" w:sz="34" w:val="single"/>
          <w:insideH w:color="5f5f5f" w:space="0" w:sz="34" w:val="single"/>
          <w:insideV w:color="5f5f5f" w:space="0" w:sz="34" w:val="single"/>
        </w:tblBorders>
        <w:tblLayout w:type="fixed"/>
        <w:tblLook w:val="0000"/>
      </w:tblPr>
      <w:tblGrid>
        <w:gridCol w:w="617"/>
        <w:gridCol w:w="937"/>
        <w:gridCol w:w="2860"/>
        <w:gridCol w:w="911"/>
        <w:gridCol w:w="674"/>
        <w:gridCol w:w="2123"/>
        <w:gridCol w:w="962"/>
        <w:gridCol w:w="1801"/>
        <w:tblGridChange w:id="0">
          <w:tblGrid>
            <w:gridCol w:w="617"/>
            <w:gridCol w:w="937"/>
            <w:gridCol w:w="2860"/>
            <w:gridCol w:w="911"/>
            <w:gridCol w:w="674"/>
            <w:gridCol w:w="2123"/>
            <w:gridCol w:w="962"/>
            <w:gridCol w:w="1801"/>
          </w:tblGrid>
        </w:tblGridChange>
      </w:tblGrid>
      <w:tr>
        <w:trPr>
          <w:cantSplit w:val="0"/>
          <w:trHeight w:val="12578" w:hRule="atLeast"/>
          <w:tblHeader w:val="0"/>
        </w:trPr>
        <w:tc>
          <w:tcPr>
            <w:gridSpan w:val="8"/>
            <w:tcBorders>
              <w:bottom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5"/>
                <w:szCs w:val="5"/>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001"/>
                <w:tab w:val="left" w:leader="none" w:pos="9053"/>
              </w:tabs>
              <w:ind w:left="62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33"/>
                <w:szCs w:val="33"/>
                <w:vertAlign w:val="superscript"/>
              </w:rPr>
              <w:drawing>
                <wp:inline distB="0" distT="0" distL="0" distR="0">
                  <wp:extent cx="684860" cy="370331"/>
                  <wp:effectExtent b="0" l="0" r="0" t="0"/>
                  <wp:docPr id="211560615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4860" cy="370331"/>
                          </a:xfrm>
                          <a:prstGeom prst="rect"/>
                          <a:ln/>
                        </pic:spPr>
                      </pic:pic>
                    </a:graphicData>
                  </a:graphic>
                </wp:inline>
              </w:drawing>
            </w:r>
            <w:r w:rsidDel="00000000" w:rsidR="00000000" w:rsidRPr="00000000">
              <w:rPr>
                <w:rFonts w:ascii="Times New Roman" w:cs="Times New Roman" w:eastAsia="Times New Roman" w:hAnsi="Times New Roman"/>
                <w:color w:val="000000"/>
                <w:sz w:val="33"/>
                <w:szCs w:val="33"/>
                <w:vertAlign w:val="superscript"/>
                <w:rtl w:val="0"/>
              </w:rPr>
              <w:tab/>
            </w:r>
            <w:r w:rsidDel="00000000" w:rsidR="00000000" w:rsidRPr="00000000">
              <w:rPr>
                <w:rFonts w:ascii="Times New Roman" w:cs="Times New Roman" w:eastAsia="Times New Roman" w:hAnsi="Times New Roman"/>
                <w:color w:val="000000"/>
                <w:sz w:val="20"/>
                <w:szCs w:val="20"/>
              </w:rPr>
              <w:drawing>
                <wp:inline distB="0" distT="0" distL="0" distR="0">
                  <wp:extent cx="628762" cy="617029"/>
                  <wp:effectExtent b="0" l="0" r="0" t="0"/>
                  <wp:docPr id="211560615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628762" cy="617029"/>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Fonts w:ascii="Times New Roman" w:cs="Times New Roman" w:eastAsia="Times New Roman" w:hAnsi="Times New Roman"/>
                <w:color w:val="000000"/>
                <w:sz w:val="33"/>
                <w:szCs w:val="33"/>
                <w:vertAlign w:val="superscript"/>
              </w:rPr>
              <w:drawing>
                <wp:inline distB="0" distT="0" distL="0" distR="0">
                  <wp:extent cx="927176" cy="196596"/>
                  <wp:effectExtent b="0" l="0" r="0" t="0"/>
                  <wp:docPr id="211560615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27176" cy="19659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3709" w:right="3595" w:firstLine="1.0000000000002274"/>
              <w:jc w:val="center"/>
              <w:rPr>
                <w:b w:val="1"/>
                <w:color w:val="000000"/>
              </w:rPr>
            </w:pPr>
            <w:r w:rsidDel="00000000" w:rsidR="00000000" w:rsidRPr="00000000">
              <w:rPr>
                <w:b w:val="1"/>
                <w:color w:val="000000"/>
                <w:rtl w:val="0"/>
              </w:rPr>
              <w:t xml:space="preserve">MINISTÉRIO DA EDUCAÇÃO UNIVERSIDADE FEDERAL FLUMINENSE PRÓ-REITORIA DE ADMINISTRAÇÃO</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75" w:line="482" w:lineRule="auto"/>
              <w:ind w:left="2681" w:right="256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ANEXO III DO EDITAL DO PE N.º 90.018/2024/AD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75" w:line="482" w:lineRule="auto"/>
              <w:ind w:left="2681" w:right="2565"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MINUTA ATA DE REGISTRO DE PREÇOS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2" w:lineRule="auto"/>
              <w:ind w:left="1254" w:firstLine="0"/>
              <w:rPr>
                <w:rFonts w:ascii="Times New Roman" w:cs="Times New Roman" w:eastAsia="Times New Roman" w:hAnsi="Times New Roman"/>
                <w:color w:val="000000"/>
                <w:sz w:val="2"/>
                <w:szCs w:val="2"/>
              </w:rPr>
            </w:pPr>
            <w:r w:rsidDel="00000000" w:rsidR="00000000" w:rsidRPr="00000000">
              <w:rPr>
                <w:rFonts w:ascii="Times New Roman" w:cs="Times New Roman" w:eastAsia="Times New Roman" w:hAnsi="Times New Roman"/>
                <w:color w:val="000000"/>
                <w:sz w:val="2"/>
                <w:szCs w:val="2"/>
              </w:rPr>
              <mc:AlternateContent>
                <mc:Choice Requires="wpg">
                  <w:drawing>
                    <wp:inline distB="0" distT="0" distL="0" distR="0">
                      <wp:extent cx="5323205" cy="13335"/>
                      <wp:effectExtent b="0" l="0" r="0" t="0"/>
                      <wp:docPr id="2115606148" name=""/>
                      <a:graphic>
                        <a:graphicData uri="http://schemas.microsoft.com/office/word/2010/wordprocessingGroup">
                          <wpg:wgp>
                            <wpg:cNvGrpSpPr/>
                            <wpg:grpSpPr>
                              <a:xfrm>
                                <a:off x="2684375" y="3773325"/>
                                <a:ext cx="5323205" cy="13335"/>
                                <a:chOff x="2684375" y="3773325"/>
                                <a:chExt cx="5323250" cy="13350"/>
                              </a:xfrm>
                            </wpg:grpSpPr>
                            <wpg:grpSp>
                              <wpg:cNvGrpSpPr/>
                              <wpg:grpSpPr>
                                <a:xfrm>
                                  <a:off x="2684398" y="3773333"/>
                                  <a:ext cx="5323205" cy="13335"/>
                                  <a:chOff x="2684375" y="3773100"/>
                                  <a:chExt cx="5323250" cy="13175"/>
                                </a:xfrm>
                              </wpg:grpSpPr>
                              <wps:wsp>
                                <wps:cNvSpPr/>
                                <wps:cNvPr id="5" name="Shape 5"/>
                                <wps:spPr>
                                  <a:xfrm>
                                    <a:off x="2684375" y="3773100"/>
                                    <a:ext cx="5323250" cy="1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4398" y="3773333"/>
                                    <a:ext cx="5323205" cy="7620"/>
                                    <a:chOff x="0" y="0"/>
                                    <a:chExt cx="8383" cy="12"/>
                                  </a:xfrm>
                                </wpg:grpSpPr>
                                <wps:wsp>
                                  <wps:cNvSpPr/>
                                  <wps:cNvPr id="11" name="Shape 11"/>
                                  <wps:spPr>
                                    <a:xfrm>
                                      <a:off x="0" y="0"/>
                                      <a:ext cx="8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10"/>
                                      <a:ext cx="8383" cy="2"/>
                                    </a:xfrm>
                                    <a:custGeom>
                                      <a:rect b="b" l="l" r="r" t="t"/>
                                      <a:pathLst>
                                        <a:path extrusionOk="0" h="120000" w="8383">
                                          <a:moveTo>
                                            <a:pt x="0" y="0"/>
                                          </a:moveTo>
                                          <a:lnTo>
                                            <a:pt x="2414" y="0"/>
                                          </a:lnTo>
                                          <a:moveTo>
                                            <a:pt x="2416" y="0"/>
                                          </a:moveTo>
                                          <a:lnTo>
                                            <a:pt x="4830" y="0"/>
                                          </a:lnTo>
                                          <a:moveTo>
                                            <a:pt x="4832" y="0"/>
                                          </a:moveTo>
                                          <a:lnTo>
                                            <a:pt x="7246" y="0"/>
                                          </a:lnTo>
                                          <a:moveTo>
                                            <a:pt x="7248" y="0"/>
                                          </a:moveTo>
                                          <a:lnTo>
                                            <a:pt x="8383" y="0"/>
                                          </a:lnTo>
                                        </a:path>
                                      </a:pathLst>
                                    </a:custGeom>
                                    <a:noFill/>
                                    <a:ln cap="flat" cmpd="sng" w="131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323205" cy="13335"/>
                      <wp:effectExtent b="0" l="0" r="0" t="0"/>
                      <wp:docPr id="211560614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323205" cy="133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36" w:lineRule="auto"/>
              <w:ind w:left="610" w:right="489" w:firstLine="0"/>
              <w:jc w:val="both"/>
              <w:rPr>
                <w:color w:val="000000"/>
              </w:rPr>
            </w:pPr>
            <w:r w:rsidDel="00000000" w:rsidR="00000000" w:rsidRPr="00000000">
              <w:rPr>
                <w:rtl w:val="0"/>
              </w:rPr>
            </w:r>
          </w:p>
          <w:p w:rsidR="00000000" w:rsidDel="00000000" w:rsidP="00000000" w:rsidRDefault="00000000" w:rsidRPr="00000000" w14:paraId="0000000D">
            <w:pPr>
              <w:tabs>
                <w:tab w:val="center" w:leader="none" w:pos="4779"/>
                <w:tab w:val="right" w:leader="none" w:pos="9198"/>
              </w:tabs>
              <w:spacing w:after="120" w:before="120" w:line="276" w:lineRule="auto"/>
              <w:ind w:left="402" w:right="491" w:firstLine="1016.0000000000001"/>
              <w:jc w:val="both"/>
              <w:rPr/>
            </w:pPr>
            <w:r w:rsidDel="00000000" w:rsidR="00000000" w:rsidRPr="00000000">
              <w:rPr>
                <w:rtl w:val="0"/>
              </w:rPr>
              <w:t xml:space="preserve">A </w:t>
            </w:r>
            <w:r w:rsidDel="00000000" w:rsidR="00000000" w:rsidRPr="00000000">
              <w:rPr>
                <w:b w:val="1"/>
                <w:rtl w:val="0"/>
              </w:rPr>
              <w:t xml:space="preserve">Pró-Reitoria de Administração da Universidade Federal Fluminense (PROAD/UFF), </w:t>
            </w:r>
            <w:r w:rsidDel="00000000" w:rsidR="00000000" w:rsidRPr="00000000">
              <w:rPr>
                <w:rtl w:val="0"/>
              </w:rPr>
              <w:t xml:space="preserve">inscrito no CNPJ/MF sob o nº. 28.523.215/0039-89, situada na Rua Miguel de Frias, 9, 1º andar, Icaraí, Niterói/RJ, CEP 24.220-900, neste ato representada pela Pró-Reitora de Administração, </w:t>
            </w:r>
            <w:r w:rsidDel="00000000" w:rsidR="00000000" w:rsidRPr="00000000">
              <w:rPr>
                <w:b w:val="1"/>
                <w:rtl w:val="0"/>
              </w:rPr>
              <w:t xml:space="preserve">Vera Lucia Lavrado Cupelo Cajazeiras, </w:t>
            </w:r>
            <w:r w:rsidDel="00000000" w:rsidR="00000000" w:rsidRPr="00000000">
              <w:rPr>
                <w:rtl w:val="0"/>
              </w:rPr>
              <w:t xml:space="preserve"> nomeada pela  Portaria nº 68.590 de 19/09/2023, publicada no Boletim de Serviço UFF nº 179, de 21/09/2023, portador da matrícula funcional nº 6308377, considerando o julgamento da licitação na modalidade de pregão, na forma eletrônica, para REGISTRO DE PREÇOS nº 90.018/2024, processo administrativo n.º 23069.187674/2023-15, RESOLVE registrar os preços da(s)  empresa(s) indicada(s) e qualificada(s) nesta ATA, de acordo com a classificação por ela(s) alcançada(s) e na(s)  quantidade(s)  cotada(s), atendendo as condições previstas no Edital de licitação ou Aviso da Contratação Direta, sujeitando-se as partes às normas constantes na Lei nº 14.133, de 1º de abril de 2021, no Decreto n.º 11.462, de 31 de março de 2023, e em conformidade com as disposições a seguir: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36" w:lineRule="auto"/>
              <w:ind w:left="610" w:right="489" w:firstLine="0"/>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1318"/>
              </w:tabs>
              <w:ind w:left="610" w:firstLine="0"/>
              <w:rPr>
                <w:b w:val="1"/>
                <w:color w:val="000000"/>
              </w:rPr>
            </w:pPr>
            <w:r w:rsidDel="00000000" w:rsidR="00000000" w:rsidRPr="00000000">
              <w:rPr>
                <w:b w:val="1"/>
                <w:color w:val="000000"/>
                <w:rtl w:val="0"/>
              </w:rPr>
              <w:t xml:space="preserve">1.</w:t>
              <w:tab/>
              <w:t xml:space="preserve">DO OBJETO</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tabs>
                <w:tab w:val="left" w:leader="none" w:pos="1314"/>
              </w:tabs>
              <w:spacing w:before="72" w:lineRule="auto"/>
              <w:ind w:left="1313" w:right="489" w:hanging="846"/>
              <w:jc w:val="both"/>
              <w:rPr/>
            </w:pPr>
            <w:r w:rsidDel="00000000" w:rsidR="00000000" w:rsidRPr="00000000">
              <w:rPr>
                <w:color w:val="000000"/>
                <w:rtl w:val="0"/>
              </w:rPr>
              <w:t xml:space="preserve">A presente Ata tem por objeto o registro de preços para a </w:t>
            </w:r>
            <w:r w:rsidDel="00000000" w:rsidR="00000000" w:rsidRPr="00000000">
              <w:rPr>
                <w:b w:val="1"/>
                <w:color w:val="000000"/>
                <w:rtl w:val="0"/>
              </w:rPr>
              <w:t xml:space="preserve">eventual aquisição de insumos farmacêuticos</w:t>
            </w:r>
            <w:r w:rsidDel="00000000" w:rsidR="00000000" w:rsidRPr="00000000">
              <w:rPr>
                <w:color w:val="000000"/>
                <w:rtl w:val="0"/>
              </w:rPr>
              <w:t xml:space="preserve">, especificado(s) no(s) item(ns) do Termo de Referência e Planilha de Itens, Anexos I e I-A do edital de Pregão nº  </w:t>
            </w:r>
            <w:r w:rsidDel="00000000" w:rsidR="00000000" w:rsidRPr="00000000">
              <w:rPr>
                <w:rtl w:val="0"/>
              </w:rPr>
              <w:t xml:space="preserve">90.018/2024</w:t>
            </w:r>
            <w:r w:rsidDel="00000000" w:rsidR="00000000" w:rsidRPr="00000000">
              <w:rPr>
                <w:color w:val="000000"/>
                <w:rtl w:val="0"/>
              </w:rPr>
              <w:t xml:space="preserve">, que é parte integrante desta Ata, assim como a proposta vencedora, independentemente de transcrição.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9"/>
                <w:szCs w:val="29"/>
              </w:rPr>
            </w:pPr>
            <w:r w:rsidDel="00000000" w:rsidR="00000000" w:rsidRPr="00000000">
              <w:rPr>
                <w:rtl w:val="0"/>
              </w:rPr>
            </w:r>
          </w:p>
          <w:p w:rsidR="00000000" w:rsidDel="00000000" w:rsidP="00000000" w:rsidRDefault="00000000" w:rsidRPr="00000000" w14:paraId="00000012">
            <w:pPr>
              <w:numPr>
                <w:ilvl w:val="2"/>
                <w:numId w:val="2"/>
              </w:numPr>
              <w:pBdr>
                <w:top w:space="0" w:sz="0" w:val="nil"/>
                <w:left w:space="0" w:sz="0" w:val="nil"/>
                <w:bottom w:space="0" w:sz="0" w:val="nil"/>
                <w:right w:space="0" w:sz="0" w:val="nil"/>
                <w:between w:space="0" w:sz="0" w:val="nil"/>
              </w:pBdr>
              <w:tabs>
                <w:tab w:val="left" w:leader="none" w:pos="1462"/>
                <w:tab w:val="left" w:leader="none" w:pos="1463"/>
              </w:tabs>
              <w:ind w:left="1462" w:hanging="846"/>
              <w:rPr>
                <w:b w:val="1"/>
                <w:color w:val="000000"/>
              </w:rPr>
            </w:pPr>
            <w:r w:rsidDel="00000000" w:rsidR="00000000" w:rsidRPr="00000000">
              <w:rPr>
                <w:b w:val="1"/>
                <w:color w:val="000000"/>
                <w:rtl w:val="0"/>
              </w:rPr>
              <w:t xml:space="preserve">DOS PREÇOS, ESPECIFICAÇÕES E QUANTITATIVOS</w:t>
            </w:r>
          </w:p>
          <w:p w:rsidR="00000000" w:rsidDel="00000000" w:rsidP="00000000" w:rsidRDefault="00000000" w:rsidRPr="00000000" w14:paraId="00000013">
            <w:pPr>
              <w:numPr>
                <w:ilvl w:val="3"/>
                <w:numId w:val="2"/>
              </w:numPr>
              <w:pBdr>
                <w:top w:space="0" w:sz="0" w:val="nil"/>
                <w:left w:space="0" w:sz="0" w:val="nil"/>
                <w:bottom w:space="0" w:sz="0" w:val="nil"/>
                <w:right w:space="0" w:sz="0" w:val="nil"/>
                <w:between w:space="0" w:sz="0" w:val="nil"/>
              </w:pBdr>
              <w:tabs>
                <w:tab w:val="left" w:leader="none" w:pos="1462"/>
                <w:tab w:val="left" w:leader="none" w:pos="1463"/>
              </w:tabs>
              <w:spacing w:before="73" w:lineRule="auto"/>
              <w:ind w:left="1462" w:right="488" w:hanging="846"/>
              <w:rPr/>
            </w:pPr>
            <w:r w:rsidDel="00000000" w:rsidR="00000000" w:rsidRPr="00000000">
              <w:rPr>
                <w:color w:val="000000"/>
                <w:rtl w:val="0"/>
              </w:rPr>
              <w:t xml:space="preserve">O preço registrado, as especificações do objeto, a quantidade, fornecedor(es) e as demais condições ofertadas na(s) proposta(s) são as que seguem:</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73" w:lineRule="auto"/>
              <w:ind w:left="4309" w:firstLine="0"/>
              <w:rPr>
                <w:b w:val="1"/>
                <w:color w:val="000000"/>
              </w:rPr>
            </w:pPr>
            <w:r w:rsidDel="00000000" w:rsidR="00000000" w:rsidRPr="00000000">
              <w:rPr>
                <w:b w:val="1"/>
                <w:color w:val="000000"/>
                <w:rtl w:val="0"/>
              </w:rPr>
              <w:t xml:space="preserve">Identificação da Empresa</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5259"/>
                <w:tab w:val="left" w:leader="none" w:pos="8494"/>
              </w:tabs>
              <w:spacing w:before="118" w:line="348" w:lineRule="auto"/>
              <w:ind w:left="610" w:right="2303" w:firstLine="0"/>
              <w:rPr>
                <w:color w:val="000000"/>
                <w:u w:val="single"/>
              </w:rPr>
            </w:pPr>
            <w:r w:rsidDel="00000000" w:rsidR="00000000" w:rsidRPr="00000000">
              <w:rPr>
                <w:color w:val="000000"/>
                <w:rtl w:val="0"/>
              </w:rPr>
              <w:t xml:space="preserve">Razão Social:</w:t>
            </w:r>
            <w:r w:rsidDel="00000000" w:rsidR="00000000" w:rsidRPr="00000000">
              <w:rPr>
                <w:color w:val="000000"/>
                <w:u w:val="single"/>
                <w:rtl w:val="0"/>
              </w:rPr>
              <w:t xml:space="preserve"> </w:t>
              <w:tab/>
              <w:tab/>
            </w:r>
            <w:r w:rsidDel="00000000" w:rsidR="00000000" w:rsidRPr="00000000">
              <w:rPr>
                <w:color w:val="000000"/>
                <w:rtl w:val="0"/>
              </w:rPr>
              <w:t xml:space="preserve"> CNPJ: </w:t>
            </w:r>
            <w:r w:rsidDel="00000000" w:rsidR="00000000" w:rsidRPr="00000000">
              <w:rPr>
                <w:color w:val="000000"/>
                <w:u w:val="single"/>
                <w:rtl w:val="0"/>
              </w:rPr>
              <w:t xml:space="preserve"> </w:t>
              <w:tab/>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5259"/>
                <w:tab w:val="left" w:leader="none" w:pos="8494"/>
              </w:tabs>
              <w:spacing w:before="118" w:line="348" w:lineRule="auto"/>
              <w:ind w:left="610" w:right="2303" w:firstLine="0"/>
              <w:rPr>
                <w:color w:val="000000"/>
              </w:rPr>
            </w:pPr>
            <w:r w:rsidDel="00000000" w:rsidR="00000000" w:rsidRPr="00000000">
              <w:rPr>
                <w:rtl w:val="0"/>
              </w:rPr>
            </w:r>
          </w:p>
        </w:tc>
      </w:tr>
      <w:tr>
        <w:trPr>
          <w:cantSplit w:val="0"/>
          <w:trHeight w:val="901" w:hRule="atLeast"/>
          <w:tblHeader w:val="0"/>
        </w:trPr>
        <w:tc>
          <w:tcPr>
            <w:tcBorders>
              <w:top w:color="000000" w:space="0" w:sz="4" w:val="single"/>
              <w:bottom w:color="000000" w:space="0" w:sz="4" w:val="single"/>
              <w:right w:color="000000" w:space="0" w:sz="4" w:val="single"/>
            </w:tcBorders>
            <w:shd w:fill="d9e0f1"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56" w:right="5" w:firstLine="0"/>
              <w:jc w:val="center"/>
              <w:rPr>
                <w:b w:val="1"/>
                <w:color w:val="000000"/>
              </w:rPr>
            </w:pPr>
            <w:r w:rsidDel="00000000" w:rsidR="00000000" w:rsidRPr="00000000">
              <w:rPr>
                <w:b w:val="1"/>
                <w:color w:val="000000"/>
                <w:rtl w:val="0"/>
              </w:rPr>
              <w:t xml:space="preserve">ITEM</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02" w:firstLine="0"/>
              <w:rPr>
                <w:b w:val="1"/>
                <w:color w:val="000000"/>
              </w:rPr>
            </w:pPr>
            <w:r w:rsidDel="00000000" w:rsidR="00000000" w:rsidRPr="00000000">
              <w:rPr>
                <w:b w:val="1"/>
                <w:color w:val="000000"/>
                <w:rtl w:val="0"/>
              </w:rPr>
              <w:t xml:space="preserve">CATMAT</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16" w:firstLine="0"/>
              <w:rPr>
                <w:b w:val="1"/>
                <w:color w:val="000000"/>
              </w:rPr>
            </w:pPr>
            <w:r w:rsidDel="00000000" w:rsidR="00000000" w:rsidRPr="00000000">
              <w:rPr>
                <w:b w:val="1"/>
                <w:color w:val="000000"/>
                <w:rtl w:val="0"/>
              </w:rPr>
              <w:t xml:space="preserve">DESCRIÇÃO COMPLEMENTAR</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81" w:lineRule="auto"/>
              <w:ind w:left="101" w:right="11" w:firstLine="166.99999999999994"/>
              <w:rPr>
                <w:b w:val="1"/>
                <w:color w:val="000000"/>
              </w:rPr>
            </w:pPr>
            <w:r w:rsidDel="00000000" w:rsidR="00000000" w:rsidRPr="00000000">
              <w:rPr>
                <w:b w:val="1"/>
                <w:color w:val="000000"/>
                <w:rtl w:val="0"/>
              </w:rPr>
              <w:t xml:space="preserve">UND MEDIDA</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99" w:firstLine="0"/>
              <w:rPr>
                <w:b w:val="1"/>
                <w:color w:val="000000"/>
              </w:rPr>
            </w:pPr>
            <w:r w:rsidDel="00000000" w:rsidR="00000000" w:rsidRPr="00000000">
              <w:rPr>
                <w:b w:val="1"/>
                <w:color w:val="000000"/>
                <w:rtl w:val="0"/>
              </w:rPr>
              <w:t xml:space="preserve">QTDA</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81" w:lineRule="auto"/>
              <w:ind w:left="1158" w:right="14" w:firstLine="142.99999999999997"/>
              <w:rPr>
                <w:b w:val="1"/>
                <w:color w:val="000000"/>
              </w:rPr>
            </w:pPr>
            <w:r w:rsidDel="00000000" w:rsidR="00000000" w:rsidRPr="00000000">
              <w:rPr>
                <w:b w:val="1"/>
                <w:color w:val="000000"/>
                <w:rtl w:val="0"/>
              </w:rPr>
              <w:t xml:space="preserve">VALOR UNITÁRIO</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81" w:lineRule="auto"/>
              <w:ind w:left="209" w:right="113" w:hanging="20"/>
              <w:rPr>
                <w:b w:val="1"/>
                <w:color w:val="000000"/>
              </w:rPr>
            </w:pPr>
            <w:r w:rsidDel="00000000" w:rsidR="00000000" w:rsidRPr="00000000">
              <w:rPr>
                <w:b w:val="1"/>
                <w:color w:val="000000"/>
                <w:rtl w:val="0"/>
              </w:rPr>
              <w:t xml:space="preserve">VALOR TOTAL</w:t>
            </w:r>
          </w:p>
        </w:tc>
        <w:tc>
          <w:tcPr>
            <w:tcBorders>
              <w:top w:color="000000" w:space="0" w:sz="4" w:val="single"/>
              <w:left w:color="000000" w:space="0" w:sz="4" w:val="single"/>
              <w:bottom w:color="000000" w:space="0" w:sz="4" w:val="single"/>
            </w:tcBorders>
            <w:shd w:fill="d9e0f1"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560" w:firstLine="0"/>
              <w:rPr>
                <w:b w:val="1"/>
                <w:color w:val="000000"/>
              </w:rPr>
            </w:pPr>
            <w:r w:rsidDel="00000000" w:rsidR="00000000" w:rsidRPr="00000000">
              <w:rPr>
                <w:b w:val="1"/>
                <w:color w:val="000000"/>
                <w:rtl w:val="0"/>
              </w:rPr>
              <w:t xml:space="preserve">MARCA</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3"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4"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3"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4" w:hRule="atLeast"/>
          <w:tblHeader w:val="0"/>
        </w:trPr>
        <w:tc>
          <w:tcPr>
            <w:gridSpan w:val="8"/>
            <w:tcBorders>
              <w:top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29"/>
                <w:szCs w:val="29"/>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0" w:lineRule="auto"/>
              <w:ind w:left="606" w:firstLine="0"/>
              <w:rPr>
                <w:rFonts w:ascii="Times New Roman" w:cs="Times New Roman" w:eastAsia="Times New Roman" w:hAnsi="Times New Roman"/>
                <w:color w:val="000000"/>
                <w:sz w:val="2"/>
                <w:szCs w:val="2"/>
              </w:rPr>
            </w:pPr>
            <w:r w:rsidDel="00000000" w:rsidR="00000000" w:rsidRPr="00000000">
              <w:rPr>
                <w:rFonts w:ascii="Times New Roman" w:cs="Times New Roman" w:eastAsia="Times New Roman" w:hAnsi="Times New Roman"/>
                <w:color w:val="000000"/>
                <w:sz w:val="2"/>
                <w:szCs w:val="2"/>
              </w:rPr>
              <mc:AlternateContent>
                <mc:Choice Requires="wpg">
                  <w:drawing>
                    <wp:inline distB="0" distT="0" distL="0" distR="0">
                      <wp:extent cx="4312920" cy="5080"/>
                      <wp:effectExtent b="0" l="0" r="0" t="0"/>
                      <wp:docPr id="2115606147" name=""/>
                      <a:graphic>
                        <a:graphicData uri="http://schemas.microsoft.com/office/word/2010/wordprocessingGroup">
                          <wpg:wgp>
                            <wpg:cNvGrpSpPr/>
                            <wpg:grpSpPr>
                              <a:xfrm>
                                <a:off x="3189525" y="3775225"/>
                                <a:ext cx="4312920" cy="5080"/>
                                <a:chOff x="3189525" y="3775225"/>
                                <a:chExt cx="4312950" cy="9550"/>
                              </a:xfrm>
                            </wpg:grpSpPr>
                            <wpg:grpSp>
                              <wpg:cNvGrpSpPr/>
                              <wpg:grpSpPr>
                                <a:xfrm>
                                  <a:off x="3189540" y="3777460"/>
                                  <a:ext cx="4312920" cy="5080"/>
                                  <a:chOff x="3189525" y="3775225"/>
                                  <a:chExt cx="4312300" cy="9550"/>
                                </a:xfrm>
                              </wpg:grpSpPr>
                              <wps:wsp>
                                <wps:cNvSpPr/>
                                <wps:cNvPr id="5" name="Shape 5"/>
                                <wps:spPr>
                                  <a:xfrm>
                                    <a:off x="3189525" y="3775225"/>
                                    <a:ext cx="4312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89540" y="3777460"/>
                                    <a:ext cx="4312285" cy="2540"/>
                                    <a:chOff x="0" y="0"/>
                                    <a:chExt cx="6791" cy="4"/>
                                  </a:xfrm>
                                </wpg:grpSpPr>
                                <wps:wsp>
                                  <wps:cNvSpPr/>
                                  <wps:cNvPr id="7" name="Shape 7"/>
                                  <wps:spPr>
                                    <a:xfrm>
                                      <a:off x="0" y="0"/>
                                      <a:ext cx="67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
                                      <a:ext cx="6791"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4312920" cy="5080"/>
                      <wp:effectExtent b="0" l="0" r="0" t="0"/>
                      <wp:docPr id="211560614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312920"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9024"/>
              </w:tabs>
              <w:ind w:left="1203" w:firstLine="0"/>
              <w:rPr>
                <w:rFonts w:ascii="Verdana" w:cs="Verdana" w:eastAsia="Verdana" w:hAnsi="Verdana"/>
                <w:color w:val="000000"/>
                <w:sz w:val="16"/>
                <w:szCs w:val="16"/>
              </w:rPr>
            </w:pPr>
            <w:r w:rsidDel="00000000" w:rsidR="00000000" w:rsidRPr="00000000">
              <w:rPr>
                <w:rFonts w:ascii="Arial MT" w:cs="Arial MT" w:eastAsia="Arial MT" w:hAnsi="Arial MT"/>
                <w:color w:val="000000"/>
                <w:sz w:val="12"/>
                <w:szCs w:val="12"/>
                <w:rtl w:val="0"/>
              </w:rPr>
              <w:t xml:space="preserve">Anexo III – Minuta Ata Registro de Preços</w:t>
              <w:tab/>
            </w:r>
            <w:r w:rsidDel="00000000" w:rsidR="00000000" w:rsidRPr="00000000">
              <w:rPr>
                <w:rFonts w:ascii="Verdana" w:cs="Verdana" w:eastAsia="Verdana" w:hAnsi="Verdana"/>
                <w:color w:val="000000"/>
                <w:sz w:val="16"/>
                <w:szCs w:val="16"/>
                <w:rtl w:val="0"/>
              </w:rPr>
              <w:t xml:space="preserve">Pág. 1/8</w:t>
            </w:r>
          </w:p>
        </w:tc>
      </w:tr>
    </w:tbl>
    <w:p w:rsidR="00000000" w:rsidDel="00000000" w:rsidP="00000000" w:rsidRDefault="00000000" w:rsidRPr="00000000" w14:paraId="0000004F">
      <w:pPr>
        <w:rPr>
          <w:sz w:val="2"/>
          <w:szCs w:val="2"/>
        </w:rPr>
      </w:pPr>
      <w:r w:rsidDel="00000000" w:rsidR="00000000" w:rsidRPr="00000000">
        <w:rPr>
          <w:rtl w:val="0"/>
        </w:rPr>
      </w:r>
    </w:p>
    <w:p w:rsidR="00000000" w:rsidDel="00000000" w:rsidP="00000000" w:rsidRDefault="00000000" w:rsidRPr="00000000" w14:paraId="00000050">
      <w:pPr>
        <w:rPr>
          <w:sz w:val="2"/>
          <w:szCs w:val="2"/>
        </w:rPr>
        <w:sectPr>
          <w:pgSz w:h="16840" w:w="11910" w:orient="portrait"/>
          <w:pgMar w:bottom="280" w:top="460" w:left="380" w:right="340" w:header="720" w:footer="720"/>
          <w:pgNumType w:start="1"/>
        </w:sect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910590</wp:posOffset>
                </wp:positionH>
                <wp:positionV relativeFrom="page">
                  <wp:posOffset>2689226</wp:posOffset>
                </wp:positionV>
                <wp:extent cx="5676900" cy="5311775"/>
                <wp:effectExtent b="0" l="0" r="0" t="0"/>
                <wp:wrapNone/>
                <wp:docPr id="2115606146" name=""/>
                <a:graphic>
                  <a:graphicData uri="http://schemas.microsoft.com/office/word/2010/wordprocessingShape">
                    <wps:wsp>
                      <wps:cNvSpPr/>
                      <wps:cNvPr id="3" name="Shape 3"/>
                      <wps:spPr>
                        <a:xfrm>
                          <a:off x="2517075" y="1133638"/>
                          <a:ext cx="5657850" cy="5292725"/>
                        </a:xfrm>
                        <a:custGeom>
                          <a:rect b="b" l="l" r="r" t="t"/>
                          <a:pathLst>
                            <a:path extrusionOk="0" h="8335" w="8910">
                              <a:moveTo>
                                <a:pt x="2877" y="6995"/>
                              </a:moveTo>
                              <a:lnTo>
                                <a:pt x="1340" y="5458"/>
                              </a:lnTo>
                              <a:lnTo>
                                <a:pt x="1090" y="5708"/>
                              </a:lnTo>
                              <a:lnTo>
                                <a:pt x="1237" y="5989"/>
                              </a:lnTo>
                              <a:lnTo>
                                <a:pt x="1639" y="6763"/>
                              </a:lnTo>
                              <a:lnTo>
                                <a:pt x="1823" y="7114"/>
                              </a:lnTo>
                              <a:lnTo>
                                <a:pt x="1969" y="7387"/>
                              </a:lnTo>
                              <a:lnTo>
                                <a:pt x="1995" y="7435"/>
                              </a:lnTo>
                              <a:lnTo>
                                <a:pt x="1940" y="7404"/>
                              </a:lnTo>
                              <a:lnTo>
                                <a:pt x="1700" y="7274"/>
                              </a:lnTo>
                              <a:lnTo>
                                <a:pt x="1488" y="7160"/>
                              </a:lnTo>
                              <a:lnTo>
                                <a:pt x="635" y="6708"/>
                              </a:lnTo>
                              <a:lnTo>
                                <a:pt x="280" y="6518"/>
                              </a:lnTo>
                              <a:lnTo>
                                <a:pt x="0" y="6798"/>
                              </a:lnTo>
                              <a:lnTo>
                                <a:pt x="1537" y="8335"/>
                              </a:lnTo>
                              <a:lnTo>
                                <a:pt x="1716" y="8155"/>
                              </a:lnTo>
                              <a:lnTo>
                                <a:pt x="408" y="6847"/>
                              </a:lnTo>
                              <a:lnTo>
                                <a:pt x="693" y="6998"/>
                              </a:lnTo>
                              <a:lnTo>
                                <a:pt x="1694" y="7523"/>
                              </a:lnTo>
                              <a:lnTo>
                                <a:pt x="2122" y="7750"/>
                              </a:lnTo>
                              <a:lnTo>
                                <a:pt x="2290" y="7582"/>
                              </a:lnTo>
                              <a:lnTo>
                                <a:pt x="2142" y="7300"/>
                              </a:lnTo>
                              <a:lnTo>
                                <a:pt x="1632" y="6311"/>
                              </a:lnTo>
                              <a:lnTo>
                                <a:pt x="1411" y="5888"/>
                              </a:lnTo>
                              <a:lnTo>
                                <a:pt x="2698" y="7174"/>
                              </a:lnTo>
                              <a:lnTo>
                                <a:pt x="2877" y="6995"/>
                              </a:lnTo>
                              <a:close/>
                              <a:moveTo>
                                <a:pt x="3394" y="6478"/>
                              </a:moveTo>
                              <a:lnTo>
                                <a:pt x="1857" y="4942"/>
                              </a:lnTo>
                              <a:lnTo>
                                <a:pt x="1671" y="5127"/>
                              </a:lnTo>
                              <a:lnTo>
                                <a:pt x="3208" y="6664"/>
                              </a:lnTo>
                              <a:lnTo>
                                <a:pt x="3394" y="6478"/>
                              </a:lnTo>
                              <a:close/>
                              <a:moveTo>
                                <a:pt x="4825" y="5047"/>
                              </a:moveTo>
                              <a:lnTo>
                                <a:pt x="3288" y="3510"/>
                              </a:lnTo>
                              <a:lnTo>
                                <a:pt x="3110" y="3688"/>
                              </a:lnTo>
                              <a:lnTo>
                                <a:pt x="4317" y="4895"/>
                              </a:lnTo>
                              <a:lnTo>
                                <a:pt x="4161" y="4856"/>
                              </a:lnTo>
                              <a:lnTo>
                                <a:pt x="3851" y="4781"/>
                              </a:lnTo>
                              <a:lnTo>
                                <a:pt x="2995" y="4577"/>
                              </a:lnTo>
                              <a:lnTo>
                                <a:pt x="2606" y="4483"/>
                              </a:lnTo>
                              <a:lnTo>
                                <a:pt x="2373" y="4425"/>
                              </a:lnTo>
                              <a:lnTo>
                                <a:pt x="2182" y="4616"/>
                              </a:lnTo>
                              <a:lnTo>
                                <a:pt x="3719" y="6153"/>
                              </a:lnTo>
                              <a:lnTo>
                                <a:pt x="3897" y="5975"/>
                              </a:lnTo>
                              <a:lnTo>
                                <a:pt x="2690" y="4767"/>
                              </a:lnTo>
                              <a:lnTo>
                                <a:pt x="2845" y="4806"/>
                              </a:lnTo>
                              <a:lnTo>
                                <a:pt x="3156" y="4882"/>
                              </a:lnTo>
                              <a:lnTo>
                                <a:pt x="4012" y="5086"/>
                              </a:lnTo>
                              <a:lnTo>
                                <a:pt x="4401" y="5180"/>
                              </a:lnTo>
                              <a:lnTo>
                                <a:pt x="4634" y="5237"/>
                              </a:lnTo>
                              <a:lnTo>
                                <a:pt x="4825" y="5047"/>
                              </a:lnTo>
                              <a:close/>
                              <a:moveTo>
                                <a:pt x="5975" y="3625"/>
                              </a:moveTo>
                              <a:lnTo>
                                <a:pt x="5965" y="3546"/>
                              </a:lnTo>
                              <a:lnTo>
                                <a:pt x="5945" y="3470"/>
                              </a:lnTo>
                              <a:lnTo>
                                <a:pt x="5915" y="3395"/>
                              </a:lnTo>
                              <a:lnTo>
                                <a:pt x="5886" y="3342"/>
                              </a:lnTo>
                              <a:lnTo>
                                <a:pt x="5852" y="3286"/>
                              </a:lnTo>
                              <a:lnTo>
                                <a:pt x="5812" y="3229"/>
                              </a:lnTo>
                              <a:lnTo>
                                <a:pt x="5766" y="3169"/>
                              </a:lnTo>
                              <a:lnTo>
                                <a:pt x="5715" y="3108"/>
                              </a:lnTo>
                              <a:lnTo>
                                <a:pt x="5658" y="3044"/>
                              </a:lnTo>
                              <a:lnTo>
                                <a:pt x="5595" y="2979"/>
                              </a:lnTo>
                              <a:lnTo>
                                <a:pt x="4707" y="2091"/>
                              </a:lnTo>
                              <a:lnTo>
                                <a:pt x="4521" y="2277"/>
                              </a:lnTo>
                              <a:lnTo>
                                <a:pt x="5408" y="3164"/>
                              </a:lnTo>
                              <a:lnTo>
                                <a:pt x="5485" y="3245"/>
                              </a:lnTo>
                              <a:lnTo>
                                <a:pt x="5551" y="3321"/>
                              </a:lnTo>
                              <a:lnTo>
                                <a:pt x="5605" y="3393"/>
                              </a:lnTo>
                              <a:lnTo>
                                <a:pt x="5648" y="3462"/>
                              </a:lnTo>
                              <a:lnTo>
                                <a:pt x="5680" y="3526"/>
                              </a:lnTo>
                              <a:lnTo>
                                <a:pt x="5702" y="3586"/>
                              </a:lnTo>
                              <a:lnTo>
                                <a:pt x="5712" y="3642"/>
                              </a:lnTo>
                              <a:lnTo>
                                <a:pt x="5711" y="3706"/>
                              </a:lnTo>
                              <a:lnTo>
                                <a:pt x="5698" y="3770"/>
                              </a:lnTo>
                              <a:lnTo>
                                <a:pt x="5672" y="3835"/>
                              </a:lnTo>
                              <a:lnTo>
                                <a:pt x="5634" y="3901"/>
                              </a:lnTo>
                              <a:lnTo>
                                <a:pt x="5584" y="3968"/>
                              </a:lnTo>
                              <a:lnTo>
                                <a:pt x="5521" y="4036"/>
                              </a:lnTo>
                              <a:lnTo>
                                <a:pt x="5461" y="4090"/>
                              </a:lnTo>
                              <a:lnTo>
                                <a:pt x="5398" y="4134"/>
                              </a:lnTo>
                              <a:lnTo>
                                <a:pt x="5334" y="4166"/>
                              </a:lnTo>
                              <a:lnTo>
                                <a:pt x="5268" y="4186"/>
                              </a:lnTo>
                              <a:lnTo>
                                <a:pt x="5201" y="4196"/>
                              </a:lnTo>
                              <a:lnTo>
                                <a:pt x="5135" y="4195"/>
                              </a:lnTo>
                              <a:lnTo>
                                <a:pt x="5069" y="4182"/>
                              </a:lnTo>
                              <a:lnTo>
                                <a:pt x="5005" y="4156"/>
                              </a:lnTo>
                              <a:lnTo>
                                <a:pt x="4950" y="4127"/>
                              </a:lnTo>
                              <a:lnTo>
                                <a:pt x="4890" y="4086"/>
                              </a:lnTo>
                              <a:lnTo>
                                <a:pt x="4824" y="4034"/>
                              </a:lnTo>
                              <a:lnTo>
                                <a:pt x="4753" y="3971"/>
                              </a:lnTo>
                              <a:lnTo>
                                <a:pt x="4676" y="3896"/>
                              </a:lnTo>
                              <a:lnTo>
                                <a:pt x="3789" y="3010"/>
                              </a:lnTo>
                              <a:lnTo>
                                <a:pt x="3603" y="3195"/>
                              </a:lnTo>
                              <a:lnTo>
                                <a:pt x="4491" y="4083"/>
                              </a:lnTo>
                              <a:lnTo>
                                <a:pt x="4560" y="4150"/>
                              </a:lnTo>
                              <a:lnTo>
                                <a:pt x="4626" y="4210"/>
                              </a:lnTo>
                              <a:lnTo>
                                <a:pt x="4691" y="4263"/>
                              </a:lnTo>
                              <a:lnTo>
                                <a:pt x="4754" y="4310"/>
                              </a:lnTo>
                              <a:lnTo>
                                <a:pt x="4815" y="4351"/>
                              </a:lnTo>
                              <a:lnTo>
                                <a:pt x="4873" y="4386"/>
                              </a:lnTo>
                              <a:lnTo>
                                <a:pt x="4929" y="4414"/>
                              </a:lnTo>
                              <a:lnTo>
                                <a:pt x="5007" y="4444"/>
                              </a:lnTo>
                              <a:lnTo>
                                <a:pt x="5086" y="4463"/>
                              </a:lnTo>
                              <a:lnTo>
                                <a:pt x="5165" y="4470"/>
                              </a:lnTo>
                              <a:lnTo>
                                <a:pt x="5245" y="4466"/>
                              </a:lnTo>
                              <a:lnTo>
                                <a:pt x="5324" y="4451"/>
                              </a:lnTo>
                              <a:lnTo>
                                <a:pt x="5391" y="4431"/>
                              </a:lnTo>
                              <a:lnTo>
                                <a:pt x="5457" y="4401"/>
                              </a:lnTo>
                              <a:lnTo>
                                <a:pt x="5523" y="4364"/>
                              </a:lnTo>
                              <a:lnTo>
                                <a:pt x="5589" y="4318"/>
                              </a:lnTo>
                              <a:lnTo>
                                <a:pt x="5655" y="4265"/>
                              </a:lnTo>
                              <a:lnTo>
                                <a:pt x="5721" y="4203"/>
                              </a:lnTo>
                              <a:lnTo>
                                <a:pt x="5784" y="4135"/>
                              </a:lnTo>
                              <a:lnTo>
                                <a:pt x="5839" y="4067"/>
                              </a:lnTo>
                              <a:lnTo>
                                <a:pt x="5884" y="3998"/>
                              </a:lnTo>
                              <a:lnTo>
                                <a:pt x="5920" y="3929"/>
                              </a:lnTo>
                              <a:lnTo>
                                <a:pt x="5947" y="3859"/>
                              </a:lnTo>
                              <a:lnTo>
                                <a:pt x="5964" y="3789"/>
                              </a:lnTo>
                              <a:lnTo>
                                <a:pt x="5974" y="3706"/>
                              </a:lnTo>
                              <a:lnTo>
                                <a:pt x="5975" y="3625"/>
                              </a:lnTo>
                              <a:close/>
                              <a:moveTo>
                                <a:pt x="7096" y="2776"/>
                              </a:moveTo>
                              <a:lnTo>
                                <a:pt x="5740" y="1421"/>
                              </a:lnTo>
                              <a:lnTo>
                                <a:pt x="6205" y="957"/>
                              </a:lnTo>
                              <a:lnTo>
                                <a:pt x="6023" y="775"/>
                              </a:lnTo>
                              <a:lnTo>
                                <a:pt x="4911" y="1888"/>
                              </a:lnTo>
                              <a:lnTo>
                                <a:pt x="5092" y="2069"/>
                              </a:lnTo>
                              <a:lnTo>
                                <a:pt x="5555" y="1607"/>
                              </a:lnTo>
                              <a:lnTo>
                                <a:pt x="6910" y="2962"/>
                              </a:lnTo>
                              <a:lnTo>
                                <a:pt x="7096" y="2776"/>
                              </a:lnTo>
                              <a:close/>
                              <a:moveTo>
                                <a:pt x="8910" y="962"/>
                              </a:moveTo>
                              <a:lnTo>
                                <a:pt x="8715" y="872"/>
                              </a:lnTo>
                              <a:lnTo>
                                <a:pt x="7846" y="478"/>
                              </a:lnTo>
                              <a:lnTo>
                                <a:pt x="7846" y="764"/>
                              </a:lnTo>
                              <a:lnTo>
                                <a:pt x="7370" y="1239"/>
                              </a:lnTo>
                              <a:lnTo>
                                <a:pt x="7333" y="1164"/>
                              </a:lnTo>
                              <a:lnTo>
                                <a:pt x="7296" y="1088"/>
                              </a:lnTo>
                              <a:lnTo>
                                <a:pt x="7185" y="861"/>
                              </a:lnTo>
                              <a:lnTo>
                                <a:pt x="7148" y="786"/>
                              </a:lnTo>
                              <a:lnTo>
                                <a:pt x="7111" y="710"/>
                              </a:lnTo>
                              <a:lnTo>
                                <a:pt x="7074" y="635"/>
                              </a:lnTo>
                              <a:lnTo>
                                <a:pt x="7034" y="558"/>
                              </a:lnTo>
                              <a:lnTo>
                                <a:pt x="6992" y="482"/>
                              </a:lnTo>
                              <a:lnTo>
                                <a:pt x="6948" y="408"/>
                              </a:lnTo>
                              <a:lnTo>
                                <a:pt x="6903" y="336"/>
                              </a:lnTo>
                              <a:lnTo>
                                <a:pt x="6856" y="266"/>
                              </a:lnTo>
                              <a:lnTo>
                                <a:pt x="6911" y="297"/>
                              </a:lnTo>
                              <a:lnTo>
                                <a:pt x="6972" y="331"/>
                              </a:lnTo>
                              <a:lnTo>
                                <a:pt x="7039" y="366"/>
                              </a:lnTo>
                              <a:lnTo>
                                <a:pt x="7112" y="404"/>
                              </a:lnTo>
                              <a:lnTo>
                                <a:pt x="7190" y="443"/>
                              </a:lnTo>
                              <a:lnTo>
                                <a:pt x="7775" y="728"/>
                              </a:lnTo>
                              <a:lnTo>
                                <a:pt x="7846" y="764"/>
                              </a:lnTo>
                              <a:lnTo>
                                <a:pt x="7846" y="478"/>
                              </a:lnTo>
                              <a:lnTo>
                                <a:pt x="7379" y="266"/>
                              </a:lnTo>
                              <a:lnTo>
                                <a:pt x="6799" y="0"/>
                              </a:lnTo>
                              <a:lnTo>
                                <a:pt x="6599" y="200"/>
                              </a:lnTo>
                              <a:lnTo>
                                <a:pt x="6633" y="271"/>
                              </a:lnTo>
                              <a:lnTo>
                                <a:pt x="6737" y="486"/>
                              </a:lnTo>
                              <a:lnTo>
                                <a:pt x="6854" y="728"/>
                              </a:lnTo>
                              <a:lnTo>
                                <a:pt x="6918" y="861"/>
                              </a:lnTo>
                              <a:lnTo>
                                <a:pt x="7354" y="1775"/>
                              </a:lnTo>
                              <a:lnTo>
                                <a:pt x="7492" y="2061"/>
                              </a:lnTo>
                              <a:lnTo>
                                <a:pt x="7596" y="2276"/>
                              </a:lnTo>
                              <a:lnTo>
                                <a:pt x="7793" y="2078"/>
                              </a:lnTo>
                              <a:lnTo>
                                <a:pt x="7759" y="2010"/>
                              </a:lnTo>
                              <a:lnTo>
                                <a:pt x="7724" y="1941"/>
                              </a:lnTo>
                              <a:lnTo>
                                <a:pt x="7552" y="1596"/>
                              </a:lnTo>
                              <a:lnTo>
                                <a:pt x="7517" y="1527"/>
                              </a:lnTo>
                              <a:lnTo>
                                <a:pt x="7482" y="1459"/>
                              </a:lnTo>
                              <a:lnTo>
                                <a:pt x="7702" y="1239"/>
                              </a:lnTo>
                              <a:lnTo>
                                <a:pt x="8069" y="872"/>
                              </a:lnTo>
                              <a:lnTo>
                                <a:pt x="8698" y="1174"/>
                              </a:lnTo>
                              <a:lnTo>
                                <a:pt x="8910" y="962"/>
                              </a:lnTo>
                              <a:close/>
                            </a:path>
                          </a:pathLst>
                        </a:custGeom>
                        <a:solidFill>
                          <a:srgbClr val="C0C0C0">
                            <a:alpha val="49411"/>
                          </a:srgbClr>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910590</wp:posOffset>
                </wp:positionH>
                <wp:positionV relativeFrom="page">
                  <wp:posOffset>2689226</wp:posOffset>
                </wp:positionV>
                <wp:extent cx="5676900" cy="5311775"/>
                <wp:effectExtent b="0" l="0" r="0" t="0"/>
                <wp:wrapNone/>
                <wp:docPr id="211560614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676900" cy="53117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1">
      <w:pPr>
        <w:tabs>
          <w:tab w:val="left" w:leader="none" w:pos="9196"/>
        </w:tabs>
        <w:ind w:left="77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684860" cy="370331"/>
            <wp:effectExtent b="0" l="0" r="0" t="0"/>
            <wp:docPr id="211560615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4860" cy="370331"/>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33"/>
          <w:szCs w:val="33"/>
          <w:vertAlign w:val="superscript"/>
        </w:rPr>
        <w:drawing>
          <wp:inline distB="0" distT="0" distL="0" distR="0">
            <wp:extent cx="927176" cy="196596"/>
            <wp:effectExtent b="0" l="0" r="0" t="0"/>
            <wp:docPr id="211560615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27176" cy="196596"/>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color w:val="000000"/>
          <w:rtl w:val="0"/>
        </w:rPr>
        <w:t xml:space="preserve">2.2. A listagem do cadastro de reserva referente ao presente registro de preços consta como anexo a esta Ata.</w:t>
      </w:r>
    </w:p>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6">
      <w:pPr>
        <w:pStyle w:val="Heading1"/>
        <w:numPr>
          <w:ilvl w:val="0"/>
          <w:numId w:val="1"/>
        </w:numPr>
        <w:tabs>
          <w:tab w:val="left" w:leader="none" w:pos="1461"/>
          <w:tab w:val="left" w:leader="none" w:pos="1462"/>
        </w:tabs>
        <w:spacing w:before="187" w:lineRule="auto"/>
        <w:ind w:left="1461" w:hanging="710"/>
        <w:rPr/>
      </w:pPr>
      <w:r w:rsidDel="00000000" w:rsidR="00000000" w:rsidRPr="00000000">
        <w:rPr>
          <w:rtl w:val="0"/>
        </w:rPr>
        <w:t xml:space="preserve">ÓRGÃO(S) GERENCIADOR E PARTICIPANTE(S)</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tabs>
          <w:tab w:val="left" w:leader="none" w:pos="1462"/>
        </w:tabs>
        <w:spacing w:before="73" w:lineRule="auto"/>
        <w:ind w:left="1461" w:hanging="710"/>
        <w:jc w:val="both"/>
        <w:rPr/>
      </w:pPr>
      <w:r w:rsidDel="00000000" w:rsidR="00000000" w:rsidRPr="00000000">
        <w:rPr>
          <w:color w:val="000000"/>
          <w:rtl w:val="0"/>
        </w:rPr>
        <w:t xml:space="preserve">O órgão gerenciador será a Pró-Reitoria de Administração.</w:t>
      </w:r>
      <w:r w:rsidDel="00000000" w:rsidR="00000000" w:rsidRPr="00000000">
        <w:rPr>
          <w:rtl w:val="0"/>
        </w:rPr>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tabs>
          <w:tab w:val="left" w:leader="none" w:pos="1462"/>
        </w:tabs>
        <w:spacing w:before="73" w:lineRule="auto"/>
        <w:ind w:left="1461" w:hanging="710"/>
        <w:jc w:val="both"/>
        <w:rPr/>
      </w:pPr>
      <w:r w:rsidDel="00000000" w:rsidR="00000000" w:rsidRPr="00000000">
        <w:rPr>
          <w:rtl w:val="0"/>
        </w:rPr>
        <w:t xml:space="preserve">A IRP nº </w:t>
      </w:r>
      <w:r w:rsidDel="00000000" w:rsidR="00000000" w:rsidRPr="00000000">
        <w:rPr>
          <w:b w:val="1"/>
          <w:rtl w:val="0"/>
        </w:rPr>
        <w:t xml:space="preserve">09/2024</w:t>
      </w:r>
      <w:r w:rsidDel="00000000" w:rsidR="00000000" w:rsidRPr="00000000">
        <w:rPr>
          <w:rtl w:val="0"/>
        </w:rPr>
        <w:t xml:space="preserve"> foi divulgada, conforme art. 9º do Decreto nº 11.462/2023.</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1155700</wp:posOffset>
                </wp:positionH>
                <wp:positionV relativeFrom="paragraph">
                  <wp:posOffset>165100</wp:posOffset>
                </wp:positionV>
                <wp:extent cx="5676900" cy="5311775"/>
                <wp:effectExtent b="0" l="0" r="0" t="0"/>
                <wp:wrapNone/>
                <wp:docPr id="2115606149" name=""/>
                <a:graphic>
                  <a:graphicData uri="http://schemas.microsoft.com/office/word/2010/wordprocessingShape">
                    <wps:wsp>
                      <wps:cNvSpPr/>
                      <wps:cNvPr id="13" name="Shape 13"/>
                      <wps:spPr>
                        <a:xfrm>
                          <a:off x="2517075" y="1133638"/>
                          <a:ext cx="5657850" cy="5292725"/>
                        </a:xfrm>
                        <a:custGeom>
                          <a:rect b="b" l="l" r="r" t="t"/>
                          <a:pathLst>
                            <a:path extrusionOk="0" h="8335" w="8910">
                              <a:moveTo>
                                <a:pt x="2877" y="6995"/>
                              </a:moveTo>
                              <a:lnTo>
                                <a:pt x="1340" y="5458"/>
                              </a:lnTo>
                              <a:lnTo>
                                <a:pt x="1090" y="5708"/>
                              </a:lnTo>
                              <a:lnTo>
                                <a:pt x="1237" y="5989"/>
                              </a:lnTo>
                              <a:lnTo>
                                <a:pt x="1639" y="6763"/>
                              </a:lnTo>
                              <a:lnTo>
                                <a:pt x="1823" y="7114"/>
                              </a:lnTo>
                              <a:lnTo>
                                <a:pt x="1969" y="7387"/>
                              </a:lnTo>
                              <a:lnTo>
                                <a:pt x="1995" y="7435"/>
                              </a:lnTo>
                              <a:lnTo>
                                <a:pt x="1940" y="7404"/>
                              </a:lnTo>
                              <a:lnTo>
                                <a:pt x="1700" y="7274"/>
                              </a:lnTo>
                              <a:lnTo>
                                <a:pt x="1488" y="7160"/>
                              </a:lnTo>
                              <a:lnTo>
                                <a:pt x="635" y="6708"/>
                              </a:lnTo>
                              <a:lnTo>
                                <a:pt x="280" y="6518"/>
                              </a:lnTo>
                              <a:lnTo>
                                <a:pt x="0" y="6798"/>
                              </a:lnTo>
                              <a:lnTo>
                                <a:pt x="1537" y="8335"/>
                              </a:lnTo>
                              <a:lnTo>
                                <a:pt x="1716" y="8155"/>
                              </a:lnTo>
                              <a:lnTo>
                                <a:pt x="408" y="6847"/>
                              </a:lnTo>
                              <a:lnTo>
                                <a:pt x="693" y="6999"/>
                              </a:lnTo>
                              <a:lnTo>
                                <a:pt x="1694" y="7523"/>
                              </a:lnTo>
                              <a:lnTo>
                                <a:pt x="2122" y="7750"/>
                              </a:lnTo>
                              <a:lnTo>
                                <a:pt x="2290" y="7582"/>
                              </a:lnTo>
                              <a:lnTo>
                                <a:pt x="2142" y="7300"/>
                              </a:lnTo>
                              <a:lnTo>
                                <a:pt x="1632" y="6311"/>
                              </a:lnTo>
                              <a:lnTo>
                                <a:pt x="1411" y="5888"/>
                              </a:lnTo>
                              <a:lnTo>
                                <a:pt x="2698" y="7174"/>
                              </a:lnTo>
                              <a:lnTo>
                                <a:pt x="2877" y="6995"/>
                              </a:lnTo>
                              <a:close/>
                              <a:moveTo>
                                <a:pt x="3394" y="6478"/>
                              </a:moveTo>
                              <a:lnTo>
                                <a:pt x="1857" y="4942"/>
                              </a:lnTo>
                              <a:lnTo>
                                <a:pt x="1671" y="5127"/>
                              </a:lnTo>
                              <a:lnTo>
                                <a:pt x="3208" y="6664"/>
                              </a:lnTo>
                              <a:lnTo>
                                <a:pt x="3394" y="6478"/>
                              </a:lnTo>
                              <a:close/>
                              <a:moveTo>
                                <a:pt x="4825" y="5047"/>
                              </a:moveTo>
                              <a:lnTo>
                                <a:pt x="3288" y="3510"/>
                              </a:lnTo>
                              <a:lnTo>
                                <a:pt x="3110" y="3688"/>
                              </a:lnTo>
                              <a:lnTo>
                                <a:pt x="4317" y="4895"/>
                              </a:lnTo>
                              <a:lnTo>
                                <a:pt x="4161" y="4856"/>
                              </a:lnTo>
                              <a:lnTo>
                                <a:pt x="3851" y="4781"/>
                              </a:lnTo>
                              <a:lnTo>
                                <a:pt x="2995" y="4577"/>
                              </a:lnTo>
                              <a:lnTo>
                                <a:pt x="2606" y="4483"/>
                              </a:lnTo>
                              <a:lnTo>
                                <a:pt x="2373" y="4425"/>
                              </a:lnTo>
                              <a:lnTo>
                                <a:pt x="2182" y="4616"/>
                              </a:lnTo>
                              <a:lnTo>
                                <a:pt x="3719" y="6153"/>
                              </a:lnTo>
                              <a:lnTo>
                                <a:pt x="3897" y="5975"/>
                              </a:lnTo>
                              <a:lnTo>
                                <a:pt x="2690" y="4767"/>
                              </a:lnTo>
                              <a:lnTo>
                                <a:pt x="2845" y="4806"/>
                              </a:lnTo>
                              <a:lnTo>
                                <a:pt x="3156" y="4882"/>
                              </a:lnTo>
                              <a:lnTo>
                                <a:pt x="4012" y="5086"/>
                              </a:lnTo>
                              <a:lnTo>
                                <a:pt x="4401" y="5180"/>
                              </a:lnTo>
                              <a:lnTo>
                                <a:pt x="4634" y="5237"/>
                              </a:lnTo>
                              <a:lnTo>
                                <a:pt x="4825" y="5047"/>
                              </a:lnTo>
                              <a:close/>
                              <a:moveTo>
                                <a:pt x="5975" y="3625"/>
                              </a:moveTo>
                              <a:lnTo>
                                <a:pt x="5965" y="3546"/>
                              </a:lnTo>
                              <a:lnTo>
                                <a:pt x="5945" y="3470"/>
                              </a:lnTo>
                              <a:lnTo>
                                <a:pt x="5915" y="3395"/>
                              </a:lnTo>
                              <a:lnTo>
                                <a:pt x="5886" y="3342"/>
                              </a:lnTo>
                              <a:lnTo>
                                <a:pt x="5852" y="3286"/>
                              </a:lnTo>
                              <a:lnTo>
                                <a:pt x="5812" y="3229"/>
                              </a:lnTo>
                              <a:lnTo>
                                <a:pt x="5766" y="3169"/>
                              </a:lnTo>
                              <a:lnTo>
                                <a:pt x="5715" y="3108"/>
                              </a:lnTo>
                              <a:lnTo>
                                <a:pt x="5658" y="3045"/>
                              </a:lnTo>
                              <a:lnTo>
                                <a:pt x="5595" y="2979"/>
                              </a:lnTo>
                              <a:lnTo>
                                <a:pt x="4707" y="2091"/>
                              </a:lnTo>
                              <a:lnTo>
                                <a:pt x="4521" y="2277"/>
                              </a:lnTo>
                              <a:lnTo>
                                <a:pt x="5408" y="3164"/>
                              </a:lnTo>
                              <a:lnTo>
                                <a:pt x="5485" y="3245"/>
                              </a:lnTo>
                              <a:lnTo>
                                <a:pt x="5551" y="3321"/>
                              </a:lnTo>
                              <a:lnTo>
                                <a:pt x="5605" y="3393"/>
                              </a:lnTo>
                              <a:lnTo>
                                <a:pt x="5648" y="3462"/>
                              </a:lnTo>
                              <a:lnTo>
                                <a:pt x="5680" y="3526"/>
                              </a:lnTo>
                              <a:lnTo>
                                <a:pt x="5702" y="3586"/>
                              </a:lnTo>
                              <a:lnTo>
                                <a:pt x="5712" y="3642"/>
                              </a:lnTo>
                              <a:lnTo>
                                <a:pt x="5711" y="3706"/>
                              </a:lnTo>
                              <a:lnTo>
                                <a:pt x="5698" y="3770"/>
                              </a:lnTo>
                              <a:lnTo>
                                <a:pt x="5672" y="3835"/>
                              </a:lnTo>
                              <a:lnTo>
                                <a:pt x="5634" y="3901"/>
                              </a:lnTo>
                              <a:lnTo>
                                <a:pt x="5584" y="3968"/>
                              </a:lnTo>
                              <a:lnTo>
                                <a:pt x="5521" y="4036"/>
                              </a:lnTo>
                              <a:lnTo>
                                <a:pt x="5461" y="4090"/>
                              </a:lnTo>
                              <a:lnTo>
                                <a:pt x="5398" y="4134"/>
                              </a:lnTo>
                              <a:lnTo>
                                <a:pt x="5334" y="4166"/>
                              </a:lnTo>
                              <a:lnTo>
                                <a:pt x="5268" y="4186"/>
                              </a:lnTo>
                              <a:lnTo>
                                <a:pt x="5201" y="4196"/>
                              </a:lnTo>
                              <a:lnTo>
                                <a:pt x="5135" y="4195"/>
                              </a:lnTo>
                              <a:lnTo>
                                <a:pt x="5069" y="4182"/>
                              </a:lnTo>
                              <a:lnTo>
                                <a:pt x="5005" y="4156"/>
                              </a:lnTo>
                              <a:lnTo>
                                <a:pt x="4950" y="4127"/>
                              </a:lnTo>
                              <a:lnTo>
                                <a:pt x="4890" y="4086"/>
                              </a:lnTo>
                              <a:lnTo>
                                <a:pt x="4824" y="4034"/>
                              </a:lnTo>
                              <a:lnTo>
                                <a:pt x="4753" y="3971"/>
                              </a:lnTo>
                              <a:lnTo>
                                <a:pt x="4676" y="3896"/>
                              </a:lnTo>
                              <a:lnTo>
                                <a:pt x="3789" y="3010"/>
                              </a:lnTo>
                              <a:lnTo>
                                <a:pt x="3603" y="3195"/>
                              </a:lnTo>
                              <a:lnTo>
                                <a:pt x="4491" y="4083"/>
                              </a:lnTo>
                              <a:lnTo>
                                <a:pt x="4560" y="4150"/>
                              </a:lnTo>
                              <a:lnTo>
                                <a:pt x="4626" y="4210"/>
                              </a:lnTo>
                              <a:lnTo>
                                <a:pt x="4691" y="4263"/>
                              </a:lnTo>
                              <a:lnTo>
                                <a:pt x="4754" y="4311"/>
                              </a:lnTo>
                              <a:lnTo>
                                <a:pt x="4815" y="4351"/>
                              </a:lnTo>
                              <a:lnTo>
                                <a:pt x="4873" y="4386"/>
                              </a:lnTo>
                              <a:lnTo>
                                <a:pt x="4929" y="4414"/>
                              </a:lnTo>
                              <a:lnTo>
                                <a:pt x="5007" y="4444"/>
                              </a:lnTo>
                              <a:lnTo>
                                <a:pt x="5086" y="4463"/>
                              </a:lnTo>
                              <a:lnTo>
                                <a:pt x="5165" y="4470"/>
                              </a:lnTo>
                              <a:lnTo>
                                <a:pt x="5245" y="4466"/>
                              </a:lnTo>
                              <a:lnTo>
                                <a:pt x="5324" y="4451"/>
                              </a:lnTo>
                              <a:lnTo>
                                <a:pt x="5391" y="4431"/>
                              </a:lnTo>
                              <a:lnTo>
                                <a:pt x="5457" y="4402"/>
                              </a:lnTo>
                              <a:lnTo>
                                <a:pt x="5523" y="4364"/>
                              </a:lnTo>
                              <a:lnTo>
                                <a:pt x="5589" y="4318"/>
                              </a:lnTo>
                              <a:lnTo>
                                <a:pt x="5655" y="4265"/>
                              </a:lnTo>
                              <a:lnTo>
                                <a:pt x="5721" y="4203"/>
                              </a:lnTo>
                              <a:lnTo>
                                <a:pt x="5784" y="4135"/>
                              </a:lnTo>
                              <a:lnTo>
                                <a:pt x="5839" y="4067"/>
                              </a:lnTo>
                              <a:lnTo>
                                <a:pt x="5884" y="3998"/>
                              </a:lnTo>
                              <a:lnTo>
                                <a:pt x="5920" y="3929"/>
                              </a:lnTo>
                              <a:lnTo>
                                <a:pt x="5947" y="3859"/>
                              </a:lnTo>
                              <a:lnTo>
                                <a:pt x="5964" y="3789"/>
                              </a:lnTo>
                              <a:lnTo>
                                <a:pt x="5974" y="3706"/>
                              </a:lnTo>
                              <a:lnTo>
                                <a:pt x="5975" y="3625"/>
                              </a:lnTo>
                              <a:close/>
                              <a:moveTo>
                                <a:pt x="7096" y="2776"/>
                              </a:moveTo>
                              <a:lnTo>
                                <a:pt x="5740" y="1421"/>
                              </a:lnTo>
                              <a:lnTo>
                                <a:pt x="6205" y="957"/>
                              </a:lnTo>
                              <a:lnTo>
                                <a:pt x="6023" y="775"/>
                              </a:lnTo>
                              <a:lnTo>
                                <a:pt x="4911" y="1888"/>
                              </a:lnTo>
                              <a:lnTo>
                                <a:pt x="5092" y="2069"/>
                              </a:lnTo>
                              <a:lnTo>
                                <a:pt x="5555" y="1607"/>
                              </a:lnTo>
                              <a:lnTo>
                                <a:pt x="6910" y="2962"/>
                              </a:lnTo>
                              <a:lnTo>
                                <a:pt x="7096" y="2776"/>
                              </a:lnTo>
                              <a:close/>
                              <a:moveTo>
                                <a:pt x="8910" y="962"/>
                              </a:moveTo>
                              <a:lnTo>
                                <a:pt x="8715" y="872"/>
                              </a:lnTo>
                              <a:lnTo>
                                <a:pt x="7846" y="478"/>
                              </a:lnTo>
                              <a:lnTo>
                                <a:pt x="7846" y="764"/>
                              </a:lnTo>
                              <a:lnTo>
                                <a:pt x="7370" y="1239"/>
                              </a:lnTo>
                              <a:lnTo>
                                <a:pt x="7333" y="1164"/>
                              </a:lnTo>
                              <a:lnTo>
                                <a:pt x="7296" y="1088"/>
                              </a:lnTo>
                              <a:lnTo>
                                <a:pt x="7185" y="861"/>
                              </a:lnTo>
                              <a:lnTo>
                                <a:pt x="7148" y="786"/>
                              </a:lnTo>
                              <a:lnTo>
                                <a:pt x="7111" y="710"/>
                              </a:lnTo>
                              <a:lnTo>
                                <a:pt x="7074" y="635"/>
                              </a:lnTo>
                              <a:lnTo>
                                <a:pt x="7034" y="558"/>
                              </a:lnTo>
                              <a:lnTo>
                                <a:pt x="6992" y="482"/>
                              </a:lnTo>
                              <a:lnTo>
                                <a:pt x="6948" y="409"/>
                              </a:lnTo>
                              <a:lnTo>
                                <a:pt x="6903" y="336"/>
                              </a:lnTo>
                              <a:lnTo>
                                <a:pt x="6856" y="266"/>
                              </a:lnTo>
                              <a:lnTo>
                                <a:pt x="6911" y="297"/>
                              </a:lnTo>
                              <a:lnTo>
                                <a:pt x="6972" y="331"/>
                              </a:lnTo>
                              <a:lnTo>
                                <a:pt x="7039" y="366"/>
                              </a:lnTo>
                              <a:lnTo>
                                <a:pt x="7112" y="404"/>
                              </a:lnTo>
                              <a:lnTo>
                                <a:pt x="7190" y="443"/>
                              </a:lnTo>
                              <a:lnTo>
                                <a:pt x="7775" y="729"/>
                              </a:lnTo>
                              <a:lnTo>
                                <a:pt x="7846" y="764"/>
                              </a:lnTo>
                              <a:lnTo>
                                <a:pt x="7846" y="478"/>
                              </a:lnTo>
                              <a:lnTo>
                                <a:pt x="7379" y="266"/>
                              </a:lnTo>
                              <a:lnTo>
                                <a:pt x="6799" y="0"/>
                              </a:lnTo>
                              <a:lnTo>
                                <a:pt x="6599" y="200"/>
                              </a:lnTo>
                              <a:lnTo>
                                <a:pt x="6633" y="271"/>
                              </a:lnTo>
                              <a:lnTo>
                                <a:pt x="6737" y="486"/>
                              </a:lnTo>
                              <a:lnTo>
                                <a:pt x="6854" y="729"/>
                              </a:lnTo>
                              <a:lnTo>
                                <a:pt x="6918" y="862"/>
                              </a:lnTo>
                              <a:lnTo>
                                <a:pt x="7354" y="1775"/>
                              </a:lnTo>
                              <a:lnTo>
                                <a:pt x="7492" y="2061"/>
                              </a:lnTo>
                              <a:lnTo>
                                <a:pt x="7596" y="2276"/>
                              </a:lnTo>
                              <a:lnTo>
                                <a:pt x="7793" y="2078"/>
                              </a:lnTo>
                              <a:lnTo>
                                <a:pt x="7759" y="2010"/>
                              </a:lnTo>
                              <a:lnTo>
                                <a:pt x="7724" y="1941"/>
                              </a:lnTo>
                              <a:lnTo>
                                <a:pt x="7552" y="1596"/>
                              </a:lnTo>
                              <a:lnTo>
                                <a:pt x="7517" y="1528"/>
                              </a:lnTo>
                              <a:lnTo>
                                <a:pt x="7482" y="1459"/>
                              </a:lnTo>
                              <a:lnTo>
                                <a:pt x="7702" y="1239"/>
                              </a:lnTo>
                              <a:lnTo>
                                <a:pt x="8069" y="872"/>
                              </a:lnTo>
                              <a:lnTo>
                                <a:pt x="8698" y="1174"/>
                              </a:lnTo>
                              <a:lnTo>
                                <a:pt x="8910" y="962"/>
                              </a:lnTo>
                              <a:close/>
                            </a:path>
                          </a:pathLst>
                        </a:custGeom>
                        <a:solidFill>
                          <a:srgbClr val="C0C0C0">
                            <a:alpha val="49411"/>
                          </a:srgbClr>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1155700</wp:posOffset>
                </wp:positionH>
                <wp:positionV relativeFrom="paragraph">
                  <wp:posOffset>165100</wp:posOffset>
                </wp:positionV>
                <wp:extent cx="5676900" cy="5311775"/>
                <wp:effectExtent b="0" l="0" r="0" t="0"/>
                <wp:wrapNone/>
                <wp:docPr id="211560614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676900" cy="5311775"/>
                        </a:xfrm>
                        <a:prstGeom prst="rect"/>
                        <a:ln/>
                      </pic:spPr>
                    </pic:pic>
                  </a:graphicData>
                </a:graphic>
              </wp:anchor>
            </w:drawing>
          </mc:Fallback>
        </mc:AlternateConten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5" w:lineRule="auto"/>
        <w:rPr>
          <w:highlight w:val="yellow"/>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5" w:lineRule="auto"/>
        <w:rPr>
          <w:highlight w:val="yellow"/>
        </w:rPr>
      </w:pPr>
      <w:r w:rsidDel="00000000" w:rsidR="00000000" w:rsidRPr="00000000">
        <w:rPr>
          <w:rtl w:val="0"/>
        </w:rPr>
      </w:r>
    </w:p>
    <w:p w:rsidR="00000000" w:rsidDel="00000000" w:rsidP="00000000" w:rsidRDefault="00000000" w:rsidRPr="00000000" w14:paraId="0000005B">
      <w:pPr>
        <w:pStyle w:val="Heading1"/>
        <w:numPr>
          <w:ilvl w:val="0"/>
          <w:numId w:val="1"/>
        </w:numPr>
        <w:tabs>
          <w:tab w:val="left" w:leader="none" w:pos="1461"/>
          <w:tab w:val="left" w:leader="none" w:pos="1462"/>
        </w:tabs>
        <w:ind w:left="1461" w:hanging="710"/>
        <w:rPr/>
      </w:pPr>
      <w:r w:rsidDel="00000000" w:rsidR="00000000" w:rsidRPr="00000000">
        <w:rPr>
          <w:rtl w:val="0"/>
        </w:rPr>
        <w:t xml:space="preserve">DA ADESÃO À ATA DE REGISTRO DE PREÇOS</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09"/>
        <w:jc w:val="both"/>
        <w:rPr/>
      </w:pPr>
      <w:bookmarkStart w:colFirst="0" w:colLast="0" w:name="_heading=h.gjdgxs" w:id="0"/>
      <w:bookmarkEnd w:id="0"/>
      <w:r w:rsidDel="00000000" w:rsidR="00000000" w:rsidRPr="00000000">
        <w:rPr>
          <w:color w:val="000000"/>
          <w:rtl w:val="0"/>
        </w:rPr>
        <w:t xml:space="preserve"> Não será admitida a adesão à ata de registro de preços decorrente desta licitação ou desta contratação direta, conforme justificativa apresentada pela autoridade competente, conforme no despacho de autorização de abertura de procedimento licitatório no processo </w:t>
      </w:r>
      <w:r w:rsidDel="00000000" w:rsidR="00000000" w:rsidRPr="00000000">
        <w:rPr>
          <w:rtl w:val="0"/>
        </w:rPr>
        <w:t xml:space="preserve">23069.187674/2023-15</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D">
      <w:pPr>
        <w:tabs>
          <w:tab w:val="left" w:leader="none" w:pos="1462"/>
        </w:tabs>
        <w:spacing w:before="69" w:lineRule="auto"/>
        <w:ind w:left="751" w:right="700" w:firstLine="0"/>
        <w:rPr>
          <w:b w:val="1"/>
        </w:rPr>
      </w:pPr>
      <w:r w:rsidDel="00000000" w:rsidR="00000000" w:rsidRPr="00000000">
        <w:rPr>
          <w:b w:val="1"/>
          <w:rtl w:val="0"/>
        </w:rPr>
        <w:t xml:space="preserve">Vedação a acréscimo de quantitativos</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tabs>
          <w:tab w:val="left" w:leader="none" w:pos="1462"/>
        </w:tabs>
        <w:spacing w:before="70" w:lineRule="auto"/>
        <w:ind w:left="1461" w:right="700" w:hanging="709"/>
        <w:jc w:val="both"/>
        <w:rPr>
          <w:i w:val="1"/>
          <w:color w:val="000000"/>
        </w:rPr>
      </w:pPr>
      <w:r w:rsidDel="00000000" w:rsidR="00000000" w:rsidRPr="00000000">
        <w:rPr>
          <w:color w:val="000000"/>
          <w:rtl w:val="0"/>
        </w:rPr>
        <w:t xml:space="preserve">É vedado efetuar acréscimos nos quantitativos fixados na ata de registro de preços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2">
      <w:pPr>
        <w:pStyle w:val="Heading1"/>
        <w:numPr>
          <w:ilvl w:val="0"/>
          <w:numId w:val="1"/>
        </w:numPr>
        <w:tabs>
          <w:tab w:val="left" w:leader="none" w:pos="1461"/>
          <w:tab w:val="left" w:leader="none" w:pos="1462"/>
        </w:tabs>
        <w:ind w:left="1461" w:hanging="710"/>
        <w:rPr/>
      </w:pPr>
      <w:r w:rsidDel="00000000" w:rsidR="00000000" w:rsidRPr="00000000">
        <w:rPr>
          <w:rtl w:val="0"/>
        </w:rPr>
        <w:t xml:space="preserve">VALIDADE, FORMALIZAÇÃO DA ATA DE REGISTRO DE PREÇOS E CADASTRO RESERVA</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color w:val="000000"/>
        </w:rPr>
      </w:pPr>
      <w:r w:rsidDel="00000000" w:rsidR="00000000" w:rsidRPr="00000000">
        <w:rPr>
          <w:color w:val="000000"/>
          <w:rtl w:val="0"/>
        </w:rPr>
        <w:t xml:space="preserve">A validade da Ata de Registro de Preços será de 1 (um) ano, contado a partir do primeiro dia útil subsequente à data de divulgação no PNCP, podendo ser prorrogada por igual período, mediante a anuência do fornecedor, desde que comprovado o preço vantajoso.</w:t>
      </w:r>
    </w:p>
    <w:p w:rsidR="00000000" w:rsidDel="00000000" w:rsidP="00000000" w:rsidRDefault="00000000" w:rsidRPr="00000000" w14:paraId="00000064">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000000" w:rsidDel="00000000" w:rsidP="00000000" w:rsidRDefault="00000000" w:rsidRPr="00000000" w14:paraId="00000065">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formalização do contrato ou do instrumento substituto deverá haver a indicação da disponibilidade dos créditos orçamentários respectivos.</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r w:rsidDel="00000000" w:rsidR="00000000" w:rsidRPr="00000000">
        <w:rPr>
          <w:rtl w:val="0"/>
        </w:rPr>
      </w:r>
    </w:p>
    <w:p w:rsidR="00000000" w:rsidDel="00000000" w:rsidP="00000000" w:rsidRDefault="00000000" w:rsidRPr="00000000" w14:paraId="00000067">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O instrumento contratual de que trata o item 5.2. deverá ser assinado no prazo de validade da ata de registro de preços.</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Os contratos decorrentes do sistema de registro de preços poderão ser alterados, observado o art. 124 da Lei nº 14.133, de 2021.</w:t>
      </w:r>
      <w:r w:rsidDel="00000000" w:rsidR="00000000" w:rsidRPr="00000000">
        <w:rPr>
          <w:rtl w:val="0"/>
        </w:rPr>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Após a homologação da licitação ou da contratação direta, deverão ser observadas as seguintes condições para formalização da ata de registro de preços:</w:t>
      </w:r>
      <w:r w:rsidDel="00000000" w:rsidR="00000000" w:rsidRPr="00000000">
        <w:rPr>
          <w:rtl w:val="0"/>
        </w:rPr>
      </w:r>
    </w:p>
    <w:p w:rsidR="00000000" w:rsidDel="00000000" w:rsidP="00000000" w:rsidRDefault="00000000" w:rsidRPr="00000000" w14:paraId="0000006A">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Serão registrados na ata os preços e os quantitativos do adjudicatário, devendo ser observada a possibilidade de o licitante oferecer ou não proposta em quantitativo inferior ao máximo previsto no edital ou no aviso de contratação direta e se obrigar nos limites dela;</w:t>
      </w:r>
    </w:p>
    <w:p w:rsidR="00000000" w:rsidDel="00000000" w:rsidP="00000000" w:rsidRDefault="00000000" w:rsidRPr="00000000" w14:paraId="0000006B">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Será incluído na ata, na forma de anexo, o registro dos licitantes ou dos fornecedores que:</w:t>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pacing w:after="120" w:before="120" w:line="276" w:lineRule="auto"/>
        <w:ind w:left="2127" w:right="700" w:firstLine="720"/>
        <w:jc w:val="both"/>
        <w:rPr>
          <w:color w:val="000000"/>
        </w:rPr>
      </w:pPr>
      <w:r w:rsidDel="00000000" w:rsidR="00000000" w:rsidRPr="00000000">
        <w:rPr>
          <w:color w:val="000000"/>
          <w:rtl w:val="0"/>
        </w:rPr>
        <w:t xml:space="preserve">5.4.2.1 Aceitarem cotar os bens, as obras ou os serviços com preços iguais aos do adjudicatário, observada a classificação da licitação; e </w:t>
      </w:r>
    </w:p>
    <w:p w:rsidR="00000000" w:rsidDel="00000000" w:rsidP="00000000" w:rsidRDefault="00000000" w:rsidRPr="00000000" w14:paraId="0000006D">
      <w:pPr>
        <w:widowControl w:val="1"/>
        <w:numPr>
          <w:ilvl w:val="3"/>
          <w:numId w:val="3"/>
        </w:numPr>
        <w:pBdr>
          <w:top w:space="0" w:sz="0" w:val="nil"/>
          <w:left w:space="0" w:sz="0" w:val="nil"/>
          <w:bottom w:space="0" w:sz="0" w:val="nil"/>
          <w:right w:space="0" w:sz="0" w:val="nil"/>
          <w:between w:space="0" w:sz="0" w:val="nil"/>
        </w:pBdr>
        <w:spacing w:after="120" w:before="120" w:line="276" w:lineRule="auto"/>
        <w:ind w:left="3567" w:right="700" w:hanging="720"/>
        <w:jc w:val="both"/>
        <w:rPr>
          <w:color w:val="000000"/>
        </w:rPr>
      </w:pPr>
      <w:r w:rsidDel="00000000" w:rsidR="00000000" w:rsidRPr="00000000">
        <w:rPr>
          <w:color w:val="000000"/>
          <w:rtl w:val="0"/>
        </w:rPr>
        <w:t xml:space="preserve">Mantiverem sua proposta original. </w:t>
      </w:r>
      <w:bookmarkStart w:colFirst="0" w:colLast="0" w:name="bookmark=id.gjdgxs" w:id="1"/>
      <w:bookmarkEnd w:id="1"/>
      <w:r w:rsidDel="00000000" w:rsidR="00000000" w:rsidRPr="00000000">
        <w:rPr>
          <w:rtl w:val="0"/>
        </w:rPr>
      </w:r>
    </w:p>
    <w:p w:rsidR="00000000" w:rsidDel="00000000" w:rsidP="00000000" w:rsidRDefault="00000000" w:rsidRPr="00000000" w14:paraId="0000006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Será respeitada, nas contratações, a ordem de classificação dos licitantes ou dos fornecedores registrados na ata.</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registro a que se refere o item 5.4.2</w:t>
      </w:r>
      <w:r w:rsidDel="00000000" w:rsidR="00000000" w:rsidRPr="00000000">
        <w:rPr>
          <w:b w:val="1"/>
          <w:color w:val="000000"/>
          <w:rtl w:val="0"/>
        </w:rPr>
        <w:t xml:space="preserve"> </w:t>
      </w:r>
      <w:r w:rsidDel="00000000" w:rsidR="00000000" w:rsidRPr="00000000">
        <w:rPr>
          <w:color w:val="000000"/>
          <w:rtl w:val="0"/>
        </w:rPr>
        <w:t xml:space="preserve">tem por objetivo a formação de cadastro de reserva para o caso de impossibilidade de atendimento pelo signatário da ata.</w:t>
      </w:r>
      <w:r w:rsidDel="00000000" w:rsidR="00000000" w:rsidRPr="00000000">
        <w:rPr>
          <w:rtl w:val="0"/>
        </w:rPr>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Para fins da ordem de classificação, os licitantes ou fornecedores que aceitarem reduzir suas propostas para o preço do adjudicatário antecederão aqueles que mantiverem sua proposta original.</w:t>
      </w:r>
      <w:r w:rsidDel="00000000" w:rsidR="00000000" w:rsidRPr="00000000">
        <w:rPr>
          <w:rtl w:val="0"/>
        </w:rPr>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habilitação dos licitantes que comporão o cadastro de reserva a que se refere o item 5.4.2.2 somente será efetuada quando houver necessidade de contratação dos licitantes remanescentes, nas seguintes hipóteses:</w:t>
      </w:r>
      <w:bookmarkStart w:colFirst="0" w:colLast="0" w:name="bookmark=id.30j0zll" w:id="2"/>
      <w:bookmarkEnd w:id="2"/>
      <w:r w:rsidDel="00000000" w:rsidR="00000000" w:rsidRPr="00000000">
        <w:rPr>
          <w:rtl w:val="0"/>
        </w:rPr>
      </w:r>
    </w:p>
    <w:p w:rsidR="00000000" w:rsidDel="00000000" w:rsidP="00000000" w:rsidRDefault="00000000" w:rsidRPr="00000000" w14:paraId="00000072">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Quando o licitante vencedor não assinar a ata de registro de preços, no prazo e nas condições estabelecidos no edital ou no aviso de contratação direta; e</w:t>
      </w:r>
    </w:p>
    <w:p w:rsidR="00000000" w:rsidDel="00000000" w:rsidP="00000000" w:rsidRDefault="00000000" w:rsidRPr="00000000" w14:paraId="00000073">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rFonts w:ascii="Arial" w:cs="Arial" w:eastAsia="Arial" w:hAnsi="Arial"/>
          <w:i w:val="1"/>
          <w:color w:val="000000"/>
          <w:sz w:val="20"/>
          <w:szCs w:val="20"/>
        </w:rPr>
      </w:pPr>
      <w:r w:rsidDel="00000000" w:rsidR="00000000" w:rsidRPr="00000000">
        <w:rPr>
          <w:color w:val="000000"/>
          <w:rtl w:val="0"/>
        </w:rPr>
        <w:t xml:space="preserve">Quando houver o cancelamento do registro do licitante ou do registro de preços nas hipóteses previstas no item 9</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preço registrado com indicação dos licitantes e fornecedores será divulgado no PNCP e ficará disponibilizado durante a vigência da ata de registro de preços.</w:t>
      </w:r>
      <w:r w:rsidDel="00000000" w:rsidR="00000000" w:rsidRPr="00000000">
        <w:rPr>
          <w:rtl w:val="0"/>
        </w:rPr>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r w:rsidDel="00000000" w:rsidR="00000000" w:rsidRPr="00000000">
        <w:rPr>
          <w:rtl w:val="0"/>
        </w:rPr>
      </w:r>
    </w:p>
    <w:p w:rsidR="00000000" w:rsidDel="00000000" w:rsidP="00000000" w:rsidRDefault="00000000" w:rsidRPr="00000000" w14:paraId="00000076">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rFonts w:ascii="Arial" w:cs="Arial" w:eastAsia="Arial" w:hAnsi="Arial"/>
          <w:i w:val="1"/>
          <w:color w:val="000000"/>
          <w:sz w:val="20"/>
          <w:szCs w:val="20"/>
        </w:rPr>
      </w:pPr>
      <w:r w:rsidDel="00000000" w:rsidR="00000000" w:rsidRPr="00000000">
        <w:rPr>
          <w:color w:val="000000"/>
          <w:rtl w:val="0"/>
        </w:rPr>
        <w:t xml:space="preserve">O prazo de convocação poderá ser prorrogado 1 (uma) vez, por igual período, mediante solicitação do licitante ou fornecedor convocado, desde que apresentada dentro do prazo, devidamente justificada, e que a justificativa seja aceita pela</w:t>
      </w:r>
      <w:r w:rsidDel="00000000" w:rsidR="00000000" w:rsidRPr="00000000">
        <w:rPr>
          <w:i w:val="1"/>
          <w:color w:val="000000"/>
          <w:rtl w:val="0"/>
        </w:rPr>
        <w:t xml:space="preserve"> Administração</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ata de registro de preços será assinada por meio de assinatura digital e disponibilizada no Sistema de Registro de Preços.</w:t>
      </w:r>
      <w:r w:rsidDel="00000000" w:rsidR="00000000" w:rsidRPr="00000000">
        <w:rPr>
          <w:rtl w:val="0"/>
        </w:rPr>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Quando o convocado não assinar a ata de registro de preços no prazo e nas condições estabelecidos no edital ou no aviso de contratação, e observado o disposto no item 5.7, observando o item 5.7 e subitens, fica facultado à Administração convocar os licitantes remanescentes do cadastro de reserva, na ordem de classificação, para fazê-lo em igual prazo e nas condições propostas pelo primeiro classificado.</w:t>
      </w:r>
      <w:bookmarkStart w:colFirst="0" w:colLast="0" w:name="bookmark=id.1fob9te" w:id="3"/>
      <w:bookmarkEnd w:id="3"/>
      <w:r w:rsidDel="00000000" w:rsidR="00000000" w:rsidRPr="00000000">
        <w:rPr>
          <w:rtl w:val="0"/>
        </w:rPr>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nenhum dos licitantes que trata o item 5.4.2.1, aceitar a contratação nos termos do item anterior, a Administração, observados o valor estimado e sua eventual atualização nos termos </w:t>
      </w:r>
      <w:r w:rsidDel="00000000" w:rsidR="00000000" w:rsidRPr="00000000">
        <w:rPr>
          <w:rtl w:val="0"/>
        </w:rPr>
        <w:t xml:space="preserve">do edital, poderá:</w:t>
      </w:r>
    </w:p>
    <w:p w:rsidR="00000000" w:rsidDel="00000000" w:rsidP="00000000" w:rsidRDefault="00000000" w:rsidRPr="00000000" w14:paraId="0000007A">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rtl w:val="0"/>
        </w:rPr>
        <w:t xml:space="preserve">Convocar para </w:t>
      </w:r>
      <w:r w:rsidDel="00000000" w:rsidR="00000000" w:rsidRPr="00000000">
        <w:rPr>
          <w:color w:val="000000"/>
          <w:rtl w:val="0"/>
        </w:rPr>
        <w:t xml:space="preserve">negociação os demais licitantes ou fornecedores remanescentes cujos preços foram registrados sem redução, observada a ordem de classificação, com vistas à obtenção de preço melhor, mesmo que acima do preço do adjudicatário; ou</w:t>
      </w:r>
    </w:p>
    <w:p w:rsidR="00000000" w:rsidDel="00000000" w:rsidP="00000000" w:rsidRDefault="00000000" w:rsidRPr="00000000" w14:paraId="0000007B">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Adjudicar e firmar o contrato nas condições ofertadas pelos licitantes ou fornecedores remanescentes, atendida a ordem classificatória, quando frustrada a negociação de melhor condição.</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0">
      <w:pPr>
        <w:pStyle w:val="Heading1"/>
        <w:numPr>
          <w:ilvl w:val="0"/>
          <w:numId w:val="1"/>
        </w:numPr>
        <w:tabs>
          <w:tab w:val="left" w:leader="none" w:pos="1461"/>
          <w:tab w:val="left" w:leader="none" w:pos="1462"/>
        </w:tabs>
        <w:ind w:left="1461" w:hanging="710"/>
        <w:rPr/>
      </w:pPr>
      <w:r w:rsidDel="00000000" w:rsidR="00000000" w:rsidRPr="00000000">
        <w:rPr>
          <w:rtl w:val="0"/>
        </w:rPr>
        <w:t xml:space="preserve">ALTERAÇÃO OU ATUALIZAÇÃO DOS PREÇOS REGISTRADOS</w:t>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Os preços registrados poderão ser alterados ou atualizados em decorrência de eventual redução dos preços praticados no mercado ou de fato que eleve o custo dos bens, das obras ou dos serviços registrados, nas seguintes situações:</w:t>
      </w:r>
      <w:r w:rsidDel="00000000" w:rsidR="00000000" w:rsidRPr="00000000">
        <w:rPr>
          <w:rtl w:val="0"/>
        </w:rPr>
      </w:r>
    </w:p>
    <w:p w:rsidR="00000000" w:rsidDel="00000000" w:rsidP="00000000" w:rsidRDefault="00000000" w:rsidRPr="00000000" w14:paraId="00000082">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000000" w:rsidDel="00000000" w:rsidP="00000000" w:rsidRDefault="00000000" w:rsidRPr="00000000" w14:paraId="00000083">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Em caso de criação, alteração ou extinção de quaisquer tributos ou encargos legais ou a superveniência de disposições legais, com comprovada repercussão sobre os preços registrados; </w:t>
      </w:r>
    </w:p>
    <w:p w:rsidR="00000000" w:rsidDel="00000000" w:rsidP="00000000" w:rsidRDefault="00000000" w:rsidRPr="00000000" w14:paraId="00000084">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previsão no edital ou no aviso de contratação direta de cláusula de reajustamento ou repactuação sobre os preços registrados, nos termos da Lei nº 14.133, de 2021.</w:t>
      </w:r>
    </w:p>
    <w:p w:rsidR="00000000" w:rsidDel="00000000" w:rsidP="00000000" w:rsidRDefault="00000000" w:rsidRPr="00000000" w14:paraId="00000085">
      <w:pPr>
        <w:widowControl w:val="1"/>
        <w:numPr>
          <w:ilvl w:val="3"/>
          <w:numId w:val="5"/>
        </w:numPr>
        <w:pBdr>
          <w:top w:space="0" w:sz="0" w:val="nil"/>
          <w:left w:space="0" w:sz="0" w:val="nil"/>
          <w:bottom w:space="0" w:sz="0" w:val="nil"/>
          <w:right w:space="0" w:sz="0" w:val="nil"/>
          <w:between w:space="0" w:sz="0" w:val="nil"/>
        </w:pBdr>
        <w:spacing w:after="120" w:before="120" w:lineRule="auto"/>
        <w:ind w:left="3510" w:right="700" w:hanging="720"/>
        <w:jc w:val="both"/>
        <w:rPr>
          <w:color w:val="000000"/>
        </w:rPr>
      </w:pPr>
      <w:r w:rsidDel="00000000" w:rsidR="00000000" w:rsidRPr="00000000">
        <w:rPr>
          <w:color w:val="000000"/>
          <w:rtl w:val="0"/>
        </w:rPr>
        <w:t xml:space="preserve">No caso do reajustamento, deverá ser respeitada a contagem da anualidade e o índice previstos para a contratação;  </w:t>
      </w:r>
    </w:p>
    <w:p w:rsidR="00000000" w:rsidDel="00000000" w:rsidP="00000000" w:rsidRDefault="00000000" w:rsidRPr="00000000" w14:paraId="00000086">
      <w:pPr>
        <w:widowControl w:val="1"/>
        <w:numPr>
          <w:ilvl w:val="3"/>
          <w:numId w:val="5"/>
        </w:numPr>
        <w:pBdr>
          <w:top w:space="0" w:sz="0" w:val="nil"/>
          <w:left w:space="0" w:sz="0" w:val="nil"/>
          <w:bottom w:space="0" w:sz="0" w:val="nil"/>
          <w:right w:space="0" w:sz="0" w:val="nil"/>
          <w:between w:space="0" w:sz="0" w:val="nil"/>
        </w:pBdr>
        <w:spacing w:after="120" w:before="120" w:lineRule="auto"/>
        <w:ind w:left="3510" w:right="700" w:hanging="720"/>
        <w:jc w:val="both"/>
        <w:rPr>
          <w:color w:val="000000"/>
        </w:rPr>
      </w:pPr>
      <w:r w:rsidDel="00000000" w:rsidR="00000000" w:rsidRPr="00000000">
        <w:rPr>
          <w:color w:val="000000"/>
          <w:rtl w:val="0"/>
        </w:rPr>
        <w:t xml:space="preserve">No caso da repactuação, poderá ser a pedido do interessado, conforme critérios definidos para a contratação.</w:t>
      </w:r>
    </w:p>
    <w:p w:rsidR="00000000" w:rsidDel="00000000" w:rsidP="00000000" w:rsidRDefault="00000000" w:rsidRPr="00000000" w14:paraId="00000087">
      <w:pPr>
        <w:pStyle w:val="Heading1"/>
        <w:tabs>
          <w:tab w:val="left" w:leader="none" w:pos="1461"/>
          <w:tab w:val="left" w:leader="none" w:pos="1462"/>
        </w:tabs>
        <w:ind w:firstLine="0"/>
        <w:rPr/>
      </w:pPr>
      <w:r w:rsidDel="00000000" w:rsidR="00000000" w:rsidRPr="00000000">
        <w:rPr>
          <w:rtl w:val="0"/>
        </w:rPr>
      </w:r>
    </w:p>
    <w:p w:rsidR="00000000" w:rsidDel="00000000" w:rsidP="00000000" w:rsidRDefault="00000000" w:rsidRPr="00000000" w14:paraId="00000088">
      <w:pPr>
        <w:pStyle w:val="Heading1"/>
        <w:tabs>
          <w:tab w:val="left" w:leader="none" w:pos="1461"/>
          <w:tab w:val="left" w:leader="none" w:pos="1462"/>
        </w:tabs>
        <w:ind w:firstLine="0"/>
        <w:rPr/>
      </w:pPr>
      <w:r w:rsidDel="00000000" w:rsidR="00000000" w:rsidRPr="00000000">
        <w:rPr>
          <w:rtl w:val="0"/>
        </w:rPr>
      </w:r>
    </w:p>
    <w:p w:rsidR="00000000" w:rsidDel="00000000" w:rsidP="00000000" w:rsidRDefault="00000000" w:rsidRPr="00000000" w14:paraId="00000089">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NEGOCIAÇÃO DE PREÇOS REGISTRADOS</w:t>
      </w:r>
      <w:r w:rsidDel="00000000" w:rsidR="00000000" w:rsidRPr="00000000">
        <w:rPr>
          <w:rtl w:val="0"/>
        </w:rPr>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o preço registrado tornar-se superior ao preço praticado no mercado por motivo superveniente, o órgão ou entidade gerenciadora convocará o fornecedor para negociar a redução do preço registrado.</w:t>
      </w:r>
      <w:r w:rsidDel="00000000" w:rsidR="00000000" w:rsidRPr="00000000">
        <w:rPr>
          <w:rtl w:val="0"/>
        </w:rPr>
      </w:r>
    </w:p>
    <w:p w:rsidR="00000000" w:rsidDel="00000000" w:rsidP="00000000" w:rsidRDefault="00000000" w:rsidRPr="00000000" w14:paraId="0000008B">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Caso não aceite reduzir seu preço aos valores praticados pelo mercado, o fornecedor será liberado do compromisso assumido quanto ao item registrado, sem aplicação de penalidades administrativas.</w:t>
      </w:r>
    </w:p>
    <w:p w:rsidR="00000000" w:rsidDel="00000000" w:rsidP="00000000" w:rsidRDefault="00000000" w:rsidRPr="00000000" w14:paraId="0000008C">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000000" w:rsidDel="00000000" w:rsidP="00000000" w:rsidRDefault="00000000" w:rsidRPr="00000000" w14:paraId="0000008D">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obtiver êxito nas negociações, o órgão ou entidade gerenciadora procederá ao cancelamento da ata de registro de preços, adotando as medidas cabíveis para obtenção de contratação mais vantajosa.</w:t>
      </w:r>
      <w:bookmarkStart w:colFirst="0" w:colLast="0" w:name="bookmark=id.3znysh7" w:id="4"/>
      <w:bookmarkEnd w:id="4"/>
      <w:r w:rsidDel="00000000" w:rsidR="00000000" w:rsidRPr="00000000">
        <w:rPr>
          <w:rtl w:val="0"/>
        </w:rPr>
      </w:r>
    </w:p>
    <w:p w:rsidR="00000000" w:rsidDel="00000000" w:rsidP="00000000" w:rsidRDefault="00000000" w:rsidRPr="00000000" w14:paraId="0000008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colFirst="0" w:colLast="0" w:name="bookmark=id.2et92p0" w:id="5"/>
      <w:bookmarkEnd w:id="5"/>
      <w:r w:rsidDel="00000000" w:rsidR="00000000" w:rsidRPr="00000000">
        <w:rPr>
          <w:rtl w:val="0"/>
        </w:rPr>
      </w:r>
    </w:p>
    <w:p w:rsidR="00000000" w:rsidDel="00000000" w:rsidP="00000000" w:rsidRDefault="00000000" w:rsidRPr="00000000" w14:paraId="00000090">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Neste caso, o fornecedor encaminhará, juntamente com o pedido de alteração, a documentação comprobatória ou a planilha de custos que demonstre a inviabilidade do preço registrado em relação às condições inicialmente pactuadas.</w:t>
      </w:r>
      <w:bookmarkStart w:colFirst="0" w:colLast="0" w:name="bookmark=id.tyjcwt" w:id="6"/>
      <w:bookmarkEnd w:id="6"/>
      <w:r w:rsidDel="00000000" w:rsidR="00000000" w:rsidRPr="00000000">
        <w:rPr>
          <w:rtl w:val="0"/>
        </w:rPr>
      </w:r>
    </w:p>
    <w:p w:rsidR="00000000" w:rsidDel="00000000" w:rsidP="00000000" w:rsidRDefault="00000000" w:rsidRPr="00000000" w14:paraId="00000091">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9.1, sem prejuízo das sanções previstas na Lei nº 14.133, de 2021, e na legislação aplicável.</w:t>
      </w:r>
      <w:bookmarkStart w:colFirst="0" w:colLast="0" w:name="bookmark=id.3dy6vkm" w:id="7"/>
      <w:bookmarkEnd w:id="7"/>
      <w:r w:rsidDel="00000000" w:rsidR="00000000" w:rsidRPr="00000000">
        <w:rPr>
          <w:rtl w:val="0"/>
        </w:rPr>
      </w:r>
    </w:p>
    <w:p w:rsidR="00000000" w:rsidDel="00000000" w:rsidP="00000000" w:rsidRDefault="00000000" w:rsidRPr="00000000" w14:paraId="00000092">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000000" w:rsidDel="00000000" w:rsidP="00000000" w:rsidRDefault="00000000" w:rsidRPr="00000000" w14:paraId="00000093">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obtiver êxito nas negociações, o órgão ou entidade gerenciadora procederá ao cancelamento da ata de registro de preços, nos termos do item 9.4, e adotará as medidas cabíveis para a obtenção da contratação mais vantajosa.</w:t>
      </w:r>
      <w:bookmarkStart w:colFirst="0" w:colLast="0" w:name="bookmark=id.1t3h5sf" w:id="8"/>
      <w:bookmarkEnd w:id="8"/>
      <w:r w:rsidDel="00000000" w:rsidR="00000000" w:rsidRPr="00000000">
        <w:rPr>
          <w:rtl w:val="0"/>
        </w:rPr>
      </w:r>
    </w:p>
    <w:p w:rsidR="00000000" w:rsidDel="00000000" w:rsidP="00000000" w:rsidRDefault="00000000" w:rsidRPr="00000000" w14:paraId="00000094">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comprovação da majoração do preço de mercado que inviabilize o preço registrado, conforme previsto no item 7.2 e no item 7.2.1, o órgão ou entidade gerenciadora atualizará o preço registrado, de acordo com a realidade dos valores praticados pelo mercado.</w:t>
      </w:r>
    </w:p>
    <w:p w:rsidR="00000000" w:rsidDel="00000000" w:rsidP="00000000" w:rsidRDefault="00000000" w:rsidRPr="00000000" w14:paraId="00000095">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REMANEJAMENTO DAS QUANTIDADES REGISTRADAS NA ATA DE REGISTRO DE PREÇOS</w:t>
      </w:r>
      <w:r w:rsidDel="00000000" w:rsidR="00000000" w:rsidRPr="00000000">
        <w:rPr>
          <w:rtl w:val="0"/>
        </w:rPr>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As quantidades previstas para os itens com preços registrados nas atas de registro de preços poderão ser remanejadas pelo órgão ou entidade gerenciadora entre os órgãos ou as entidades participantes e não participantes do registro de preços.</w:t>
      </w:r>
      <w:r w:rsidDel="00000000" w:rsidR="00000000" w:rsidRPr="00000000">
        <w:rPr>
          <w:rtl w:val="0"/>
        </w:rPr>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 O remanejamento somente poderá ser feito:</w:t>
      </w:r>
      <w:r w:rsidDel="00000000" w:rsidR="00000000" w:rsidRPr="00000000">
        <w:rPr>
          <w:rtl w:val="0"/>
        </w:rPr>
      </w:r>
    </w:p>
    <w:p w:rsidR="00000000" w:rsidDel="00000000" w:rsidP="00000000" w:rsidRDefault="00000000" w:rsidRPr="00000000" w14:paraId="0000009B">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 órgão ou entidade participante para órgão ou entidade participante; ou</w:t>
      </w:r>
    </w:p>
    <w:p w:rsidR="00000000" w:rsidDel="00000000" w:rsidP="00000000" w:rsidRDefault="00000000" w:rsidRPr="00000000" w14:paraId="0000009C">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 órgão ou entidade participante para órgão ou entidade não participante.</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órgão ou entidade gerenciadora que tiver estimado as quantidades que pretende contratar será considerado participante para efeito do remanejamento.</w:t>
      </w:r>
      <w:bookmarkStart w:colFirst="0" w:colLast="0" w:name="bookmark=id.4d34og8" w:id="9"/>
      <w:bookmarkEnd w:id="9"/>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remanejamento de órgão ou entidade participante para órgão ou entidade não participante, serão observados os limites previstos no art. 32 do Decreto nº 11.462, de 2023.</w:t>
      </w:r>
      <w:r w:rsidDel="00000000" w:rsidR="00000000" w:rsidRPr="00000000">
        <w:rPr>
          <w:rtl w:val="0"/>
        </w:rPr>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r w:rsidDel="00000000" w:rsidR="00000000" w:rsidRPr="00000000">
        <w:rPr>
          <w:rtl w:val="0"/>
        </w:rPr>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r w:rsidDel="00000000" w:rsidR="00000000" w:rsidRPr="00000000">
        <w:rPr>
          <w:rtl w:val="0"/>
        </w:rPr>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da compra centralizada, não havendo indicação pelo órgão ou pela entidade gerenciadora, dos quantitativos dos participantes da compra centralizada, nos termos do item 8.3, a distribuição das quantidades para a execução descentralizada será por meio do remanejamento.</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CANCELAMENTO DO REGISTRO DO LICITANTE VENCEDOR E DOS PREÇOS REGISTRADOS</w:t>
      </w:r>
      <w:bookmarkStart w:colFirst="0" w:colLast="0" w:name="bookmark=id.2s8eyo1" w:id="10"/>
      <w:bookmarkEnd w:id="10"/>
      <w:r w:rsidDel="00000000" w:rsidR="00000000" w:rsidRPr="00000000">
        <w:rPr>
          <w:rtl w:val="0"/>
        </w:rPr>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registro do fornecedor será cancelado pelo gerenciador, quando o fornecedor:</w:t>
      </w:r>
      <w:bookmarkStart w:colFirst="0" w:colLast="0" w:name="bookmark=id.17dp8vu" w:id="11"/>
      <w:bookmarkEnd w:id="11"/>
      <w:r w:rsidDel="00000000" w:rsidR="00000000" w:rsidRPr="00000000">
        <w:rPr>
          <w:rtl w:val="0"/>
        </w:rPr>
      </w:r>
    </w:p>
    <w:p w:rsidR="00000000" w:rsidDel="00000000" w:rsidP="00000000" w:rsidRDefault="00000000" w:rsidRPr="00000000" w14:paraId="000000A6">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Descumprir as condições da ata de registro de preços, sem motivo justificado;</w:t>
      </w:r>
    </w:p>
    <w:p w:rsidR="00000000" w:rsidDel="00000000" w:rsidP="00000000" w:rsidRDefault="00000000" w:rsidRPr="00000000" w14:paraId="000000A7">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retirar a nota de empenho, ou instrumento equivalente, no prazo estabelecido pela Administração sem justificativa razoável;</w:t>
      </w:r>
    </w:p>
    <w:p w:rsidR="00000000" w:rsidDel="00000000" w:rsidP="00000000" w:rsidRDefault="00000000" w:rsidRPr="00000000" w14:paraId="000000A8">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aceitar manter seu preço registrado, na hipótese prevista no artigo 27, § 2º, do Decreto nº 11.462, de 2023; ou</w:t>
      </w:r>
    </w:p>
    <w:p w:rsidR="00000000" w:rsidDel="00000000" w:rsidP="00000000" w:rsidRDefault="00000000" w:rsidRPr="00000000" w14:paraId="000000A9">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Sofrer sanção prevista nos incisos III ou IV do caput do art. 156 da Lei nº 14.133, de 2021.</w:t>
      </w:r>
    </w:p>
    <w:p w:rsidR="00000000" w:rsidDel="00000000" w:rsidP="00000000" w:rsidRDefault="00000000" w:rsidRPr="00000000" w14:paraId="000000AA">
      <w:pPr>
        <w:widowControl w:val="1"/>
        <w:numPr>
          <w:ilvl w:val="3"/>
          <w:numId w:val="4"/>
        </w:numPr>
        <w:pBdr>
          <w:top w:space="0" w:sz="0" w:val="nil"/>
          <w:left w:space="0" w:sz="0" w:val="nil"/>
          <w:bottom w:space="0" w:sz="0" w:val="nil"/>
          <w:right w:space="0" w:sz="0" w:val="nil"/>
          <w:between w:space="0" w:sz="0" w:val="nil"/>
        </w:pBdr>
        <w:spacing w:after="120" w:before="120" w:lineRule="auto"/>
        <w:ind w:left="2880" w:right="700" w:hanging="720"/>
        <w:jc w:val="both"/>
        <w:rPr>
          <w:color w:val="000000"/>
        </w:rPr>
      </w:pPr>
      <w:r w:rsidDel="00000000" w:rsidR="00000000" w:rsidRPr="00000000">
        <w:rPr>
          <w:color w:val="000000"/>
          <w:rtl w:val="0"/>
        </w:rPr>
        <w:t xml:space="preserve">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 O cancelamento de registros nas hipóteses previstas no item 9.1 será formalizado por despacho do órgão ou da entidade gerenciadora, garantidos os princípios do contraditório e da ampla defesa.</w:t>
      </w:r>
      <w:r w:rsidDel="00000000" w:rsidR="00000000" w:rsidRPr="00000000">
        <w:rPr>
          <w:rtl w:val="0"/>
        </w:rPr>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cancelamento do registro do fornecedor, o órgão ou a entidade gerenciadora poderá convocar os licitantes que compõem o cadastro de reserva, observada a ordem de classificação.</w:t>
      </w:r>
      <w:r w:rsidDel="00000000" w:rsidR="00000000" w:rsidRPr="00000000">
        <w:rPr>
          <w:rtl w:val="0"/>
        </w:rPr>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cancelamento dos preços registrados poderá ser realizado pelo gerenciador, em determinada ata de registro de preços, total ou parcialmente, nas seguintes hipóteses, desde que devidamente comprovadas e justificadas:</w:t>
      </w:r>
      <w:bookmarkStart w:colFirst="0" w:colLast="0" w:name="bookmark=id.3rdcrjn" w:id="12"/>
      <w:bookmarkEnd w:id="12"/>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Por razão de interesse público;</w:t>
      </w:r>
    </w:p>
    <w:p w:rsidR="00000000" w:rsidDel="00000000" w:rsidP="00000000" w:rsidRDefault="00000000" w:rsidRPr="00000000" w14:paraId="000000AF">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 pedido do fornecedor, decorrente de caso fortuito ou força maior; ou</w:t>
      </w:r>
    </w:p>
    <w:p w:rsidR="00000000" w:rsidDel="00000000" w:rsidP="00000000" w:rsidRDefault="00000000" w:rsidRPr="00000000" w14:paraId="000000B0">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houver êxito nas negociações, nas hipóteses em que o preço de mercado tornar-se superior ou inferior ao preço registrado, nos termos do artigos 26, § 3º e  27, § 4º, ambos do Decreto nº 11.462, de 2023.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DAS PENALIDADES</w:t>
      </w:r>
      <w:r w:rsidDel="00000000" w:rsidR="00000000" w:rsidRPr="00000000">
        <w:rPr>
          <w:rtl w:val="0"/>
        </w:rPr>
      </w:r>
    </w:p>
    <w:p w:rsidR="00000000" w:rsidDel="00000000" w:rsidP="00000000" w:rsidRDefault="00000000" w:rsidRPr="00000000" w14:paraId="000000B4">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descumprimento da Ata de Registro de Preços ensejará aplicação das penalidades estabelecidas </w:t>
      </w:r>
      <w:r w:rsidDel="00000000" w:rsidR="00000000" w:rsidRPr="00000000">
        <w:rPr>
          <w:rtl w:val="0"/>
        </w:rPr>
        <w:t xml:space="preserve">no edital.</w:t>
      </w:r>
    </w:p>
    <w:p w:rsidR="00000000" w:rsidDel="00000000" w:rsidP="00000000" w:rsidRDefault="00000000" w:rsidRPr="00000000" w14:paraId="000000B5">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As sanções também se aplicam aos integrantes do cadastro de reserva no registro de preços que, convocados, não honrarem o compromisso assumido injustificadamente após terem assinado a ata. </w:t>
      </w:r>
    </w:p>
    <w:p w:rsidR="00000000" w:rsidDel="00000000" w:rsidP="00000000" w:rsidRDefault="00000000" w:rsidRPr="00000000" w14:paraId="000000B6">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r w:rsidDel="00000000" w:rsidR="00000000" w:rsidRPr="00000000">
        <w:rPr>
          <w:rtl w:val="0"/>
        </w:rPr>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órgão ou entidade participante deverá comunicar ao órgão gerenciador qualquer das ocorrências previstas no item 9.1, dada a necessidade de instauração de procedimento para cancelamento do registro do fornecedor.</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CONDIÇÕES GERAIS</w:t>
      </w:r>
      <w:r w:rsidDel="00000000" w:rsidR="00000000" w:rsidRPr="00000000">
        <w:rPr>
          <w:rtl w:val="0"/>
        </w:rPr>
      </w:r>
    </w:p>
    <w:p w:rsidR="00000000" w:rsidDel="00000000" w:rsidP="00000000" w:rsidRDefault="00000000" w:rsidRPr="00000000" w14:paraId="000000BB">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Del="00000000" w:rsidR="00000000" w:rsidRPr="00000000">
        <w:rPr>
          <w:i w:val="1"/>
          <w:color w:val="000000"/>
          <w:rtl w:val="0"/>
        </w:rPr>
        <w:t xml:space="preserve">AO EDITAL.</w:t>
      </w:r>
      <w:r w:rsidDel="00000000" w:rsidR="00000000" w:rsidRPr="00000000">
        <w:rPr>
          <w:rtl w:val="0"/>
        </w:rPr>
      </w:r>
    </w:p>
    <w:p w:rsidR="00000000" w:rsidDel="00000000" w:rsidP="00000000" w:rsidRDefault="00000000" w:rsidRPr="00000000" w14:paraId="000000B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color w:val="000000"/>
        </w:rPr>
      </w:pPr>
      <w:r w:rsidDel="00000000" w:rsidR="00000000" w:rsidRPr="00000000">
        <w:rPr>
          <w:color w:val="000000"/>
          <w:rtl w:val="0"/>
        </w:rPr>
        <w:t xml:space="preserve">No caso de adjudicação por preço global de grupo de itens, só será admitida a contratação de parte de itens do grupo se houver prévia pesquisa de mercado e demonstração de sua vantagem para o órgão ou a entidade.</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BE">
      <w:pPr>
        <w:tabs>
          <w:tab w:val="left" w:leader="none" w:pos="1462"/>
        </w:tabs>
        <w:spacing w:before="69" w:lineRule="auto"/>
        <w:ind w:left="751" w:right="700" w:firstLine="0"/>
        <w:rPr/>
      </w:pPr>
      <w:r w:rsidDel="00000000" w:rsidR="00000000" w:rsidRPr="00000000">
        <w:rPr>
          <w:rFonts w:ascii="Arial" w:cs="Arial" w:eastAsia="Arial" w:hAnsi="Arial"/>
          <w:sz w:val="20"/>
          <w:szCs w:val="20"/>
          <w:rtl w:val="0"/>
        </w:rPr>
        <w:tab/>
        <w:t xml:space="preserve">Para firmeza e validade do pactuado, a presente Ata foi lavrada em xx</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(xxxxxxx) vias de igual teor, que, depois de lida e achada em ordem, vai assinada pelas partes.</w:t>
      </w:r>
      <w:r w:rsidDel="00000000" w:rsidR="00000000" w:rsidRPr="00000000">
        <w:rPr>
          <w:rtl w:val="0"/>
        </w:rPr>
      </w:r>
    </w:p>
    <w:p w:rsidR="00000000" w:rsidDel="00000000" w:rsidP="00000000" w:rsidRDefault="00000000" w:rsidRPr="00000000" w14:paraId="000000BF">
      <w:pPr>
        <w:pStyle w:val="Heading1"/>
        <w:tabs>
          <w:tab w:val="left" w:leader="none" w:pos="1461"/>
          <w:tab w:val="left" w:leader="none" w:pos="1462"/>
        </w:tabs>
        <w:ind w:firstLine="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2976"/>
          <w:tab w:val="left" w:leader="none" w:pos="4504"/>
        </w:tabs>
        <w:ind w:left="1473" w:firstLine="0"/>
        <w:jc w:val="both"/>
        <w:rPr>
          <w:color w:val="000000"/>
        </w:rPr>
      </w:pPr>
      <w:r w:rsidDel="00000000" w:rsidR="00000000" w:rsidRPr="00000000">
        <w:rPr>
          <w:color w:val="000000"/>
          <w:rtl w:val="0"/>
        </w:rPr>
        <w:t xml:space="preserve">Niterói, RJ,</w:t>
      </w:r>
      <w:r w:rsidDel="00000000" w:rsidR="00000000" w:rsidRPr="00000000">
        <w:rPr>
          <w:color w:val="000000"/>
          <w:u w:val="single"/>
          <w:rtl w:val="0"/>
        </w:rPr>
        <w:tab/>
      </w:r>
      <w:r w:rsidDel="00000000" w:rsidR="00000000" w:rsidRPr="00000000">
        <w:rPr>
          <w:color w:val="000000"/>
          <w:rtl w:val="0"/>
        </w:rPr>
        <w:t xml:space="preserve">de</w:t>
      </w:r>
      <w:r w:rsidDel="00000000" w:rsidR="00000000" w:rsidRPr="00000000">
        <w:rPr>
          <w:color w:val="000000"/>
          <w:u w:val="single"/>
          <w:rtl w:val="0"/>
        </w:rPr>
        <w:tab/>
      </w:r>
      <w:r w:rsidDel="00000000" w:rsidR="00000000" w:rsidRPr="00000000">
        <w:rPr>
          <w:color w:val="000000"/>
          <w:rtl w:val="0"/>
        </w:rPr>
        <w:t xml:space="preserve">de 202x.</w:t>
      </w:r>
    </w:p>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color w:val="bebebe"/>
          <w:rtl w:val="0"/>
        </w:rPr>
        <w:t xml:space="preserve">DOCUMENTO ASSINADO ELETRONICAMENTE</w:t>
      </w:r>
      <w:r w:rsidDel="00000000" w:rsidR="00000000" w:rsidRPr="00000000">
        <w:rPr>
          <w:rtl w:val="0"/>
        </w:rPr>
      </w:r>
    </w:p>
    <w:p w:rsidR="00000000" w:rsidDel="00000000" w:rsidP="00000000" w:rsidRDefault="00000000" w:rsidRPr="00000000" w14:paraId="000000C6">
      <w:pPr>
        <w:pStyle w:val="Heading1"/>
        <w:spacing w:before="1" w:lineRule="auto"/>
        <w:ind w:left="3564" w:right="3553" w:firstLine="0"/>
        <w:jc w:val="center"/>
        <w:rPr/>
      </w:pPr>
      <w:r w:rsidDel="00000000" w:rsidR="00000000" w:rsidRPr="00000000">
        <w:rPr>
          <w:rtl w:val="0"/>
        </w:rPr>
        <w:t xml:space="preserve">VERA LÚCIA LAVRADO CUPELLO CAJAZEIRAS</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color w:val="000000"/>
          <w:rtl w:val="0"/>
        </w:rPr>
        <w:t xml:space="preserve">Pró-Reitora de Administração</w:t>
      </w:r>
    </w:p>
    <w:p w:rsidR="00000000" w:rsidDel="00000000" w:rsidP="00000000" w:rsidRDefault="00000000" w:rsidRPr="00000000" w14:paraId="000000C8">
      <w:pPr>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rtl w:val="0"/>
        </w:rPr>
      </w:r>
    </w:p>
    <w:p w:rsidR="00000000" w:rsidDel="00000000" w:rsidP="00000000" w:rsidRDefault="00000000" w:rsidRPr="00000000" w14:paraId="000000CA">
      <w:pPr>
        <w:spacing w:line="360" w:lineRule="auto"/>
        <w:ind w:right="-30"/>
        <w:jc w:val="center"/>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ANEXO</w:t>
      </w:r>
    </w:p>
    <w:p w:rsidR="00000000" w:rsidDel="00000000" w:rsidP="00000000" w:rsidRDefault="00000000" w:rsidRPr="00000000" w14:paraId="000000CB">
      <w:pPr>
        <w:spacing w:line="360" w:lineRule="auto"/>
        <w:ind w:right="-30"/>
        <w:jc w:val="center"/>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CADASTRO RESERVA</w:t>
      </w:r>
    </w:p>
    <w:p w:rsidR="00000000" w:rsidDel="00000000" w:rsidP="00000000" w:rsidRDefault="00000000" w:rsidRPr="00000000" w14:paraId="000000CC">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360" w:lineRule="auto"/>
        <w:ind w:right="-3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Seguindo a ordem de classificação, segue relação de fornecedores que aceitaram cotar os itens com preços iguais ao adjudicatário:</w:t>
      </w:r>
    </w:p>
    <w:p w:rsidR="00000000" w:rsidDel="00000000" w:rsidP="00000000" w:rsidRDefault="00000000" w:rsidRPr="00000000" w14:paraId="000000CE">
      <w:pPr>
        <w:spacing w:line="360" w:lineRule="auto"/>
        <w:ind w:right="-30"/>
        <w:jc w:val="center"/>
        <w:rPr>
          <w:rFonts w:ascii="Arial" w:cs="Arial" w:eastAsia="Arial" w:hAnsi="Arial"/>
          <w:color w:val="000000"/>
          <w:sz w:val="20"/>
          <w:szCs w:val="20"/>
        </w:rPr>
      </w:pPr>
      <w:r w:rsidDel="00000000" w:rsidR="00000000" w:rsidRPr="00000000">
        <w:rPr>
          <w:rtl w:val="0"/>
        </w:rPr>
      </w:r>
    </w:p>
    <w:tbl>
      <w:tblPr>
        <w:tblStyle w:val="Table2"/>
        <w:tblW w:w="9392.0" w:type="dxa"/>
        <w:jc w:val="left"/>
        <w:tblInd w:w="877.0" w:type="dxa"/>
        <w:tblLayout w:type="fixed"/>
        <w:tblLook w:val="0000"/>
      </w:tblPr>
      <w:tblGrid>
        <w:gridCol w:w="497"/>
        <w:gridCol w:w="1333"/>
        <w:gridCol w:w="1253"/>
        <w:gridCol w:w="1541"/>
        <w:gridCol w:w="1121"/>
        <w:gridCol w:w="1121"/>
        <w:gridCol w:w="841"/>
        <w:gridCol w:w="841"/>
        <w:gridCol w:w="844"/>
        <w:tblGridChange w:id="0">
          <w:tblGrid>
            <w:gridCol w:w="497"/>
            <w:gridCol w:w="1333"/>
            <w:gridCol w:w="1253"/>
            <w:gridCol w:w="1541"/>
            <w:gridCol w:w="1121"/>
            <w:gridCol w:w="1121"/>
            <w:gridCol w:w="841"/>
            <w:gridCol w:w="841"/>
            <w:gridCol w:w="844"/>
          </w:tblGrid>
        </w:tblGridChange>
      </w:tblGrid>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Item</w:t>
            </w:r>
          </w:p>
          <w:p w:rsidR="00000000" w:rsidDel="00000000" w:rsidP="00000000" w:rsidRDefault="00000000" w:rsidRPr="00000000" w14:paraId="000000D0">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w:t>
            </w:r>
          </w:p>
          <w:p w:rsidR="00000000" w:rsidDel="00000000" w:rsidP="00000000" w:rsidRDefault="00000000" w:rsidRPr="00000000" w14:paraId="000000D1">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Fornecedor </w:t>
            </w:r>
            <w:r w:rsidDel="00000000" w:rsidR="00000000" w:rsidRPr="00000000">
              <w:rPr>
                <w:rFonts w:ascii="Arial" w:cs="Arial" w:eastAsia="Arial" w:hAnsi="Arial"/>
                <w:i w:val="1"/>
                <w:color w:val="ff0000"/>
                <w:sz w:val="20"/>
                <w:szCs w:val="20"/>
                <w:rtl w:val="0"/>
              </w:rPr>
              <w:t xml:space="preserve">(razão social, CNPJ/MF, endereço, contatos, representante)</w:t>
            </w:r>
          </w:p>
          <w:p w:rsidR="00000000" w:rsidDel="00000000" w:rsidP="00000000" w:rsidRDefault="00000000" w:rsidRPr="00000000" w14:paraId="000000D3">
            <w:pPr>
              <w:spacing w:line="360" w:lineRule="auto"/>
              <w:ind w:right="-30"/>
              <w:jc w:val="center"/>
              <w:rPr>
                <w:rFonts w:ascii="Arial" w:cs="Arial" w:eastAsia="Arial" w:hAnsi="Arial"/>
                <w:sz w:val="20"/>
                <w:szCs w:val="20"/>
              </w:rPr>
            </w:pPr>
            <w:r w:rsidDel="00000000" w:rsidR="00000000" w:rsidRPr="00000000">
              <w:rPr>
                <w:rtl w:val="0"/>
              </w:rPr>
            </w:r>
          </w:p>
        </w:tc>
      </w:tr>
      <w:tr>
        <w:trPr>
          <w:cantSplit w:val="0"/>
          <w:trHeight w:val="674"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B">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C">
            <w:pPr>
              <w:spacing w:line="360" w:lineRule="auto"/>
              <w:ind w:right="-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Especificação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D">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 </w:t>
            </w:r>
          </w:p>
          <w:p w:rsidR="00000000" w:rsidDel="00000000" w:rsidP="00000000" w:rsidRDefault="00000000" w:rsidRPr="00000000" w14:paraId="000000DE">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exigida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F">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Modelo</w:t>
            </w:r>
          </w:p>
          <w:p w:rsidR="00000000" w:rsidDel="00000000" w:rsidP="00000000" w:rsidRDefault="00000000" w:rsidRPr="00000000" w14:paraId="000000E0">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exigido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1">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Unidade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2">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QuantidadeMáxima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3">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 Mínima</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4">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Valor Un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5">
            <w:pPr>
              <w:spacing w:line="360" w:lineRule="auto"/>
              <w:ind w:right="-30"/>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Prazo garantia ou validade</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6">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7">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8">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9">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A">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B">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C">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D">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E">
            <w:pPr>
              <w:spacing w:line="360" w:lineRule="auto"/>
              <w:ind w:right="-3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F">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0">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1">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2">
      <w:pPr>
        <w:spacing w:line="360" w:lineRule="auto"/>
        <w:ind w:right="-3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Seguindo a ordem de classificação, segue relação de fornecedores que mantiveram sua proposta original:</w:t>
      </w:r>
    </w:p>
    <w:p w:rsidR="00000000" w:rsidDel="00000000" w:rsidP="00000000" w:rsidRDefault="00000000" w:rsidRPr="00000000" w14:paraId="000000F3">
      <w:pPr>
        <w:spacing w:line="360" w:lineRule="auto"/>
        <w:ind w:right="-30"/>
        <w:jc w:val="center"/>
        <w:rPr>
          <w:rFonts w:ascii="Arial" w:cs="Arial" w:eastAsia="Arial" w:hAnsi="Arial"/>
          <w:color w:val="000000"/>
          <w:sz w:val="20"/>
          <w:szCs w:val="20"/>
        </w:rPr>
      </w:pPr>
      <w:r w:rsidDel="00000000" w:rsidR="00000000" w:rsidRPr="00000000">
        <w:rPr>
          <w:rtl w:val="0"/>
        </w:rPr>
      </w:r>
    </w:p>
    <w:tbl>
      <w:tblPr>
        <w:tblStyle w:val="Table3"/>
        <w:tblW w:w="9392.0" w:type="dxa"/>
        <w:jc w:val="left"/>
        <w:tblInd w:w="877.0" w:type="dxa"/>
        <w:tblLayout w:type="fixed"/>
        <w:tblLook w:val="0000"/>
      </w:tblPr>
      <w:tblGrid>
        <w:gridCol w:w="696"/>
        <w:gridCol w:w="1134"/>
        <w:gridCol w:w="1253"/>
        <w:gridCol w:w="1541"/>
        <w:gridCol w:w="1121"/>
        <w:gridCol w:w="1121"/>
        <w:gridCol w:w="841"/>
        <w:gridCol w:w="841"/>
        <w:gridCol w:w="844"/>
        <w:tblGridChange w:id="0">
          <w:tblGrid>
            <w:gridCol w:w="696"/>
            <w:gridCol w:w="1134"/>
            <w:gridCol w:w="1253"/>
            <w:gridCol w:w="1541"/>
            <w:gridCol w:w="1121"/>
            <w:gridCol w:w="1121"/>
            <w:gridCol w:w="841"/>
            <w:gridCol w:w="841"/>
            <w:gridCol w:w="844"/>
          </w:tblGrid>
        </w:tblGridChange>
      </w:tblGrid>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Item</w:t>
            </w:r>
          </w:p>
          <w:p w:rsidR="00000000" w:rsidDel="00000000" w:rsidP="00000000" w:rsidRDefault="00000000" w:rsidRPr="00000000" w14:paraId="000000F5">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w:t>
            </w:r>
          </w:p>
          <w:p w:rsidR="00000000" w:rsidDel="00000000" w:rsidP="00000000" w:rsidRDefault="00000000" w:rsidRPr="00000000" w14:paraId="000000F6">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Fornecedor </w:t>
            </w:r>
            <w:r w:rsidDel="00000000" w:rsidR="00000000" w:rsidRPr="00000000">
              <w:rPr>
                <w:rFonts w:ascii="Arial" w:cs="Arial" w:eastAsia="Arial" w:hAnsi="Arial"/>
                <w:i w:val="1"/>
                <w:color w:val="ff0000"/>
                <w:sz w:val="20"/>
                <w:szCs w:val="20"/>
                <w:rtl w:val="0"/>
              </w:rPr>
              <w:t xml:space="preserve">(razão social, CNPJ/MF, endereço, contatos, representante)</w:t>
            </w:r>
          </w:p>
          <w:p w:rsidR="00000000" w:rsidDel="00000000" w:rsidP="00000000" w:rsidRDefault="00000000" w:rsidRPr="00000000" w14:paraId="000000F8">
            <w:pPr>
              <w:spacing w:line="360" w:lineRule="auto"/>
              <w:ind w:right="-30"/>
              <w:jc w:val="center"/>
              <w:rPr>
                <w:rFonts w:ascii="Arial" w:cs="Arial" w:eastAsia="Arial" w:hAnsi="Arial"/>
                <w:sz w:val="20"/>
                <w:szCs w:val="20"/>
              </w:rPr>
            </w:pPr>
            <w:r w:rsidDel="00000000" w:rsidR="00000000" w:rsidRPr="00000000">
              <w:rPr>
                <w:rtl w:val="0"/>
              </w:rPr>
            </w:r>
          </w:p>
        </w:tc>
      </w:tr>
      <w:tr>
        <w:trPr>
          <w:cantSplit w:val="0"/>
          <w:trHeight w:val="674"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00">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1">
            <w:pPr>
              <w:spacing w:line="360" w:lineRule="auto"/>
              <w:ind w:right="-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Especificação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2">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 </w:t>
            </w:r>
          </w:p>
          <w:p w:rsidR="00000000" w:rsidDel="00000000" w:rsidP="00000000" w:rsidRDefault="00000000" w:rsidRPr="00000000" w14:paraId="00000103">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exigida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4">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Modelo</w:t>
            </w:r>
          </w:p>
          <w:p w:rsidR="00000000" w:rsidDel="00000000" w:rsidP="00000000" w:rsidRDefault="00000000" w:rsidRPr="00000000" w14:paraId="00000105">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exigido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6">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Unidade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7">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QuantidadeMáxima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8">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 Mínima</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9">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Valor Un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A">
            <w:pPr>
              <w:spacing w:line="360" w:lineRule="auto"/>
              <w:ind w:right="-30"/>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Prazo garantia ou validade</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B">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C">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D">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E">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F">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0">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1">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2">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3">
            <w:pPr>
              <w:spacing w:line="360" w:lineRule="auto"/>
              <w:ind w:right="-3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4">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rtl w:val="0"/>
        </w:rPr>
      </w:r>
    </w:p>
    <w:sectPr>
      <w:footerReference r:id="rId14" w:type="default"/>
      <w:type w:val="nextPage"/>
      <w:pgSz w:h="16840" w:w="11910" w:orient="portrait"/>
      <w:pgMar w:bottom="1040" w:top="600" w:left="380" w:right="340" w:header="0" w:footer="8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Câmara Nacional de Modelos de Licitações e Contratos da Consultoria-Geral da União</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Atualização: maio/2023</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Ata de Registro de Preços –  Lei nº 14.133, de 2021.</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Aprovado pela Secretaria de Gestão e Inovação.</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Identidade visual pela Secretaria de Gestão e Inovação</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5778500</wp:posOffset>
              </wp:positionH>
              <wp:positionV relativeFrom="paragraph">
                <wp:posOffset>9994900</wp:posOffset>
              </wp:positionV>
              <wp:extent cx="518160" cy="168910"/>
              <wp:effectExtent b="0" l="0" r="0" t="0"/>
              <wp:wrapNone/>
              <wp:docPr id="2115606145" name=""/>
              <a:graphic>
                <a:graphicData uri="http://schemas.microsoft.com/office/word/2010/wordprocessingShape">
                  <wps:wsp>
                    <wps:cNvSpPr/>
                    <wps:cNvPr id="2" name="Shape 2"/>
                    <wps:spPr>
                      <a:xfrm>
                        <a:off x="5096445" y="3705070"/>
                        <a:ext cx="499110" cy="149860"/>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Pág.  PAGE </w:t>
                          </w:r>
                          <w:r w:rsidDel="00000000" w:rsidR="00000000" w:rsidRPr="00000000">
                            <w:rPr>
                              <w:rFonts w:ascii="Calibri" w:cs="Calibri" w:eastAsia="Calibri" w:hAnsi="Calibri"/>
                              <w:b w:val="0"/>
                              <w:i w:val="0"/>
                              <w:smallCaps w:val="0"/>
                              <w:strike w:val="0"/>
                              <w:color w:val="000000"/>
                              <w:sz w:val="22"/>
                              <w:vertAlign w:val="baseline"/>
                            </w:rPr>
                            <w:t xml:space="preserve">2</w:t>
                          </w:r>
                          <w:r w:rsidDel="00000000" w:rsidR="00000000" w:rsidRPr="00000000">
                            <w:rPr>
                              <w:rFonts w:ascii="Verdana" w:cs="Verdana" w:eastAsia="Verdana" w:hAnsi="Verdana"/>
                              <w:b w:val="0"/>
                              <w:i w:val="0"/>
                              <w:smallCaps w:val="0"/>
                              <w:strike w:val="0"/>
                              <w:color w:val="000000"/>
                              <w:sz w:val="16"/>
                              <w:vertAlign w:val="baseline"/>
                            </w:rPr>
                            <w:t xml:space="preserve">/8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5778500</wp:posOffset>
              </wp:positionH>
              <wp:positionV relativeFrom="paragraph">
                <wp:posOffset>9994900</wp:posOffset>
              </wp:positionV>
              <wp:extent cx="518160" cy="168910"/>
              <wp:effectExtent b="0" l="0" r="0" t="0"/>
              <wp:wrapNone/>
              <wp:docPr id="211560614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18160" cy="1689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461" w:hanging="709.0000000000001"/>
      </w:pPr>
      <w:rPr>
        <w:rFonts w:ascii="Calibri" w:cs="Calibri" w:eastAsia="Calibri" w:hAnsi="Calibri"/>
        <w:b w:val="1"/>
        <w:sz w:val="22"/>
        <w:szCs w:val="22"/>
      </w:rPr>
    </w:lvl>
    <w:lvl w:ilvl="1">
      <w:start w:val="1"/>
      <w:numFmt w:val="decimal"/>
      <w:lvlText w:val="%1.%2."/>
      <w:lvlJc w:val="left"/>
      <w:pPr>
        <w:ind w:left="1461" w:hanging="709.0000000000001"/>
      </w:pPr>
      <w:rPr>
        <w:rFonts w:ascii="Calibri" w:cs="Calibri" w:eastAsia="Calibri" w:hAnsi="Calibri"/>
        <w:i w:val="0"/>
        <w:sz w:val="22"/>
        <w:szCs w:val="22"/>
      </w:rPr>
    </w:lvl>
    <w:lvl w:ilvl="2">
      <w:start w:val="1"/>
      <w:numFmt w:val="decimal"/>
      <w:lvlText w:val="%1.%2.%3."/>
      <w:lvlJc w:val="left"/>
      <w:pPr>
        <w:ind w:left="752" w:hanging="709"/>
      </w:pPr>
      <w:rPr/>
    </w:lvl>
    <w:lvl w:ilvl="3">
      <w:start w:val="0"/>
      <w:numFmt w:val="bullet"/>
      <w:lvlText w:val="•"/>
      <w:lvlJc w:val="left"/>
      <w:pPr>
        <w:ind w:left="3621" w:hanging="708"/>
      </w:pPr>
      <w:rPr/>
    </w:lvl>
    <w:lvl w:ilvl="4">
      <w:start w:val="0"/>
      <w:numFmt w:val="bullet"/>
      <w:lvlText w:val="•"/>
      <w:lvlJc w:val="left"/>
      <w:pPr>
        <w:ind w:left="4702" w:hanging="709.0000000000005"/>
      </w:pPr>
      <w:rPr/>
    </w:lvl>
    <w:lvl w:ilvl="5">
      <w:start w:val="0"/>
      <w:numFmt w:val="bullet"/>
      <w:lvlText w:val="•"/>
      <w:lvlJc w:val="left"/>
      <w:pPr>
        <w:ind w:left="5782" w:hanging="708"/>
      </w:pPr>
      <w:rPr/>
    </w:lvl>
    <w:lvl w:ilvl="6">
      <w:start w:val="0"/>
      <w:numFmt w:val="bullet"/>
      <w:lvlText w:val="•"/>
      <w:lvlJc w:val="left"/>
      <w:pPr>
        <w:ind w:left="6863" w:hanging="709"/>
      </w:pPr>
      <w:rPr/>
    </w:lvl>
    <w:lvl w:ilvl="7">
      <w:start w:val="0"/>
      <w:numFmt w:val="bullet"/>
      <w:lvlText w:val="•"/>
      <w:lvlJc w:val="left"/>
      <w:pPr>
        <w:ind w:left="7944" w:hanging="709"/>
      </w:pPr>
      <w:rPr/>
    </w:lvl>
    <w:lvl w:ilvl="8">
      <w:start w:val="0"/>
      <w:numFmt w:val="bullet"/>
      <w:lvlText w:val="•"/>
      <w:lvlJc w:val="left"/>
      <w:pPr>
        <w:ind w:left="9024" w:hanging="709"/>
      </w:pPr>
      <w:rPr/>
    </w:lvl>
  </w:abstractNum>
  <w:abstractNum w:abstractNumId="2">
    <w:lvl w:ilvl="0">
      <w:start w:val="1"/>
      <w:numFmt w:val="decimal"/>
      <w:lvlText w:val="%1"/>
      <w:lvlJc w:val="left"/>
      <w:pPr>
        <w:ind w:left="1313" w:hanging="844.9999999999999"/>
      </w:pPr>
      <w:rPr/>
    </w:lvl>
    <w:lvl w:ilvl="1">
      <w:start w:val="1"/>
      <w:numFmt w:val="decimal"/>
      <w:lvlText w:val="%1.%2."/>
      <w:lvlJc w:val="left"/>
      <w:pPr>
        <w:ind w:left="1313" w:hanging="844.9999999999999"/>
      </w:pPr>
      <w:rPr>
        <w:rFonts w:ascii="Calibri" w:cs="Calibri" w:eastAsia="Calibri" w:hAnsi="Calibri"/>
        <w:sz w:val="22"/>
        <w:szCs w:val="22"/>
      </w:rPr>
    </w:lvl>
    <w:lvl w:ilvl="2">
      <w:start w:val="2"/>
      <w:numFmt w:val="decimal"/>
      <w:lvlText w:val="%3."/>
      <w:lvlJc w:val="left"/>
      <w:pPr>
        <w:ind w:left="1462" w:hanging="846"/>
      </w:pPr>
      <w:rPr>
        <w:rFonts w:ascii="Calibri" w:cs="Calibri" w:eastAsia="Calibri" w:hAnsi="Calibri"/>
        <w:b w:val="1"/>
        <w:sz w:val="22"/>
        <w:szCs w:val="22"/>
      </w:rPr>
    </w:lvl>
    <w:lvl w:ilvl="3">
      <w:start w:val="1"/>
      <w:numFmt w:val="decimal"/>
      <w:lvlText w:val="%3.%4."/>
      <w:lvlJc w:val="left"/>
      <w:pPr>
        <w:ind w:left="1462" w:hanging="846"/>
      </w:pPr>
      <w:rPr>
        <w:rFonts w:ascii="Calibri" w:cs="Calibri" w:eastAsia="Calibri" w:hAnsi="Calibri"/>
        <w:sz w:val="22"/>
        <w:szCs w:val="22"/>
      </w:rPr>
    </w:lvl>
    <w:lvl w:ilvl="4">
      <w:start w:val="0"/>
      <w:numFmt w:val="bullet"/>
      <w:lvlText w:val="•"/>
      <w:lvlJc w:val="left"/>
      <w:pPr>
        <w:ind w:left="4573" w:hanging="845"/>
      </w:pPr>
      <w:rPr/>
    </w:lvl>
    <w:lvl w:ilvl="5">
      <w:start w:val="0"/>
      <w:numFmt w:val="bullet"/>
      <w:lvlText w:val="•"/>
      <w:lvlJc w:val="left"/>
      <w:pPr>
        <w:ind w:left="5611" w:hanging="846"/>
      </w:pPr>
      <w:rPr/>
    </w:lvl>
    <w:lvl w:ilvl="6">
      <w:start w:val="0"/>
      <w:numFmt w:val="bullet"/>
      <w:lvlText w:val="•"/>
      <w:lvlJc w:val="left"/>
      <w:pPr>
        <w:ind w:left="6648" w:hanging="846.0000000000009"/>
      </w:pPr>
      <w:rPr/>
    </w:lvl>
    <w:lvl w:ilvl="7">
      <w:start w:val="0"/>
      <w:numFmt w:val="bullet"/>
      <w:lvlText w:val="•"/>
      <w:lvlJc w:val="left"/>
      <w:pPr>
        <w:ind w:left="7686" w:hanging="846"/>
      </w:pPr>
      <w:rPr/>
    </w:lvl>
    <w:lvl w:ilvl="8">
      <w:start w:val="0"/>
      <w:numFmt w:val="bullet"/>
      <w:lvlText w:val="•"/>
      <w:lvlJc w:val="left"/>
      <w:pPr>
        <w:ind w:left="8724" w:hanging="846"/>
      </w:pPr>
      <w:rPr/>
    </w:lvl>
  </w:abstractNum>
  <w:abstractNum w:abstractNumId="3">
    <w:lvl w:ilvl="0">
      <w:start w:val="5"/>
      <w:numFmt w:val="decimal"/>
      <w:lvlText w:val="%1"/>
      <w:lvlJc w:val="left"/>
      <w:pPr>
        <w:ind w:left="612" w:hanging="612"/>
      </w:pPr>
      <w:rPr/>
    </w:lvl>
    <w:lvl w:ilvl="1">
      <w:start w:val="4"/>
      <w:numFmt w:val="decimal"/>
      <w:lvlText w:val="%1.%2"/>
      <w:lvlJc w:val="left"/>
      <w:pPr>
        <w:ind w:left="1561" w:hanging="612.0000000000001"/>
      </w:pPr>
      <w:rPr/>
    </w:lvl>
    <w:lvl w:ilvl="2">
      <w:start w:val="2"/>
      <w:numFmt w:val="decimal"/>
      <w:lvlText w:val="%1.%2.%3"/>
      <w:lvlJc w:val="left"/>
      <w:pPr>
        <w:ind w:left="2618" w:hanging="720"/>
      </w:pPr>
      <w:rPr/>
    </w:lvl>
    <w:lvl w:ilvl="3">
      <w:start w:val="2"/>
      <w:numFmt w:val="decimal"/>
      <w:lvlText w:val="%1.%2.%3.%4"/>
      <w:lvlJc w:val="left"/>
      <w:pPr>
        <w:ind w:left="3567" w:hanging="720"/>
      </w:pPr>
      <w:rPr/>
    </w:lvl>
    <w:lvl w:ilvl="4">
      <w:start w:val="1"/>
      <w:numFmt w:val="decimal"/>
      <w:lvlText w:val="%1.%2.%3.%4.%5"/>
      <w:lvlJc w:val="left"/>
      <w:pPr>
        <w:ind w:left="4876" w:hanging="1080"/>
      </w:pPr>
      <w:rPr/>
    </w:lvl>
    <w:lvl w:ilvl="5">
      <w:start w:val="1"/>
      <w:numFmt w:val="decimal"/>
      <w:lvlText w:val="%1.%2.%3.%4.%5.%6"/>
      <w:lvlJc w:val="left"/>
      <w:pPr>
        <w:ind w:left="5825" w:hanging="1080"/>
      </w:pPr>
      <w:rPr/>
    </w:lvl>
    <w:lvl w:ilvl="6">
      <w:start w:val="1"/>
      <w:numFmt w:val="decimal"/>
      <w:lvlText w:val="%1.%2.%3.%4.%5.%6.%7"/>
      <w:lvlJc w:val="left"/>
      <w:pPr>
        <w:ind w:left="7134" w:hanging="1440"/>
      </w:pPr>
      <w:rPr/>
    </w:lvl>
    <w:lvl w:ilvl="7">
      <w:start w:val="1"/>
      <w:numFmt w:val="decimal"/>
      <w:lvlText w:val="%1.%2.%3.%4.%5.%6.%7.%8"/>
      <w:lvlJc w:val="left"/>
      <w:pPr>
        <w:ind w:left="8083" w:hanging="1440"/>
      </w:pPr>
      <w:rPr/>
    </w:lvl>
    <w:lvl w:ilvl="8">
      <w:start w:val="1"/>
      <w:numFmt w:val="decimal"/>
      <w:lvlText w:val="%1.%2.%3.%4.%5.%6.%7.%8.%9"/>
      <w:lvlJc w:val="left"/>
      <w:pPr>
        <w:ind w:left="9392" w:hanging="1800"/>
      </w:pPr>
      <w:rPr/>
    </w:lvl>
  </w:abstractNum>
  <w:abstractNum w:abstractNumId="4">
    <w:lvl w:ilvl="0">
      <w:start w:val="9"/>
      <w:numFmt w:val="decimal"/>
      <w:lvlText w:val="%1"/>
      <w:lvlJc w:val="left"/>
      <w:pPr>
        <w:ind w:left="612" w:hanging="612"/>
      </w:pPr>
      <w:rPr/>
    </w:lvl>
    <w:lvl w:ilvl="1">
      <w:start w:val="1"/>
      <w:numFmt w:val="decimal"/>
      <w:lvlText w:val="%1.%2"/>
      <w:lvlJc w:val="left"/>
      <w:pPr>
        <w:ind w:left="1332" w:hanging="612.0000000000001"/>
      </w:pPr>
      <w:rPr/>
    </w:lvl>
    <w:lvl w:ilvl="2">
      <w:start w:val="4"/>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5">
    <w:lvl w:ilvl="0">
      <w:start w:val="6"/>
      <w:numFmt w:val="decimal"/>
      <w:lvlText w:val="%1"/>
      <w:lvlJc w:val="left"/>
      <w:pPr>
        <w:ind w:left="612" w:hanging="612"/>
      </w:pPr>
      <w:rPr/>
    </w:lvl>
    <w:lvl w:ilvl="1">
      <w:start w:val="1"/>
      <w:numFmt w:val="decimal"/>
      <w:lvlText w:val="%1.%2"/>
      <w:lvlJc w:val="left"/>
      <w:pPr>
        <w:ind w:left="1542" w:hanging="612.0000000000001"/>
      </w:pPr>
      <w:rPr/>
    </w:lvl>
    <w:lvl w:ilvl="2">
      <w:start w:val="3"/>
      <w:numFmt w:val="decimal"/>
      <w:lvlText w:val="%1.%2.%3"/>
      <w:lvlJc w:val="left"/>
      <w:pPr>
        <w:ind w:left="2580" w:hanging="720"/>
      </w:pPr>
      <w:rPr/>
    </w:lvl>
    <w:lvl w:ilvl="3">
      <w:start w:val="1"/>
      <w:numFmt w:val="decimal"/>
      <w:lvlText w:val="%1.%2.%3.%4"/>
      <w:lvlJc w:val="left"/>
      <w:pPr>
        <w:ind w:left="3510" w:hanging="720"/>
      </w:pPr>
      <w:rPr/>
    </w:lvl>
    <w:lvl w:ilvl="4">
      <w:start w:val="1"/>
      <w:numFmt w:val="decimal"/>
      <w:lvlText w:val="%1.%2.%3.%4.%5"/>
      <w:lvlJc w:val="left"/>
      <w:pPr>
        <w:ind w:left="4800" w:hanging="1080"/>
      </w:pPr>
      <w:rPr/>
    </w:lvl>
    <w:lvl w:ilvl="5">
      <w:start w:val="1"/>
      <w:numFmt w:val="decimal"/>
      <w:lvlText w:val="%1.%2.%3.%4.%5.%6"/>
      <w:lvlJc w:val="left"/>
      <w:pPr>
        <w:ind w:left="5730" w:hanging="1080"/>
      </w:pPr>
      <w:rPr/>
    </w:lvl>
    <w:lvl w:ilvl="6">
      <w:start w:val="1"/>
      <w:numFmt w:val="decimal"/>
      <w:lvlText w:val="%1.%2.%3.%4.%5.%6.%7"/>
      <w:lvlJc w:val="left"/>
      <w:pPr>
        <w:ind w:left="7020" w:hanging="1440"/>
      </w:pPr>
      <w:rPr/>
    </w:lvl>
    <w:lvl w:ilvl="7">
      <w:start w:val="1"/>
      <w:numFmt w:val="decimal"/>
      <w:lvlText w:val="%1.%2.%3.%4.%5.%6.%7.%8"/>
      <w:lvlJc w:val="left"/>
      <w:pPr>
        <w:ind w:left="7950" w:hanging="1440"/>
      </w:pPr>
      <w:rPr/>
    </w:lvl>
    <w:lvl w:ilvl="8">
      <w:start w:val="1"/>
      <w:numFmt w:val="decimal"/>
      <w:lvlText w:val="%1.%2.%3.%4.%5.%6.%7.%8.%9"/>
      <w:lvlJc w:val="left"/>
      <w:pPr>
        <w:ind w:left="888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61" w:hanging="71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uiPriority w:val="9"/>
    <w:qFormat w:val="1"/>
    <w:pPr>
      <w:ind w:left="1461" w:hanging="710"/>
      <w:outlineLvl w:val="0"/>
    </w:pPr>
    <w:rPr>
      <w:b w:val="1"/>
      <w:bCs w:val="1"/>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pPr>
      <w:ind w:left="752"/>
      <w:jc w:val="both"/>
    </w:pPr>
  </w:style>
  <w:style w:type="paragraph" w:styleId="PargrafodaLista">
    <w:name w:val="List Paragraph"/>
    <w:basedOn w:val="Normal"/>
    <w:uiPriority w:val="1"/>
    <w:qFormat w:val="1"/>
    <w:pPr>
      <w:spacing w:before="70"/>
      <w:ind w:left="752"/>
      <w:jc w:val="both"/>
    </w:pPr>
  </w:style>
  <w:style w:type="paragraph" w:styleId="TableParagraph" w:customStyle="1">
    <w:name w:val="Table Paragraph"/>
    <w:basedOn w:val="Normal"/>
    <w:uiPriority w:val="1"/>
    <w:qFormat w:val="1"/>
  </w:style>
  <w:style w:type="paragraph" w:styleId="Nivel01" w:customStyle="1">
    <w:name w:val="Nivel 01"/>
    <w:basedOn w:val="Ttulo1"/>
    <w:next w:val="Normal"/>
    <w:link w:val="Nivel01Char"/>
    <w:qFormat w:val="1"/>
    <w:rsid w:val="00D967C5"/>
    <w:pPr>
      <w:keepNext w:val="1"/>
      <w:keepLines w:val="1"/>
      <w:widowControl w:val="1"/>
      <w:tabs>
        <w:tab w:val="left" w:pos="567"/>
      </w:tabs>
      <w:spacing w:after="120" w:before="120" w:line="276" w:lineRule="auto"/>
      <w:ind w:left="0" w:firstLine="0"/>
      <w:jc w:val="both"/>
    </w:pPr>
    <w:rPr>
      <w:rFonts w:ascii="Arial" w:cs="Arial" w:hAnsi="Arial" w:eastAsiaTheme="majorEastAsia"/>
      <w:sz w:val="20"/>
      <w:szCs w:val="20"/>
      <w:lang w:val="pt-BR"/>
    </w:rPr>
  </w:style>
  <w:style w:type="character" w:styleId="Refdecomentrio">
    <w:name w:val="annotation reference"/>
    <w:basedOn w:val="Fontepargpadro"/>
    <w:semiHidden w:val="1"/>
    <w:unhideWhenUsed w:val="1"/>
    <w:rsid w:val="00D967C5"/>
    <w:rPr>
      <w:sz w:val="16"/>
      <w:szCs w:val="16"/>
    </w:rPr>
  </w:style>
  <w:style w:type="paragraph" w:styleId="Textodecomentrio">
    <w:name w:val="annotation text"/>
    <w:basedOn w:val="Normal"/>
    <w:link w:val="TextodecomentrioChar"/>
    <w:unhideWhenUsed w:val="1"/>
    <w:rsid w:val="00D967C5"/>
    <w:pPr>
      <w:widowControl w:val="1"/>
    </w:pPr>
    <w:rPr>
      <w:rFonts w:ascii="Ecofont_Spranq_eco_Sans" w:cs="Tahoma" w:eastAsia="Times New Roman" w:hAnsi="Ecofont_Spranq_eco_Sans"/>
      <w:sz w:val="20"/>
      <w:szCs w:val="20"/>
      <w:lang w:val="pt-BR"/>
    </w:rPr>
  </w:style>
  <w:style w:type="character" w:styleId="TextodecomentrioChar" w:customStyle="1">
    <w:name w:val="Texto de comentário Char"/>
    <w:basedOn w:val="Fontepargpadro"/>
    <w:link w:val="Textodecomentrio"/>
    <w:rsid w:val="00D967C5"/>
    <w:rPr>
      <w:rFonts w:ascii="Ecofont_Spranq_eco_Sans" w:cs="Tahoma" w:eastAsia="Times New Roman" w:hAnsi="Ecofont_Spranq_eco_Sans"/>
      <w:sz w:val="20"/>
      <w:szCs w:val="20"/>
      <w:lang w:eastAsia="pt-BR" w:val="pt-BR"/>
    </w:rPr>
  </w:style>
  <w:style w:type="paragraph" w:styleId="Nivel2" w:customStyle="1">
    <w:name w:val="Nivel 2"/>
    <w:basedOn w:val="Normal"/>
    <w:link w:val="Nivel2Char"/>
    <w:qFormat w:val="1"/>
    <w:rsid w:val="00D967C5"/>
    <w:pPr>
      <w:widowControl w:val="1"/>
      <w:adjustRightInd w:val="0"/>
      <w:spacing w:after="120" w:before="120" w:line="276" w:lineRule="auto"/>
      <w:jc w:val="both"/>
    </w:pPr>
    <w:rPr>
      <w:rFonts w:ascii="Arial" w:cs="Arial" w:eastAsia="Times New Roman" w:hAnsi="Arial"/>
      <w:sz w:val="20"/>
      <w:szCs w:val="20"/>
      <w:lang w:val="pt-BR"/>
    </w:rPr>
  </w:style>
  <w:style w:type="paragraph" w:styleId="Nvel2-Red" w:customStyle="1">
    <w:name w:val="Nível 2 -Red"/>
    <w:basedOn w:val="Nivel2"/>
    <w:link w:val="Nvel2-RedChar"/>
    <w:qFormat w:val="1"/>
    <w:rsid w:val="00D967C5"/>
    <w:rPr>
      <w:i w:val="1"/>
      <w:iCs w:val="1"/>
      <w:color w:val="ff0000"/>
    </w:rPr>
  </w:style>
  <w:style w:type="character" w:styleId="Nvel2-RedChar" w:customStyle="1">
    <w:name w:val="Nível 2 -Red Char"/>
    <w:basedOn w:val="Fontepargpadro"/>
    <w:link w:val="Nvel2-Red"/>
    <w:rsid w:val="00D967C5"/>
    <w:rPr>
      <w:rFonts w:ascii="Arial" w:cs="Arial" w:eastAsia="Times New Roman" w:hAnsi="Arial"/>
      <w:i w:val="1"/>
      <w:iCs w:val="1"/>
      <w:color w:val="ff0000"/>
      <w:sz w:val="20"/>
      <w:szCs w:val="20"/>
      <w:lang w:eastAsia="pt-BR" w:val="pt-BR"/>
    </w:rPr>
  </w:style>
  <w:style w:type="paragraph" w:styleId="Nvel3-R" w:customStyle="1">
    <w:name w:val="Nível 3-R"/>
    <w:basedOn w:val="Normal"/>
    <w:link w:val="Nvel3-RChar"/>
    <w:qFormat w:val="1"/>
    <w:rsid w:val="00D967C5"/>
    <w:pPr>
      <w:widowControl w:val="1"/>
      <w:spacing w:after="120" w:before="120" w:line="276" w:lineRule="auto"/>
      <w:ind w:left="2580" w:hanging="720"/>
      <w:jc w:val="both"/>
    </w:pPr>
    <w:rPr>
      <w:rFonts w:ascii="Arial" w:cs="Arial" w:hAnsi="Arial" w:eastAsiaTheme="minorEastAsia"/>
      <w:i w:val="1"/>
      <w:iCs w:val="1"/>
      <w:color w:val="ff0000"/>
      <w:sz w:val="20"/>
      <w:szCs w:val="20"/>
      <w:lang w:val="pt-BR"/>
    </w:rPr>
  </w:style>
  <w:style w:type="paragraph" w:styleId="Nvel4" w:customStyle="1">
    <w:name w:val="Nível 4"/>
    <w:basedOn w:val="Normal"/>
    <w:link w:val="Nvel4Char"/>
    <w:qFormat w:val="1"/>
    <w:rsid w:val="00D967C5"/>
    <w:pPr>
      <w:widowControl w:val="1"/>
      <w:spacing w:after="120" w:before="120" w:line="276" w:lineRule="auto"/>
      <w:ind w:left="567"/>
      <w:jc w:val="both"/>
    </w:pPr>
    <w:rPr>
      <w:rFonts w:ascii="Arial" w:cs="Arial" w:eastAsia="Times New Roman" w:hAnsi="Arial"/>
      <w:sz w:val="20"/>
      <w:szCs w:val="20"/>
      <w:lang w:val="pt-BR"/>
    </w:rPr>
  </w:style>
  <w:style w:type="character" w:styleId="Nvel3-RChar" w:customStyle="1">
    <w:name w:val="Nível 3-R Char"/>
    <w:basedOn w:val="Fontepargpadro"/>
    <w:link w:val="Nvel3-R"/>
    <w:rsid w:val="00D967C5"/>
    <w:rPr>
      <w:rFonts w:ascii="Arial" w:cs="Arial" w:hAnsi="Arial" w:eastAsiaTheme="minorEastAsia"/>
      <w:i w:val="1"/>
      <w:iCs w:val="1"/>
      <w:color w:val="ff0000"/>
      <w:sz w:val="20"/>
      <w:szCs w:val="20"/>
      <w:lang w:val="pt-BR"/>
    </w:rPr>
  </w:style>
  <w:style w:type="paragraph" w:styleId="SubTitNN" w:customStyle="1">
    <w:name w:val="SubTitNN"/>
    <w:basedOn w:val="Normal"/>
    <w:link w:val="SubTitNNChar"/>
    <w:qFormat w:val="1"/>
    <w:rsid w:val="009112FC"/>
    <w:pPr>
      <w:widowControl w:val="1"/>
      <w:spacing w:after="120" w:before="240" w:line="276" w:lineRule="auto"/>
      <w:jc w:val="both"/>
    </w:pPr>
    <w:rPr>
      <w:rFonts w:ascii="Arial" w:cs="Arial" w:eastAsia="Times New Roman" w:hAnsi="Arial"/>
      <w:b w:val="1"/>
      <w:bCs w:val="1"/>
      <w:iCs w:val="1"/>
      <w:sz w:val="20"/>
      <w:szCs w:val="20"/>
      <w:lang w:val="pt-BR"/>
    </w:rPr>
  </w:style>
  <w:style w:type="character" w:styleId="SubTitNNChar" w:customStyle="1">
    <w:name w:val="SubTitNN Char"/>
    <w:basedOn w:val="Fontepargpadro"/>
    <w:link w:val="SubTitNN"/>
    <w:rsid w:val="009112FC"/>
    <w:rPr>
      <w:rFonts w:ascii="Arial" w:cs="Arial" w:eastAsia="Times New Roman" w:hAnsi="Arial"/>
      <w:b w:val="1"/>
      <w:bCs w:val="1"/>
      <w:iCs w:val="1"/>
      <w:sz w:val="20"/>
      <w:szCs w:val="20"/>
      <w:lang w:eastAsia="pt-BR" w:val="pt-BR"/>
    </w:rPr>
  </w:style>
  <w:style w:type="character" w:styleId="Nivel01Char" w:customStyle="1">
    <w:name w:val="Nivel 01 Char"/>
    <w:basedOn w:val="Fontepargpadro"/>
    <w:link w:val="Nivel01"/>
    <w:rsid w:val="0048288D"/>
    <w:rPr>
      <w:rFonts w:ascii="Arial" w:cs="Arial" w:hAnsi="Arial" w:eastAsiaTheme="majorEastAsia"/>
      <w:b w:val="1"/>
      <w:bCs w:val="1"/>
      <w:sz w:val="20"/>
      <w:szCs w:val="20"/>
      <w:lang w:val="pt-BR"/>
    </w:rPr>
  </w:style>
  <w:style w:type="character" w:styleId="Nivel2Char" w:customStyle="1">
    <w:name w:val="Nivel 2 Char"/>
    <w:basedOn w:val="Fontepargpadro"/>
    <w:link w:val="Nivel2"/>
    <w:locked w:val="1"/>
    <w:rsid w:val="0048288D"/>
    <w:rPr>
      <w:rFonts w:ascii="Arial" w:cs="Arial" w:eastAsia="Times New Roman" w:hAnsi="Arial"/>
      <w:sz w:val="20"/>
      <w:szCs w:val="20"/>
      <w:lang w:val="pt-BR"/>
    </w:rPr>
  </w:style>
  <w:style w:type="paragraph" w:styleId="Nvel3" w:customStyle="1">
    <w:name w:val="Nível 3"/>
    <w:basedOn w:val="Nvel3-R"/>
    <w:link w:val="Nvel3Char"/>
    <w:qFormat w:val="1"/>
    <w:rsid w:val="0048288D"/>
    <w:pPr>
      <w:ind w:left="284" w:firstLine="0"/>
    </w:pPr>
    <w:rPr>
      <w:rFonts w:eastAsia="Times New Roman"/>
      <w:i w:val="0"/>
      <w:iCs w:val="0"/>
    </w:rPr>
  </w:style>
  <w:style w:type="character" w:styleId="Nvel3Char" w:customStyle="1">
    <w:name w:val="Nível 3 Char"/>
    <w:basedOn w:val="Nvel3-RChar"/>
    <w:link w:val="Nvel3"/>
    <w:rsid w:val="0048288D"/>
    <w:rPr>
      <w:rFonts w:ascii="Arial" w:cs="Arial" w:eastAsia="Times New Roman" w:hAnsi="Arial"/>
      <w:i w:val="0"/>
      <w:iCs w:val="0"/>
      <w:color w:val="ff0000"/>
      <w:sz w:val="20"/>
      <w:szCs w:val="20"/>
      <w:lang w:val="pt-BR"/>
    </w:rPr>
  </w:style>
  <w:style w:type="character" w:styleId="Nvel4Char" w:customStyle="1">
    <w:name w:val="Nível 4 Char"/>
    <w:basedOn w:val="Nvel3Char"/>
    <w:link w:val="Nvel4"/>
    <w:rsid w:val="00CF6112"/>
    <w:rPr>
      <w:rFonts w:ascii="Arial" w:cs="Arial" w:eastAsia="Times New Roman" w:hAnsi="Arial"/>
      <w:i w:val="0"/>
      <w:iCs w:val="0"/>
      <w:color w:val="ff0000"/>
      <w:sz w:val="20"/>
      <w:szCs w:val="20"/>
      <w:lang w:val="pt-BR"/>
    </w:rPr>
  </w:style>
  <w:style w:type="paragraph" w:styleId="Cabealho">
    <w:name w:val="header"/>
    <w:basedOn w:val="Normal"/>
    <w:link w:val="CabealhoChar"/>
    <w:uiPriority w:val="99"/>
    <w:unhideWhenUsed w:val="1"/>
    <w:rsid w:val="00DC364E"/>
    <w:pPr>
      <w:tabs>
        <w:tab w:val="center" w:pos="4252"/>
        <w:tab w:val="right" w:pos="8504"/>
      </w:tabs>
    </w:pPr>
  </w:style>
  <w:style w:type="character" w:styleId="CabealhoChar" w:customStyle="1">
    <w:name w:val="Cabeçalho Char"/>
    <w:basedOn w:val="Fontepargpadro"/>
    <w:link w:val="Cabealho"/>
    <w:uiPriority w:val="99"/>
    <w:rsid w:val="00DC364E"/>
    <w:rPr>
      <w:rFonts w:ascii="Calibri" w:cs="Calibri" w:eastAsia="Calibri" w:hAnsi="Calibri"/>
      <w:lang w:val="pt-PT"/>
    </w:rPr>
  </w:style>
  <w:style w:type="paragraph" w:styleId="Rodap">
    <w:name w:val="footer"/>
    <w:basedOn w:val="Normal"/>
    <w:link w:val="RodapChar"/>
    <w:uiPriority w:val="99"/>
    <w:unhideWhenUsed w:val="1"/>
    <w:rsid w:val="00DC364E"/>
    <w:pPr>
      <w:tabs>
        <w:tab w:val="center" w:pos="4252"/>
        <w:tab w:val="right" w:pos="8504"/>
      </w:tabs>
    </w:pPr>
  </w:style>
  <w:style w:type="character" w:styleId="RodapChar" w:customStyle="1">
    <w:name w:val="Rodapé Char"/>
    <w:basedOn w:val="Fontepargpadro"/>
    <w:link w:val="Rodap"/>
    <w:uiPriority w:val="99"/>
    <w:qFormat w:val="1"/>
    <w:rsid w:val="00DC364E"/>
    <w:rPr>
      <w:rFonts w:ascii="Calibri" w:cs="Calibri" w:eastAsia="Calibri" w:hAnsi="Calibri"/>
      <w:lang w:val="pt-PT"/>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Ind w:w="0.0" w:type="dxa"/>
      <w:tblCellMar>
        <w:top w:w="0.0" w:type="dxa"/>
        <w:left w:w="0.0" w:type="dxa"/>
        <w:bottom w:w="0.0" w:type="dxa"/>
        <w:right w:w="0.0" w:type="dxa"/>
      </w:tblCellMar>
    </w:tblPr>
  </w:style>
  <w:style w:type="table" w:styleId="a0" w:customStyle="1">
    <w:basedOn w:val="TableNormal0"/>
    <w:tblPr>
      <w:tblStyleRowBandSize w:val="1"/>
      <w:tblStyleColBandSize w:val="1"/>
      <w:tblInd w:w="0.0" w:type="dxa"/>
      <w:tblCellMar>
        <w:top w:w="0.0" w:type="dxa"/>
        <w:left w:w="115.0" w:type="dxa"/>
        <w:bottom w:w="0.0" w:type="dxa"/>
        <w:right w:w="115.0" w:type="dxa"/>
      </w:tblCellMar>
    </w:tblPr>
  </w:style>
  <w:style w:type="table" w:styleId="a1" w:customStyle="1">
    <w:basedOn w:val="TableNormal0"/>
    <w:tblPr>
      <w:tblStyleRowBandSize w:val="1"/>
      <w:tblStyleColBandSize w:val="1"/>
      <w:tblInd w:w="0.0" w:type="dxa"/>
      <w:tblCellMar>
        <w:top w:w="0.0" w:type="dxa"/>
        <w:left w:w="0.0" w:type="dxa"/>
        <w:bottom w:w="0.0" w:type="dxa"/>
        <w:right w:w="0.0" w:type="dxa"/>
      </w:tblCellMar>
    </w:tblPr>
  </w:style>
  <w:style w:type="table" w:styleId="a2" w:customStyle="1">
    <w:basedOn w:val="TableNormal0"/>
    <w:tblPr>
      <w:tblStyleRowBandSize w:val="1"/>
      <w:tblStyleColBandSize w:val="1"/>
      <w:tblInd w:w="0.0" w:type="dxa"/>
      <w:tblCellMar>
        <w:top w:w="0.0" w:type="dxa"/>
        <w:left w:w="0.0" w:type="dxa"/>
        <w:bottom w:w="0.0" w:type="dxa"/>
        <w:right w:w="0.0" w:type="dxa"/>
      </w:tblCellMar>
    </w:tblPr>
  </w:style>
  <w:style w:type="paragraph" w:styleId="Textodebalo">
    <w:name w:val="Balloon Text"/>
    <w:basedOn w:val="Normal"/>
    <w:link w:val="TextodebaloChar"/>
    <w:uiPriority w:val="99"/>
    <w:semiHidden w:val="1"/>
    <w:unhideWhenUsed w:val="1"/>
    <w:rsid w:val="00DB6823"/>
    <w:rPr>
      <w:rFonts w:ascii="Tahoma" w:cs="Tahoma" w:hAnsi="Tahoma"/>
      <w:sz w:val="16"/>
      <w:szCs w:val="16"/>
    </w:rPr>
  </w:style>
  <w:style w:type="character" w:styleId="TextodebaloChar" w:customStyle="1">
    <w:name w:val="Texto de balão Char"/>
    <w:basedOn w:val="Fontepargpadro"/>
    <w:link w:val="Textodebalo"/>
    <w:uiPriority w:val="99"/>
    <w:semiHidden w:val="1"/>
    <w:rsid w:val="00DB682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gbh6sapSzQW6bS5i2DrFiF61A==">CgMxLjAyCGguZ2pkZ3hzMglpZC5namRneHMyCmlkLjMwajB6bGwyCmlkLjFmb2I5dGUyCmlkLjN6bnlzaDcyCmlkLjJldDkycDAyCWlkLnR5amN3dDIKaWQuM2R5NnZrbTIKaWQuMXQzaDVzZjIKaWQuNGQzNG9nODIKaWQuMnM4ZXlvMTIKaWQuMTdkcDh2dTIKaWQuM3JkY3JqbjgAciExc2Z2V2wxRXU0em1RdnhXZ2c0QUxoR1BXVzh1cm1GbDA=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2023-07-10T16:33:00Z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2016</vt:lpwstr>
  </property>
  <property fmtid="{D5CDD505-2E9C-101B-9397-08002B2CF9AE}" pid="4" name="LastSaved">
    <vt:filetime>2023-04-24T00:00:00Z</vt:filetime>
  </property>
</Properties>
</file>