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CE4447">
              <w:rPr>
                <w:rFonts w:ascii="Verdana" w:eastAsia="Verdana" w:hAnsi="Verdana" w:cs="Verdana"/>
                <w:b/>
              </w:rPr>
              <w:t>59</w:t>
            </w:r>
            <w:r w:rsidR="005D4098">
              <w:rPr>
                <w:rFonts w:ascii="Verdana" w:eastAsia="Verdana" w:hAnsi="Verdana" w:cs="Verdana"/>
                <w:b/>
              </w:rPr>
              <w:t>/2023</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CE4447" w:rsidRPr="00CE4447">
              <w:rPr>
                <w:rFonts w:ascii="Verdana" w:eastAsia="Verdana" w:hAnsi="Verdana" w:cs="Verdana"/>
                <w:b/>
              </w:rPr>
              <w:t>23069.192339/2022-58</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7F4B00">
              <w:t xml:space="preserve"> </w:t>
            </w:r>
            <w:r w:rsidR="007F4B00" w:rsidRPr="007F4B00">
              <w:rPr>
                <w:color w:val="000000"/>
                <w:sz w:val="18"/>
                <w:szCs w:val="18"/>
              </w:rPr>
              <w:t>Decreto n° 7.174, de 2010</w:t>
            </w:r>
            <w:r w:rsidR="007F4B00">
              <w:rPr>
                <w:color w:val="000000"/>
                <w:sz w:val="18"/>
                <w:szCs w:val="18"/>
              </w:rPr>
              <w:t xml:space="preserve">, </w:t>
            </w:r>
            <w:r>
              <w:rPr>
                <w:color w:val="000000"/>
                <w:sz w:val="18"/>
                <w:szCs w:val="18"/>
              </w:rPr>
              <w:t xml:space="preserve">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CE4447">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00CE4447">
              <w:rPr>
                <w:b/>
                <w:color w:val="000000"/>
                <w:sz w:val="18"/>
                <w:szCs w:val="18"/>
              </w:rPr>
              <w:t>a</w:t>
            </w:r>
            <w:r w:rsidR="00CE4447" w:rsidRPr="00CE4447">
              <w:rPr>
                <w:b/>
                <w:color w:val="000000"/>
                <w:sz w:val="18"/>
                <w:szCs w:val="18"/>
              </w:rPr>
              <w:t xml:space="preserve">quisição de </w:t>
            </w:r>
            <w:r w:rsidR="00CE4447">
              <w:rPr>
                <w:b/>
                <w:color w:val="000000"/>
                <w:sz w:val="18"/>
                <w:szCs w:val="18"/>
              </w:rPr>
              <w:t>c</w:t>
            </w:r>
            <w:r w:rsidR="00CE4447" w:rsidRPr="00CE4447">
              <w:rPr>
                <w:b/>
                <w:color w:val="000000"/>
                <w:sz w:val="18"/>
                <w:szCs w:val="18"/>
              </w:rPr>
              <w:t>omponentes de computador e material permanente de informática e acessórios</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8C0021">
            <w:pPr>
              <w:jc w:val="both"/>
              <w:rPr>
                <w:color w:val="000000"/>
                <w:sz w:val="18"/>
                <w:szCs w:val="18"/>
              </w:rPr>
            </w:pPr>
            <w:r>
              <w:rPr>
                <w:sz w:val="18"/>
                <w:szCs w:val="18"/>
              </w:rPr>
              <w:t xml:space="preserve">Sessão Pública a ser realizada no endereço eletrônico informado no edital, às </w:t>
            </w:r>
            <w:r w:rsidR="00871B16">
              <w:rPr>
                <w:b/>
                <w:sz w:val="18"/>
                <w:szCs w:val="18"/>
              </w:rPr>
              <w:t>10:00h</w:t>
            </w:r>
            <w:r>
              <w:rPr>
                <w:sz w:val="18"/>
                <w:szCs w:val="18"/>
              </w:rPr>
              <w:t xml:space="preserve"> do dia </w:t>
            </w:r>
            <w:r w:rsidR="00051296">
              <w:rPr>
                <w:b/>
                <w:sz w:val="18"/>
                <w:szCs w:val="18"/>
              </w:rPr>
              <w:t>2</w:t>
            </w:r>
            <w:r w:rsidR="008C0021">
              <w:rPr>
                <w:b/>
                <w:sz w:val="18"/>
                <w:szCs w:val="18"/>
              </w:rPr>
              <w:t>4</w:t>
            </w:r>
            <w:bookmarkStart w:id="0" w:name="_GoBack"/>
            <w:bookmarkEnd w:id="0"/>
            <w:r w:rsidR="00785996">
              <w:rPr>
                <w:b/>
                <w:sz w:val="18"/>
                <w:szCs w:val="18"/>
              </w:rPr>
              <w:t>/</w:t>
            </w:r>
            <w:r w:rsidR="00051296">
              <w:rPr>
                <w:b/>
                <w:sz w:val="18"/>
                <w:szCs w:val="18"/>
              </w:rPr>
              <w:t>08</w:t>
            </w:r>
            <w:r w:rsidR="00785996">
              <w:rPr>
                <w:b/>
                <w:sz w:val="18"/>
                <w:szCs w:val="18"/>
              </w:rPr>
              <w:t>/20</w:t>
            </w:r>
            <w:r w:rsidR="00051296">
              <w:rPr>
                <w:b/>
                <w:sz w:val="18"/>
                <w:szCs w:val="18"/>
              </w:rPr>
              <w:t>2</w:t>
            </w:r>
            <w:r w:rsidR="00A35DC5">
              <w:rPr>
                <w:b/>
                <w:sz w:val="18"/>
                <w:szCs w:val="18"/>
              </w:rPr>
              <w:t>3</w:t>
            </w:r>
            <w:r>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3687E">
            <w:pPr>
              <w:jc w:val="both"/>
              <w:rPr>
                <w:b/>
                <w:color w:val="0000FF"/>
                <w:sz w:val="18"/>
                <w:szCs w:val="18"/>
                <w:u w:val="single"/>
              </w:rPr>
            </w:pPr>
            <w:hyperlink r:id="rId11">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67315F"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Fábio Medeiros de Souza</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Cabealh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5D409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 xml:space="preserve"> </w:t>
      </w:r>
      <w:r w:rsidR="008F7808"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CE4447">
        <w:rPr>
          <w:rFonts w:ascii="Verdana" w:eastAsia="Verdana" w:hAnsi="Verdana" w:cs="Verdana"/>
          <w:b/>
        </w:rPr>
        <w:t>59</w:t>
      </w:r>
      <w:r w:rsidR="005D4098">
        <w:rPr>
          <w:rFonts w:ascii="Verdana" w:eastAsia="Verdana" w:hAnsi="Verdana" w:cs="Verdana"/>
          <w:b/>
        </w:rPr>
        <w:t>/2023</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CE4447" w:rsidRPr="00CE4447">
        <w:rPr>
          <w:rFonts w:ascii="Verdana" w:eastAsia="Verdana" w:hAnsi="Verdana" w:cs="Verdana"/>
          <w:b/>
        </w:rPr>
        <w:t>23069.192339/2022-58</w:t>
      </w:r>
    </w:p>
    <w:p w:rsidR="00F26171" w:rsidRDefault="00F26171">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w:t>
      </w:r>
      <w:r w:rsidR="007F4B00" w:rsidRPr="007F4B00">
        <w:rPr>
          <w:color w:val="000000"/>
        </w:rPr>
        <w:t>Decreto n° 7.174, de 2010</w:t>
      </w:r>
      <w:r w:rsidR="007F4B00">
        <w:rPr>
          <w:color w:val="000000"/>
        </w:rPr>
        <w:t xml:space="preserve">, </w:t>
      </w:r>
      <w:r>
        <w:rPr>
          <w:color w:val="000000"/>
        </w:rPr>
        <w:t xml:space="preserve">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rsidP="00CE4447">
      <w:pPr>
        <w:numPr>
          <w:ilvl w:val="1"/>
          <w:numId w:val="7"/>
        </w:numPr>
        <w:spacing w:before="120" w:after="120" w:line="276" w:lineRule="auto"/>
        <w:jc w:val="both"/>
      </w:pPr>
      <w:r>
        <w:t xml:space="preserve">O objeto da presente licitação é a escolha da proposta mais vantajosa para a aquisição de </w:t>
      </w:r>
      <w:r w:rsidR="00CE4447" w:rsidRPr="00CE4447">
        <w:rPr>
          <w:b/>
        </w:rPr>
        <w:t>componentes de computador e material permanente de informática e acessórios</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lastRenderedPageBreak/>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3C75CE" w:rsidRDefault="003C75CE" w:rsidP="003C75CE">
      <w:pPr>
        <w:pStyle w:val="PargrafodaLista"/>
        <w:numPr>
          <w:ilvl w:val="2"/>
          <w:numId w:val="3"/>
        </w:numPr>
      </w:pPr>
      <w:r w:rsidRPr="003C75CE">
        <w:t>que cumpre os requisitos do Decreto n. 7.174, de 2010, estando apto a usufruir dos critérios de preferência.</w:t>
      </w:r>
    </w:p>
    <w:p w:rsidR="003C75CE" w:rsidRDefault="003C75CE" w:rsidP="003C75CE">
      <w:pPr>
        <w:pStyle w:val="PargrafodaLista"/>
        <w:ind w:left="930"/>
      </w:pPr>
    </w:p>
    <w:p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lastRenderedPageBreak/>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w:t>
      </w:r>
      <w:r>
        <w:lastRenderedPageBreak/>
        <w:t>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67280A" w:rsidRDefault="0067280A" w:rsidP="0067280A">
      <w:pPr>
        <w:numPr>
          <w:ilvl w:val="1"/>
          <w:numId w:val="3"/>
        </w:numPr>
        <w:spacing w:before="120" w:after="120" w:line="276" w:lineRule="auto"/>
        <w:jc w:val="both"/>
      </w:pPr>
      <w:r>
        <w:lastRenderedPageBreak/>
        <w:t>Para  a aquisição de bens comuns de informática e automação, definidos no art. 16-A da Lei n° 8.248, de 1991, será assegurado o direito de preferência previsto no seu artigo 3º, conforme procedimento estabelecido nos artigos 5° e 8° do Decreto n° 7.174, de 2010.</w:t>
      </w:r>
    </w:p>
    <w:p w:rsidR="0067280A" w:rsidRDefault="0067280A" w:rsidP="0067280A">
      <w:pPr>
        <w:numPr>
          <w:ilvl w:val="2"/>
          <w:numId w:val="3"/>
        </w:numPr>
        <w:spacing w:before="120" w:after="120" w:line="276" w:lineRule="auto"/>
        <w:jc w:val="both"/>
      </w:pPr>
      <w: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rsidR="00982408" w:rsidRDefault="00982408" w:rsidP="00AF7904">
      <w:pPr>
        <w:pBdr>
          <w:top w:val="nil"/>
          <w:left w:val="nil"/>
          <w:bottom w:val="nil"/>
          <w:right w:val="nil"/>
          <w:between w:val="nil"/>
        </w:pBdr>
        <w:spacing w:after="240"/>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lastRenderedPageBreak/>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 xml:space="preserve">prova de inexistência de débitos inadimplidos perante a justiça do trabalho, mediante a apresentação de certidão negativa ou positiva com efeito de negativa, nos termos do Título VII-A </w:t>
      </w:r>
      <w:r>
        <w:lastRenderedPageBreak/>
        <w:t>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lastRenderedPageBreak/>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7110A1" w:rsidRPr="007110A1" w:rsidRDefault="008F7808">
      <w:pPr>
        <w:numPr>
          <w:ilvl w:val="1"/>
          <w:numId w:val="3"/>
        </w:numPr>
        <w:spacing w:before="120" w:after="120" w:line="276" w:lineRule="auto"/>
        <w:jc w:val="both"/>
      </w:pPr>
      <w:r>
        <w:rPr>
          <w:b/>
        </w:rPr>
        <w:t xml:space="preserve">Qualificação Técnica </w:t>
      </w:r>
    </w:p>
    <w:p w:rsidR="007110A1" w:rsidRPr="007110A1" w:rsidRDefault="008F7808" w:rsidP="007110A1">
      <w:pPr>
        <w:numPr>
          <w:ilvl w:val="2"/>
          <w:numId w:val="3"/>
        </w:numPr>
        <w:spacing w:before="120" w:after="120" w:line="276" w:lineRule="auto"/>
        <w:jc w:val="both"/>
      </w:pPr>
      <w:r>
        <w:rPr>
          <w:b/>
        </w:rPr>
        <w:t xml:space="preserve"> </w:t>
      </w:r>
      <w:r w:rsidR="007110A1" w:rsidRPr="007110A1">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110A1" w:rsidRDefault="008F7808" w:rsidP="007110A1">
      <w:pPr>
        <w:numPr>
          <w:ilvl w:val="2"/>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7110A1" w:rsidRDefault="008F7808" w:rsidP="007110A1">
      <w:pPr>
        <w:numPr>
          <w:ilvl w:val="2"/>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Pr="007110A1" w:rsidRDefault="008F7808" w:rsidP="007110A1">
      <w:pPr>
        <w:numPr>
          <w:ilvl w:val="3"/>
          <w:numId w:val="3"/>
        </w:numPr>
        <w:spacing w:before="120" w:after="120" w:line="276" w:lineRule="auto"/>
        <w:jc w:val="both"/>
      </w:pPr>
      <w:r w:rsidRPr="007110A1">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lastRenderedPageBreak/>
        <w:t>de no mínimo 20 (vinte) minutos, para que qualquer licitante manifeste a intenção de recorrer, de forma</w:t>
      </w:r>
      <w:r>
        <w:t xml:space="preserve"> motivada, isto é, indicando contra qual(is)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lastRenderedPageBreak/>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lastRenderedPageBreak/>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lastRenderedPageBreak/>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lastRenderedPageBreak/>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lastRenderedPageBreak/>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r w:rsidR="007110A1">
        <w:rPr>
          <w:color w:val="000000"/>
        </w:rPr>
        <w:t xml:space="preserve"> de Quantidade e Preço Médio</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7110A1" w:rsidRDefault="007110A1">
      <w:pPr>
        <w:numPr>
          <w:ilvl w:val="2"/>
          <w:numId w:val="9"/>
        </w:numPr>
        <w:tabs>
          <w:tab w:val="left" w:pos="1440"/>
        </w:tabs>
        <w:spacing w:before="120" w:after="120" w:line="276" w:lineRule="auto"/>
        <w:ind w:left="1134" w:firstLine="0"/>
        <w:jc w:val="both"/>
        <w:rPr>
          <w:color w:val="000000"/>
        </w:rPr>
      </w:pPr>
      <w:r>
        <w:rPr>
          <w:color w:val="000000"/>
        </w:rPr>
        <w:t>ANEXO I-C – Cotação de Preço e Estimativa de Preço Médio</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CE4447">
        <w:rPr>
          <w:color w:val="000000"/>
        </w:rPr>
        <w:t>1º</w:t>
      </w:r>
      <w:r>
        <w:rPr>
          <w:color w:val="000000"/>
        </w:rPr>
        <w:t xml:space="preserve"> de </w:t>
      </w:r>
      <w:r w:rsidR="00CE4447">
        <w:rPr>
          <w:color w:val="000000"/>
        </w:rPr>
        <w:t>agosto</w:t>
      </w:r>
      <w:r w:rsidR="003D4367">
        <w:rPr>
          <w:color w:val="000000"/>
        </w:rPr>
        <w:t xml:space="preserve"> </w:t>
      </w:r>
      <w:r>
        <w:rPr>
          <w:color w:val="000000"/>
        </w:rPr>
        <w:t>de 20</w:t>
      </w:r>
      <w:r w:rsidR="003D4367">
        <w:rPr>
          <w:color w:val="000000"/>
        </w:rPr>
        <w:t>2</w:t>
      </w:r>
      <w:r w:rsidR="005D4098">
        <w:rPr>
          <w:color w:val="000000"/>
        </w:rPr>
        <w:t>3</w:t>
      </w:r>
    </w:p>
    <w:p w:rsidR="00982408" w:rsidRDefault="00982408">
      <w:pPr>
        <w:spacing w:before="240" w:after="240" w:line="276" w:lineRule="auto"/>
        <w:ind w:right="-15" w:firstLine="709"/>
        <w:jc w:val="both"/>
        <w:rPr>
          <w:color w:val="000000"/>
        </w:rPr>
      </w:pPr>
    </w:p>
    <w:p w:rsidR="002A68AC" w:rsidRDefault="002A68AC">
      <w:pPr>
        <w:spacing w:before="240" w:after="240" w:line="276" w:lineRule="auto"/>
        <w:ind w:right="-15" w:firstLine="709"/>
        <w:jc w:val="both"/>
        <w:rPr>
          <w:color w:val="000000"/>
        </w:rPr>
      </w:pPr>
    </w:p>
    <w:p w:rsidR="00982408" w:rsidRPr="003D4367" w:rsidRDefault="00243E2B">
      <w:pPr>
        <w:spacing w:before="240" w:after="240" w:line="276" w:lineRule="auto"/>
        <w:ind w:firstLine="709"/>
        <w:jc w:val="center"/>
        <w:rPr>
          <w:b/>
          <w:color w:val="000000"/>
        </w:rPr>
      </w:pPr>
      <w:r>
        <w:rPr>
          <w:b/>
          <w:color w:val="000000"/>
        </w:rPr>
        <w:t>João Gilberto T. Aranha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B6" w:rsidRDefault="005A1EB6">
      <w:r>
        <w:separator/>
      </w:r>
    </w:p>
  </w:endnote>
  <w:endnote w:type="continuationSeparator" w:id="0">
    <w:p w:rsidR="005A1EB6" w:rsidRDefault="005A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3687E">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83687E">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B6" w:rsidRDefault="005A1EB6">
      <w:r>
        <w:separator/>
      </w:r>
    </w:p>
  </w:footnote>
  <w:footnote w:type="continuationSeparator" w:id="0">
    <w:p w:rsidR="005A1EB6" w:rsidRDefault="005A1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CE4447" w:rsidRPr="00CE4447">
      <w:rPr>
        <w:rFonts w:ascii="Verdana" w:eastAsia="Verdana" w:hAnsi="Verdana" w:cs="Verdana"/>
        <w:color w:val="000000"/>
        <w:sz w:val="16"/>
        <w:szCs w:val="16"/>
      </w:rPr>
      <w:t>23069.192339/2022-58</w:t>
    </w:r>
    <w:r w:rsidRPr="00F54378">
      <w:rPr>
        <w:noProof/>
      </w:rPr>
      <w:drawing>
        <wp:anchor distT="0" distB="0" distL="114300" distR="114300" simplePos="0" relativeHeight="251658240" behindDoc="0" locked="0" layoutInCell="1" hidden="0" allowOverlap="1" wp14:anchorId="49E50601" wp14:editId="7224355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Cabealho3"/>
      <w:lvlText w:val="%1.%2.%3."/>
      <w:lvlJc w:val="left"/>
      <w:pPr>
        <w:ind w:left="930" w:hanging="504"/>
      </w:pPr>
      <w:rPr>
        <w:b w:val="0"/>
        <w:i w:val="0"/>
        <w:color w:val="000000"/>
      </w:rPr>
    </w:lvl>
    <w:lvl w:ilvl="3">
      <w:start w:val="1"/>
      <w:numFmt w:val="decimal"/>
      <w:pStyle w:val="Cabealho4"/>
      <w:lvlText w:val="%1.%2.%3.%4."/>
      <w:lvlJc w:val="left"/>
      <w:pPr>
        <w:ind w:left="2491" w:hanging="648"/>
      </w:pPr>
    </w:lvl>
    <w:lvl w:ilvl="4">
      <w:start w:val="1"/>
      <w:numFmt w:val="decimal"/>
      <w:pStyle w:val="Cabealho5"/>
      <w:lvlText w:val="%1.%2.%3.%4.%5."/>
      <w:lvlJc w:val="left"/>
      <w:pPr>
        <w:ind w:left="2232" w:hanging="792"/>
      </w:pPr>
    </w:lvl>
    <w:lvl w:ilvl="5">
      <w:start w:val="1"/>
      <w:numFmt w:val="decimal"/>
      <w:pStyle w:val="Cabealho6"/>
      <w:lvlText w:val="%1.%2.%3.%4.%5.%6."/>
      <w:lvlJc w:val="left"/>
      <w:pPr>
        <w:ind w:left="2736" w:hanging="935"/>
      </w:pPr>
    </w:lvl>
    <w:lvl w:ilvl="6">
      <w:start w:val="1"/>
      <w:numFmt w:val="decimal"/>
      <w:pStyle w:val="Cabealho7"/>
      <w:lvlText w:val="%1.%2.%3.%4.%5.%6.%7."/>
      <w:lvlJc w:val="left"/>
      <w:pPr>
        <w:ind w:left="3240" w:hanging="1080"/>
      </w:pPr>
    </w:lvl>
    <w:lvl w:ilvl="7">
      <w:start w:val="1"/>
      <w:numFmt w:val="decimal"/>
      <w:pStyle w:val="Cabealho8"/>
      <w:lvlText w:val="%1.%2.%3.%4.%5.%6.%7.%8."/>
      <w:lvlJc w:val="left"/>
      <w:pPr>
        <w:ind w:left="3744" w:hanging="1224"/>
      </w:pPr>
    </w:lvl>
    <w:lvl w:ilvl="8">
      <w:start w:val="1"/>
      <w:numFmt w:val="decimal"/>
      <w:pStyle w:val="Cabealho9"/>
      <w:lvlText w:val="%1.%2.%3.%4.%5.%6.%7.%8.%9."/>
      <w:lvlJc w:val="left"/>
      <w:pPr>
        <w:ind w:left="4320" w:hanging="1440"/>
      </w:pPr>
    </w:lvl>
  </w:abstractNum>
  <w:abstractNum w:abstractNumId="3">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nsid w:val="57F231D0"/>
    <w:multiLevelType w:val="multilevel"/>
    <w:tmpl w:val="614E66A8"/>
    <w:lvl w:ilvl="0">
      <w:start w:val="20"/>
      <w:numFmt w:val="decimal"/>
      <w:pStyle w:val="Listacommarca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506B8"/>
    <w:rsid w:val="00051296"/>
    <w:rsid w:val="0007775C"/>
    <w:rsid w:val="000A5A4C"/>
    <w:rsid w:val="001004B7"/>
    <w:rsid w:val="00125EEC"/>
    <w:rsid w:val="001D1FD9"/>
    <w:rsid w:val="001D75D4"/>
    <w:rsid w:val="00227682"/>
    <w:rsid w:val="00243E2B"/>
    <w:rsid w:val="00244DBF"/>
    <w:rsid w:val="002A68AC"/>
    <w:rsid w:val="002C3451"/>
    <w:rsid w:val="00311143"/>
    <w:rsid w:val="00345252"/>
    <w:rsid w:val="00365BD5"/>
    <w:rsid w:val="00367033"/>
    <w:rsid w:val="003875D7"/>
    <w:rsid w:val="003C75CE"/>
    <w:rsid w:val="003D4367"/>
    <w:rsid w:val="003D626B"/>
    <w:rsid w:val="00464D28"/>
    <w:rsid w:val="004774F5"/>
    <w:rsid w:val="004867F6"/>
    <w:rsid w:val="00490C39"/>
    <w:rsid w:val="004B3C14"/>
    <w:rsid w:val="0058650D"/>
    <w:rsid w:val="005A1EB6"/>
    <w:rsid w:val="005D4098"/>
    <w:rsid w:val="0063077E"/>
    <w:rsid w:val="00632363"/>
    <w:rsid w:val="00653A9F"/>
    <w:rsid w:val="0067280A"/>
    <w:rsid w:val="0067315F"/>
    <w:rsid w:val="007110A1"/>
    <w:rsid w:val="00730E5C"/>
    <w:rsid w:val="00751CD2"/>
    <w:rsid w:val="00773D16"/>
    <w:rsid w:val="00785996"/>
    <w:rsid w:val="00792D55"/>
    <w:rsid w:val="007A7333"/>
    <w:rsid w:val="007F4B00"/>
    <w:rsid w:val="00813C41"/>
    <w:rsid w:val="0083687E"/>
    <w:rsid w:val="00871B16"/>
    <w:rsid w:val="00896076"/>
    <w:rsid w:val="008C0021"/>
    <w:rsid w:val="008C3D94"/>
    <w:rsid w:val="008D624E"/>
    <w:rsid w:val="008F7808"/>
    <w:rsid w:val="0090178A"/>
    <w:rsid w:val="00982408"/>
    <w:rsid w:val="009F19C9"/>
    <w:rsid w:val="00A12EAF"/>
    <w:rsid w:val="00A35DC5"/>
    <w:rsid w:val="00AF7904"/>
    <w:rsid w:val="00B059B4"/>
    <w:rsid w:val="00B917AF"/>
    <w:rsid w:val="00BA1C0C"/>
    <w:rsid w:val="00BA3644"/>
    <w:rsid w:val="00BB51D6"/>
    <w:rsid w:val="00BD7F62"/>
    <w:rsid w:val="00C65179"/>
    <w:rsid w:val="00CA0D09"/>
    <w:rsid w:val="00CB0CB5"/>
    <w:rsid w:val="00CC4F8B"/>
    <w:rsid w:val="00CD3551"/>
    <w:rsid w:val="00CE4447"/>
    <w:rsid w:val="00D569C7"/>
    <w:rsid w:val="00D808EA"/>
    <w:rsid w:val="00DA0655"/>
    <w:rsid w:val="00DC5C3D"/>
    <w:rsid w:val="00DE303F"/>
    <w:rsid w:val="00DE43F3"/>
    <w:rsid w:val="00E212EF"/>
    <w:rsid w:val="00E83AEF"/>
    <w:rsid w:val="00E9504C"/>
    <w:rsid w:val="00F01A2A"/>
    <w:rsid w:val="00F26171"/>
    <w:rsid w:val="00F5351E"/>
    <w:rsid w:val="00F54378"/>
    <w:rsid w:val="00F608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arcter"/>
    <w:pPr>
      <w:keepNext/>
      <w:spacing w:before="60" w:after="120"/>
      <w:jc w:val="center"/>
    </w:pPr>
    <w:rPr>
      <w:rFonts w:ascii="Liberation Sans" w:eastAsia="Liberation Sans" w:hAnsi="Liberation Sans" w:cs="Liberation Sans"/>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9466</Words>
  <Characters>51118</Characters>
  <Application>Microsoft Office Word</Application>
  <DocSecurity>0</DocSecurity>
  <Lines>425</Lines>
  <Paragraphs>120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usuario</cp:lastModifiedBy>
  <cp:revision>14</cp:revision>
  <cp:lastPrinted>2023-08-01T12:07:00Z</cp:lastPrinted>
  <dcterms:created xsi:type="dcterms:W3CDTF">2023-08-01T11:58:00Z</dcterms:created>
  <dcterms:modified xsi:type="dcterms:W3CDTF">2023-08-09T17:41:00Z</dcterms:modified>
</cp:coreProperties>
</file>