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37EE5941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B46EB9">
        <w:rPr>
          <w:rFonts w:ascii="TTE431A0A0t00" w:hAnsi="TTE431A0A0t00" w:cs="TTE431A0A0t00"/>
          <w:b/>
          <w:color w:val="FF0000"/>
          <w:sz w:val="28"/>
          <w:szCs w:val="28"/>
        </w:rPr>
        <w:t>70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93F25">
        <w:rPr>
          <w:rFonts w:ascii="TTE431A0A0t00" w:hAnsi="TTE431A0A0t00" w:cs="TTE431A0A0t00"/>
          <w:b/>
          <w:color w:val="FF0000"/>
          <w:sz w:val="28"/>
          <w:szCs w:val="28"/>
        </w:rPr>
        <w:t>3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AE2C" w14:textId="77777777" w:rsidR="00D30C27" w:rsidRDefault="00D30C27">
      <w:r>
        <w:separator/>
      </w:r>
    </w:p>
  </w:endnote>
  <w:endnote w:type="continuationSeparator" w:id="0">
    <w:p w14:paraId="64BEB7D5" w14:textId="77777777" w:rsidR="00D30C27" w:rsidRDefault="00D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EEC7" w14:textId="77777777" w:rsidR="00D30C27" w:rsidRDefault="00D30C27">
      <w:r>
        <w:separator/>
      </w:r>
    </w:p>
  </w:footnote>
  <w:footnote w:type="continuationSeparator" w:id="0">
    <w:p w14:paraId="1C7C5EFB" w14:textId="77777777" w:rsidR="00D30C27" w:rsidRDefault="00D3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5C7" w14:textId="37A7155C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1A3A3C" w:rsidRPr="001A3A3C">
      <w:rPr>
        <w:rFonts w:ascii="Verdana" w:hAnsi="Verdana"/>
        <w:sz w:val="18"/>
        <w:szCs w:val="18"/>
      </w:rPr>
      <w:t>23069.169346/2023-37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A3A3C"/>
    <w:rsid w:val="001C198F"/>
    <w:rsid w:val="001D7F90"/>
    <w:rsid w:val="001E1F01"/>
    <w:rsid w:val="001E46EA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3F25"/>
    <w:rsid w:val="005E16A2"/>
    <w:rsid w:val="005F5B01"/>
    <w:rsid w:val="00606497"/>
    <w:rsid w:val="00625964"/>
    <w:rsid w:val="00633EE8"/>
    <w:rsid w:val="006765BD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21896"/>
    <w:rsid w:val="0083073C"/>
    <w:rsid w:val="008A7E9B"/>
    <w:rsid w:val="008A7FC6"/>
    <w:rsid w:val="008B1EB9"/>
    <w:rsid w:val="008D267C"/>
    <w:rsid w:val="008F5ED0"/>
    <w:rsid w:val="00910C62"/>
    <w:rsid w:val="0091175F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25DAE"/>
    <w:rsid w:val="00A32286"/>
    <w:rsid w:val="00A4192B"/>
    <w:rsid w:val="00AA04E4"/>
    <w:rsid w:val="00AB3077"/>
    <w:rsid w:val="00AB50AB"/>
    <w:rsid w:val="00AF5572"/>
    <w:rsid w:val="00B019FB"/>
    <w:rsid w:val="00B031C6"/>
    <w:rsid w:val="00B10BBC"/>
    <w:rsid w:val="00B10DC9"/>
    <w:rsid w:val="00B16466"/>
    <w:rsid w:val="00B32EFF"/>
    <w:rsid w:val="00B406B6"/>
    <w:rsid w:val="00B46EB9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30C27"/>
    <w:rsid w:val="00D450F8"/>
    <w:rsid w:val="00D604FB"/>
    <w:rsid w:val="00D7104C"/>
    <w:rsid w:val="00D821AC"/>
    <w:rsid w:val="00DB1AFE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 3</dc:creator>
  <cp:lastModifiedBy>Juliana Borsoi</cp:lastModifiedBy>
  <cp:revision>4</cp:revision>
  <cp:lastPrinted>2023-08-08T21:51:00Z</cp:lastPrinted>
  <dcterms:created xsi:type="dcterms:W3CDTF">2023-07-02T02:22:00Z</dcterms:created>
  <dcterms:modified xsi:type="dcterms:W3CDTF">2023-08-08T21:51:00Z</dcterms:modified>
</cp:coreProperties>
</file>