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073BFE7B"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10E6BC62" w:rsidR="00DD5D63" w:rsidRPr="00F60A70" w:rsidRDefault="005913FE" w:rsidP="003C2ACF">
      <w:pPr>
        <w:pStyle w:val="PargrafodaLista"/>
        <w:tabs>
          <w:tab w:val="left" w:pos="426"/>
        </w:tabs>
        <w:spacing w:line="276" w:lineRule="auto"/>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w:t>
      </w:r>
      <w:r w:rsidR="00D75A6A">
        <w:rPr>
          <w:rFonts w:asciiTheme="minorHAnsi" w:eastAsia="Arial Unicode MS" w:hAnsiTheme="minorHAnsi" w:cstheme="minorHAnsi"/>
          <w:b/>
          <w:sz w:val="22"/>
          <w:szCs w:val="22"/>
        </w:rPr>
        <w:t>SEM CESSÃO DE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 xml:space="preserve">MÃO DE OBRA PARA SERVIÇOS </w:t>
      </w:r>
      <w:r w:rsidR="00D75A6A">
        <w:rPr>
          <w:rFonts w:asciiTheme="minorHAnsi" w:eastAsia="Arial Unicode MS" w:hAnsiTheme="minorHAnsi" w:cstheme="minorHAnsi"/>
          <w:b/>
          <w:sz w:val="22"/>
          <w:szCs w:val="22"/>
        </w:rPr>
        <w:t xml:space="preserve">NÃO </w:t>
      </w:r>
      <w:r w:rsidR="00DD5D63" w:rsidRPr="00F60A70">
        <w:rPr>
          <w:rFonts w:asciiTheme="minorHAnsi" w:eastAsia="Arial Unicode MS" w:hAnsiTheme="minorHAnsi" w:cstheme="minorHAnsi"/>
          <w:b/>
          <w:sz w:val="22"/>
          <w:szCs w:val="22"/>
        </w:rPr>
        <w:t>CONTINUADOS DE NA UNIVERSIDADE FEDERAL FLUMINENSE</w:t>
      </w:r>
    </w:p>
    <w:p w14:paraId="12E9BD6F" w14:textId="77777777" w:rsidR="00DD5D63" w:rsidRPr="00F60A70" w:rsidRDefault="00DD5D63" w:rsidP="003C2ACF">
      <w:pPr>
        <w:pStyle w:val="PargrafodaLista"/>
        <w:tabs>
          <w:tab w:val="left" w:pos="426"/>
        </w:tabs>
        <w:spacing w:line="276" w:lineRule="auto"/>
        <w:ind w:left="0"/>
        <w:jc w:val="both"/>
        <w:rPr>
          <w:rFonts w:asciiTheme="minorHAnsi" w:eastAsia="Arial Unicode MS" w:hAnsiTheme="minorHAnsi" w:cstheme="minorHAnsi"/>
          <w:sz w:val="22"/>
          <w:szCs w:val="22"/>
        </w:rPr>
      </w:pPr>
    </w:p>
    <w:p w14:paraId="2C14F463" w14:textId="77777777" w:rsidR="00DD5D63" w:rsidRPr="003C2ACF" w:rsidRDefault="00DD5D63" w:rsidP="003C2ACF">
      <w:pPr>
        <w:pStyle w:val="PargrafodaLista"/>
        <w:numPr>
          <w:ilvl w:val="0"/>
          <w:numId w:val="3"/>
        </w:numPr>
        <w:tabs>
          <w:tab w:val="left" w:pos="426"/>
        </w:tabs>
        <w:spacing w:line="276" w:lineRule="auto"/>
        <w:jc w:val="both"/>
        <w:rPr>
          <w:rFonts w:asciiTheme="minorHAnsi" w:eastAsia="Arial Unicode MS" w:hAnsiTheme="minorHAnsi" w:cstheme="minorHAnsi"/>
          <w:b/>
          <w:sz w:val="22"/>
          <w:szCs w:val="22"/>
        </w:rPr>
      </w:pPr>
      <w:r w:rsidRPr="003C2ACF">
        <w:rPr>
          <w:rFonts w:asciiTheme="minorHAnsi" w:eastAsia="Arial Unicode MS" w:hAnsiTheme="minorHAnsi" w:cstheme="minorHAnsi"/>
          <w:b/>
          <w:sz w:val="22"/>
          <w:szCs w:val="22"/>
        </w:rPr>
        <w:t>INTRODUÇÃO</w:t>
      </w:r>
    </w:p>
    <w:p w14:paraId="009617C2" w14:textId="77777777" w:rsidR="00C6037F" w:rsidRPr="003C2ACF" w:rsidRDefault="00C6037F" w:rsidP="003C2ACF">
      <w:pPr>
        <w:pStyle w:val="PargrafodaLista"/>
        <w:tabs>
          <w:tab w:val="left" w:pos="0"/>
        </w:tabs>
        <w:spacing w:line="276" w:lineRule="auto"/>
        <w:ind w:left="426"/>
        <w:jc w:val="both"/>
        <w:rPr>
          <w:rFonts w:asciiTheme="minorHAnsi" w:eastAsia="Arial Unicode MS" w:hAnsiTheme="minorHAnsi" w:cstheme="minorHAnsi"/>
          <w:sz w:val="22"/>
          <w:szCs w:val="22"/>
        </w:rPr>
      </w:pPr>
    </w:p>
    <w:p w14:paraId="3997AA2B" w14:textId="77777777" w:rsid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O IMR é, conforme Instrução Normativa nº 05 de 2017, o “mecanismo que define, em bases compreensíveis, tangíveis, objetivamente observáveis e comprováveis, os níveis esperados de qualidade da prestação do serviço e respectivas adequações de pagamento” para os serviços prestados.</w:t>
      </w:r>
    </w:p>
    <w:p w14:paraId="124AC8C5" w14:textId="77777777" w:rsidR="003C2ACF" w:rsidRP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b/>
          <w:bCs/>
          <w:sz w:val="22"/>
          <w:szCs w:val="22"/>
          <w:lang w:eastAsia="en-US"/>
        </w:rPr>
      </w:pPr>
      <w:r w:rsidRPr="003C2ACF">
        <w:rPr>
          <w:rFonts w:asciiTheme="minorHAnsi" w:eastAsiaTheme="minorHAnsi" w:hAnsiTheme="minorHAnsi" w:cstheme="minorHAnsi"/>
          <w:sz w:val="22"/>
          <w:szCs w:val="22"/>
          <w:lang w:eastAsia="en-US"/>
        </w:rPr>
        <w:t xml:space="preserve">A Fiscalização Técnica medirá a eficiência da execução contratual em função de indicadores referenciais descritos a seguir como atividades críticas do contrato, que são critérios objetivos e mensuráveis estabelecidos com a finalidade de aferir e avaliar diversos fatores relacionados com os serviços contratados, quais sejam: qualidade, desempenho e disponibilidade de uso. </w:t>
      </w:r>
    </w:p>
    <w:p w14:paraId="6A91FF30" w14:textId="77777777" w:rsidR="003C2ACF" w:rsidRP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Para mensurar esses fatores serão utilizados indicadores relacionados com a natureza e características dos itens contratados, para os quais foi estabelecida meta quantificável a ser cumprida pela CONTRATADA. Esses indicadores são expressos em unidades de medida exata e claramente mensuráveis visando o </w:t>
      </w:r>
      <w:r w:rsidRPr="003C2ACF">
        <w:rPr>
          <w:rFonts w:asciiTheme="minorHAnsi" w:eastAsiaTheme="minorHAnsi" w:hAnsiTheme="minorHAnsi" w:cstheme="minorHAnsi"/>
          <w:b/>
          <w:bCs/>
          <w:sz w:val="22"/>
          <w:szCs w:val="22"/>
          <w:lang w:eastAsia="en-US"/>
        </w:rPr>
        <w:t>Cumprimento de Metas Técnicas Contratuais.</w:t>
      </w:r>
    </w:p>
    <w:p w14:paraId="3E0D649C" w14:textId="77777777" w:rsid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b/>
          <w:bCs/>
          <w:sz w:val="22"/>
          <w:szCs w:val="22"/>
          <w:lang w:eastAsia="en-US"/>
        </w:rPr>
        <w:t>A aferição e avaliação dos indicadores serão feitas a cada medição/faturamento</w:t>
      </w:r>
      <w:r w:rsidRPr="003C2ACF">
        <w:rPr>
          <w:rFonts w:asciiTheme="minorHAnsi" w:eastAsiaTheme="minorHAnsi" w:hAnsiTheme="minorHAnsi" w:cstheme="minorHAnsi"/>
          <w:sz w:val="22"/>
          <w:szCs w:val="22"/>
          <w:lang w:eastAsia="en-US"/>
        </w:rPr>
        <w:t xml:space="preserve">, devendo a Contratada apresentá-lo dentro do Relatório de Medição. Devem constar dentro deste relatório o indicador e meta de níveis de serviço alcançado. O conteúdo detalhado e a forma da apresentação serão definidos pelas partes. </w:t>
      </w:r>
    </w:p>
    <w:p w14:paraId="2DB55061" w14:textId="77777777" w:rsid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Os primeiros 90 (noventa) dias, após o início da execução dos serviços serão considerados como período de estabilização, durante o qual a Contratada deverá proceder a todos os ajustes que se mostrarem necessários, bem como nos procedimentos adotados e demais aspectos da prestação dos serviços, de modo a assegurar o alcance dos níveis das metas estabelecidos. Caso haja prorrogação da vigência contratual, não haverá novo período de estabilização. </w:t>
      </w:r>
    </w:p>
    <w:p w14:paraId="6FB290FF" w14:textId="77777777" w:rsidR="003C2ACF" w:rsidRDefault="003C2ACF" w:rsidP="003C2ACF">
      <w:pPr>
        <w:pStyle w:val="PargrafodaLista"/>
        <w:numPr>
          <w:ilvl w:val="1"/>
          <w:numId w:val="3"/>
        </w:numPr>
        <w:autoSpaceDE w:val="0"/>
        <w:autoSpaceDN w:val="0"/>
        <w:adjustRightInd w:val="0"/>
        <w:spacing w:line="276" w:lineRule="auto"/>
        <w:ind w:left="284" w:hanging="290"/>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Em função do dito acima, </w:t>
      </w:r>
      <w:r w:rsidRPr="003C2ACF">
        <w:rPr>
          <w:rFonts w:asciiTheme="minorHAnsi" w:eastAsiaTheme="minorHAnsi" w:hAnsiTheme="minorHAnsi" w:cstheme="minorHAnsi"/>
          <w:b/>
          <w:bCs/>
          <w:sz w:val="22"/>
          <w:szCs w:val="22"/>
          <w:lang w:eastAsia="en-US"/>
        </w:rPr>
        <w:t xml:space="preserve">será aplicada um método de carência sobre a aplicação das metas nos primeiros 90 (noventa) dias do contrato </w:t>
      </w:r>
      <w:r w:rsidRPr="003C2ACF">
        <w:rPr>
          <w:rFonts w:asciiTheme="minorHAnsi" w:eastAsiaTheme="minorHAnsi" w:hAnsiTheme="minorHAnsi" w:cstheme="minorHAnsi"/>
          <w:sz w:val="22"/>
          <w:szCs w:val="22"/>
          <w:lang w:eastAsia="en-US"/>
        </w:rPr>
        <w:t>conforme metodologia explicitada a seguir.</w:t>
      </w:r>
    </w:p>
    <w:p w14:paraId="55D80C00" w14:textId="77777777" w:rsidR="003C2ACF" w:rsidRDefault="003C2ACF" w:rsidP="003C2ACF">
      <w:pPr>
        <w:pStyle w:val="PargrafodaLista"/>
        <w:numPr>
          <w:ilvl w:val="2"/>
          <w:numId w:val="21"/>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para o 1º mês de execução contratual: cobrança de 50% das metas;</w:t>
      </w:r>
    </w:p>
    <w:p w14:paraId="5D25CD23" w14:textId="28C3E109" w:rsidR="003C2ACF" w:rsidRPr="003C2ACF" w:rsidRDefault="003C2ACF" w:rsidP="003C2ACF">
      <w:pPr>
        <w:pStyle w:val="PargrafodaLista"/>
        <w:numPr>
          <w:ilvl w:val="2"/>
          <w:numId w:val="21"/>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para o 2º mês de execução contratual: cobrança de 70% das metas;</w:t>
      </w:r>
    </w:p>
    <w:p w14:paraId="7C715E6F" w14:textId="783D279E" w:rsidR="003C2ACF" w:rsidRPr="003C2ACF" w:rsidRDefault="003C2ACF" w:rsidP="003C2ACF">
      <w:pPr>
        <w:pStyle w:val="PargrafodaLista"/>
        <w:numPr>
          <w:ilvl w:val="2"/>
          <w:numId w:val="21"/>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para o 3º mês de execução contratual: cobrança de 90% das metas;</w:t>
      </w:r>
    </w:p>
    <w:p w14:paraId="690FFB68" w14:textId="63097243" w:rsidR="003C2ACF" w:rsidRPr="003C2ACF" w:rsidRDefault="003C2ACF" w:rsidP="003C2ACF">
      <w:pPr>
        <w:pStyle w:val="PargrafodaLista"/>
        <w:numPr>
          <w:ilvl w:val="2"/>
          <w:numId w:val="21"/>
        </w:numPr>
        <w:tabs>
          <w:tab w:val="left" w:pos="0"/>
        </w:tabs>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a partir do 4º mês de execução contratual serão cobradas 100% das metas.</w:t>
      </w:r>
    </w:p>
    <w:p w14:paraId="7A7B905D" w14:textId="715E472E" w:rsidR="003C2ACF" w:rsidRPr="003C2ACF" w:rsidRDefault="003C2ACF" w:rsidP="003C2ACF">
      <w:pPr>
        <w:pStyle w:val="PargrafodaLista"/>
        <w:tabs>
          <w:tab w:val="left" w:pos="0"/>
        </w:tabs>
        <w:spacing w:line="276" w:lineRule="auto"/>
        <w:ind w:left="426"/>
        <w:jc w:val="both"/>
        <w:rPr>
          <w:rFonts w:asciiTheme="minorHAnsi" w:eastAsiaTheme="minorHAnsi" w:hAnsiTheme="minorHAnsi" w:cstheme="minorHAnsi"/>
          <w:sz w:val="22"/>
          <w:szCs w:val="22"/>
          <w:lang w:eastAsia="en-US"/>
        </w:rPr>
      </w:pPr>
    </w:p>
    <w:p w14:paraId="6315798A" w14:textId="77777777" w:rsidR="003C2ACF" w:rsidRDefault="003C2ACF" w:rsidP="003C2ACF">
      <w:pPr>
        <w:pStyle w:val="PargrafodaLista"/>
        <w:numPr>
          <w:ilvl w:val="1"/>
          <w:numId w:val="21"/>
        </w:numPr>
        <w:autoSpaceDE w:val="0"/>
        <w:autoSpaceDN w:val="0"/>
        <w:adjustRightInd w:val="0"/>
        <w:spacing w:line="276" w:lineRule="auto"/>
        <w:jc w:val="both"/>
        <w:rPr>
          <w:rFonts w:asciiTheme="minorHAnsi" w:eastAsiaTheme="minorHAnsi" w:hAnsiTheme="minorHAnsi" w:cstheme="minorHAnsi"/>
          <w:b/>
          <w:bCs/>
          <w:sz w:val="22"/>
          <w:szCs w:val="22"/>
          <w:lang w:eastAsia="en-US"/>
        </w:rPr>
      </w:pPr>
      <w:r w:rsidRPr="003C2ACF">
        <w:rPr>
          <w:rFonts w:asciiTheme="minorHAnsi" w:eastAsiaTheme="minorHAnsi" w:hAnsiTheme="minorHAnsi" w:cstheme="minorHAnsi"/>
          <w:b/>
          <w:bCs/>
          <w:sz w:val="22"/>
          <w:szCs w:val="22"/>
          <w:lang w:eastAsia="en-US"/>
        </w:rPr>
        <w:t>Indicador e Parâmetros de Cálculo do IMR</w:t>
      </w:r>
    </w:p>
    <w:p w14:paraId="708CC9B6" w14:textId="77777777" w:rsidR="003C2ACF" w:rsidRDefault="003C2ACF" w:rsidP="003C2ACF">
      <w:pPr>
        <w:pStyle w:val="PargrafodaLista"/>
        <w:numPr>
          <w:ilvl w:val="2"/>
          <w:numId w:val="21"/>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O indicador, metas, faixas de adequação e percentuais de glosa aplicáveis são estabelecidos na Tabela de Cálculo do IMR a seguir, que define os percentuais esperados, em função de meta </w:t>
      </w:r>
      <w:proofErr w:type="spellStart"/>
      <w:r w:rsidRPr="003C2ACF">
        <w:rPr>
          <w:rFonts w:asciiTheme="minorHAnsi" w:eastAsiaTheme="minorHAnsi" w:hAnsiTheme="minorHAnsi" w:cstheme="minorHAnsi"/>
          <w:sz w:val="22"/>
          <w:szCs w:val="22"/>
          <w:lang w:eastAsia="en-US"/>
        </w:rPr>
        <w:t>pré</w:t>
      </w:r>
      <w:proofErr w:type="spellEnd"/>
      <w:r w:rsidRPr="003C2ACF">
        <w:rPr>
          <w:rFonts w:asciiTheme="minorHAnsi" w:eastAsiaTheme="minorHAnsi" w:hAnsiTheme="minorHAnsi" w:cstheme="minorHAnsi"/>
          <w:sz w:val="22"/>
          <w:szCs w:val="22"/>
          <w:lang w:eastAsia="en-US"/>
        </w:rPr>
        <w:t xml:space="preserve"> estabelecida, e os percentuais de desconto no valor mensal do contrato a ser pago a CONTRATADA, no caso destes índices não serem alcançados.</w:t>
      </w:r>
    </w:p>
    <w:p w14:paraId="48DD923E" w14:textId="7A0BEDE9" w:rsidR="003C2ACF" w:rsidRDefault="003C2ACF" w:rsidP="003C2ACF">
      <w:pPr>
        <w:pStyle w:val="PargrafodaLista"/>
        <w:numPr>
          <w:ilvl w:val="2"/>
          <w:numId w:val="21"/>
        </w:numPr>
        <w:autoSpaceDE w:val="0"/>
        <w:autoSpaceDN w:val="0"/>
        <w:adjustRightInd w:val="0"/>
        <w:spacing w:line="276" w:lineRule="auto"/>
        <w:ind w:left="426" w:hanging="426"/>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Foram considerados críticos e alinhados diretamente com o objetivo do contrato os seguintes </w:t>
      </w:r>
      <w:r w:rsidRPr="003C2ACF">
        <w:rPr>
          <w:rFonts w:asciiTheme="minorHAnsi" w:eastAsiaTheme="minorHAnsi" w:hAnsiTheme="minorHAnsi" w:cstheme="minorHAnsi"/>
          <w:b/>
          <w:bCs/>
          <w:sz w:val="22"/>
          <w:szCs w:val="22"/>
          <w:lang w:eastAsia="en-US"/>
        </w:rPr>
        <w:t>indicadores e metas mensais</w:t>
      </w:r>
      <w:r w:rsidRPr="003C2ACF">
        <w:rPr>
          <w:rFonts w:asciiTheme="minorHAnsi" w:eastAsiaTheme="minorHAnsi" w:hAnsiTheme="minorHAnsi" w:cstheme="minorHAnsi"/>
          <w:sz w:val="22"/>
          <w:szCs w:val="22"/>
          <w:lang w:eastAsia="en-US"/>
        </w:rPr>
        <w:t>:</w:t>
      </w:r>
    </w:p>
    <w:p w14:paraId="36B2EDE5" w14:textId="77777777" w:rsidR="003C2ACF" w:rsidRPr="003C2ACF" w:rsidRDefault="003C2ACF" w:rsidP="003C2ACF">
      <w:pPr>
        <w:pStyle w:val="PargrafodaLista"/>
        <w:autoSpaceDE w:val="0"/>
        <w:autoSpaceDN w:val="0"/>
        <w:adjustRightInd w:val="0"/>
        <w:ind w:left="426"/>
        <w:jc w:val="both"/>
        <w:rPr>
          <w:rFonts w:asciiTheme="minorHAnsi" w:eastAsiaTheme="minorHAnsi" w:hAnsiTheme="minorHAnsi" w:cstheme="minorHAnsi"/>
          <w:sz w:val="22"/>
          <w:szCs w:val="22"/>
          <w:lang w:eastAsia="en-US"/>
        </w:rPr>
      </w:pPr>
    </w:p>
    <w:p w14:paraId="5B71AEF8" w14:textId="4BAB2653" w:rsidR="003C2ACF" w:rsidRDefault="003C2ACF" w:rsidP="003C2ACF">
      <w:pPr>
        <w:tabs>
          <w:tab w:val="left" w:pos="0"/>
        </w:tabs>
        <w:jc w:val="both"/>
        <w:rPr>
          <w:rFonts w:ascii="Arial" w:eastAsiaTheme="minorHAnsi" w:hAnsi="Arial" w:cs="Arial"/>
          <w:sz w:val="18"/>
          <w:szCs w:val="18"/>
          <w:lang w:eastAsia="en-US"/>
        </w:rPr>
      </w:pPr>
    </w:p>
    <w:tbl>
      <w:tblPr>
        <w:tblStyle w:val="TabeladeGrade4-nfase1"/>
        <w:tblW w:w="7585" w:type="dxa"/>
        <w:tblLook w:val="04A0" w:firstRow="1" w:lastRow="0" w:firstColumn="1" w:lastColumn="0" w:noHBand="0" w:noVBand="1"/>
      </w:tblPr>
      <w:tblGrid>
        <w:gridCol w:w="686"/>
        <w:gridCol w:w="2297"/>
        <w:gridCol w:w="2134"/>
        <w:gridCol w:w="2468"/>
      </w:tblGrid>
      <w:tr w:rsidR="003C2ACF" w14:paraId="07E1F271" w14:textId="77777777" w:rsidTr="00D75A6A">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noWrap/>
            <w:hideMark/>
          </w:tcPr>
          <w:p w14:paraId="3B601224" w14:textId="77777777" w:rsidR="003C2ACF" w:rsidRDefault="003C2ACF">
            <w:pPr>
              <w:jc w:val="center"/>
              <w:rPr>
                <w:rFonts w:ascii="Calibri" w:hAnsi="Calibri" w:cs="Calibri"/>
                <w:color w:val="000000"/>
                <w:sz w:val="22"/>
                <w:szCs w:val="22"/>
              </w:rPr>
            </w:pPr>
            <w:r>
              <w:rPr>
                <w:rFonts w:ascii="Calibri" w:hAnsi="Calibri" w:cs="Calibri"/>
                <w:color w:val="000000"/>
                <w:sz w:val="22"/>
                <w:szCs w:val="22"/>
              </w:rPr>
              <w:t>ITEM</w:t>
            </w:r>
          </w:p>
        </w:tc>
        <w:tc>
          <w:tcPr>
            <w:tcW w:w="2297" w:type="dxa"/>
            <w:hideMark/>
          </w:tcPr>
          <w:p w14:paraId="6FA4CFA8" w14:textId="77777777" w:rsidR="003C2ACF" w:rsidRPr="003C2ACF" w:rsidRDefault="003C2AC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C2ACF">
              <w:rPr>
                <w:rFonts w:ascii="Calibri" w:hAnsi="Calibri" w:cs="Calibri"/>
                <w:color w:val="000000"/>
                <w:sz w:val="22"/>
                <w:szCs w:val="22"/>
              </w:rPr>
              <w:t>INDICADOR</w:t>
            </w:r>
          </w:p>
        </w:tc>
        <w:tc>
          <w:tcPr>
            <w:tcW w:w="2134" w:type="dxa"/>
            <w:hideMark/>
          </w:tcPr>
          <w:p w14:paraId="20BF6568" w14:textId="77777777" w:rsidR="003C2ACF" w:rsidRPr="003C2ACF" w:rsidRDefault="003C2AC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C2ACF">
              <w:rPr>
                <w:rFonts w:ascii="Calibri" w:hAnsi="Calibri" w:cs="Calibri"/>
                <w:color w:val="000000"/>
                <w:sz w:val="22"/>
                <w:szCs w:val="22"/>
              </w:rPr>
              <w:t>UNIDADE DE MEDIDA</w:t>
            </w:r>
          </w:p>
        </w:tc>
        <w:tc>
          <w:tcPr>
            <w:tcW w:w="2468" w:type="dxa"/>
            <w:hideMark/>
          </w:tcPr>
          <w:p w14:paraId="69A2068B" w14:textId="77777777" w:rsidR="003C2ACF" w:rsidRPr="003C2ACF" w:rsidRDefault="003C2AC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C2ACF">
              <w:rPr>
                <w:rFonts w:ascii="Calibri" w:hAnsi="Calibri" w:cs="Calibri"/>
                <w:color w:val="000000"/>
                <w:sz w:val="22"/>
                <w:szCs w:val="22"/>
              </w:rPr>
              <w:t>METAS PARA CADA MEDIÇÃO</w:t>
            </w:r>
          </w:p>
        </w:tc>
      </w:tr>
      <w:tr w:rsidR="003C2ACF" w14:paraId="1101AA52" w14:textId="77777777" w:rsidTr="00D75A6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21E9AC4" w14:textId="77777777" w:rsidR="003C2ACF" w:rsidRDefault="003C2ACF">
            <w:pPr>
              <w:jc w:val="center"/>
              <w:rPr>
                <w:rFonts w:ascii="Calibri" w:hAnsi="Calibri" w:cs="Calibri"/>
                <w:b w:val="0"/>
                <w:bCs w:val="0"/>
                <w:color w:val="000000"/>
                <w:sz w:val="22"/>
                <w:szCs w:val="22"/>
              </w:rPr>
            </w:pPr>
            <w:r>
              <w:rPr>
                <w:rFonts w:ascii="Calibri" w:hAnsi="Calibri" w:cs="Calibri"/>
                <w:color w:val="000000"/>
                <w:sz w:val="22"/>
                <w:szCs w:val="22"/>
              </w:rPr>
              <w:t>1</w:t>
            </w:r>
          </w:p>
        </w:tc>
        <w:tc>
          <w:tcPr>
            <w:tcW w:w="2297" w:type="dxa"/>
            <w:vMerge w:val="restart"/>
            <w:hideMark/>
          </w:tcPr>
          <w:p w14:paraId="6B241024"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Pontualidade na entrega do Relatório Técnico Mensal</w:t>
            </w:r>
          </w:p>
        </w:tc>
        <w:tc>
          <w:tcPr>
            <w:tcW w:w="2134" w:type="dxa"/>
            <w:vMerge w:val="restart"/>
            <w:hideMark/>
          </w:tcPr>
          <w:p w14:paraId="618C2519"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Dias úteis de Atraso em relação ao prazo estabelecido</w:t>
            </w:r>
          </w:p>
        </w:tc>
        <w:tc>
          <w:tcPr>
            <w:tcW w:w="2468" w:type="dxa"/>
            <w:vMerge w:val="restart"/>
            <w:hideMark/>
          </w:tcPr>
          <w:p w14:paraId="58780FC4" w14:textId="5BB305ED" w:rsidR="003C2ACF" w:rsidRDefault="003C2ACF" w:rsidP="003C2A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Arial" w:eastAsiaTheme="minorHAnsi" w:hAnsi="Arial" w:cs="Arial"/>
                <w:b/>
                <w:bCs/>
                <w:sz w:val="18"/>
                <w:szCs w:val="18"/>
                <w:lang w:eastAsia="en-US"/>
              </w:rPr>
              <w:t>Até o 5º dia útil do mês subsequente</w:t>
            </w:r>
          </w:p>
        </w:tc>
      </w:tr>
      <w:tr w:rsidR="003C2ACF" w14:paraId="479F81C4"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07EFD6A5" w14:textId="77777777" w:rsidR="003C2ACF" w:rsidRDefault="003C2ACF">
            <w:pPr>
              <w:rPr>
                <w:rFonts w:ascii="Calibri" w:hAnsi="Calibri" w:cs="Calibri"/>
                <w:color w:val="000000"/>
                <w:sz w:val="22"/>
                <w:szCs w:val="22"/>
              </w:rPr>
            </w:pPr>
          </w:p>
        </w:tc>
        <w:tc>
          <w:tcPr>
            <w:tcW w:w="2297" w:type="dxa"/>
            <w:vMerge/>
            <w:hideMark/>
          </w:tcPr>
          <w:p w14:paraId="170A3D07"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7ED3FB26"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2556D731"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25F6C90F"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4D422614" w14:textId="77777777" w:rsidR="003C2ACF" w:rsidRDefault="003C2ACF">
            <w:pPr>
              <w:rPr>
                <w:rFonts w:ascii="Calibri" w:hAnsi="Calibri" w:cs="Calibri"/>
                <w:color w:val="000000"/>
                <w:sz w:val="22"/>
                <w:szCs w:val="22"/>
              </w:rPr>
            </w:pPr>
          </w:p>
        </w:tc>
        <w:tc>
          <w:tcPr>
            <w:tcW w:w="2297" w:type="dxa"/>
            <w:vMerge/>
            <w:hideMark/>
          </w:tcPr>
          <w:p w14:paraId="7DBB99FD"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34" w:type="dxa"/>
            <w:vMerge/>
            <w:hideMark/>
          </w:tcPr>
          <w:p w14:paraId="210F7F1D"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468" w:type="dxa"/>
            <w:vMerge/>
            <w:hideMark/>
          </w:tcPr>
          <w:p w14:paraId="6A8C4D4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3C2ACF" w14:paraId="5F876381"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078C1095" w14:textId="77777777" w:rsidR="003C2ACF" w:rsidRDefault="003C2ACF">
            <w:pPr>
              <w:rPr>
                <w:rFonts w:ascii="Calibri" w:hAnsi="Calibri" w:cs="Calibri"/>
                <w:color w:val="000000"/>
                <w:sz w:val="22"/>
                <w:szCs w:val="22"/>
              </w:rPr>
            </w:pPr>
          </w:p>
        </w:tc>
        <w:tc>
          <w:tcPr>
            <w:tcW w:w="2297" w:type="dxa"/>
            <w:vMerge/>
            <w:hideMark/>
          </w:tcPr>
          <w:p w14:paraId="2364C639"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6C1544FB"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07044DF1"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2F36E969"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68012B18" w14:textId="77777777" w:rsidR="003C2ACF" w:rsidRDefault="003C2ACF">
            <w:pPr>
              <w:jc w:val="center"/>
              <w:rPr>
                <w:rFonts w:ascii="Calibri" w:hAnsi="Calibri" w:cs="Calibri"/>
                <w:color w:val="000000"/>
                <w:sz w:val="22"/>
                <w:szCs w:val="22"/>
              </w:rPr>
            </w:pPr>
            <w:r>
              <w:rPr>
                <w:rFonts w:ascii="Calibri" w:hAnsi="Calibri" w:cs="Calibri"/>
                <w:color w:val="000000"/>
                <w:sz w:val="22"/>
                <w:szCs w:val="22"/>
              </w:rPr>
              <w:t>2</w:t>
            </w:r>
          </w:p>
        </w:tc>
        <w:tc>
          <w:tcPr>
            <w:tcW w:w="2297" w:type="dxa"/>
            <w:vMerge w:val="restart"/>
            <w:hideMark/>
          </w:tcPr>
          <w:p w14:paraId="0FDF32C1"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Ocorrência de Eventos por Equipamento</w:t>
            </w:r>
          </w:p>
        </w:tc>
        <w:tc>
          <w:tcPr>
            <w:tcW w:w="2134" w:type="dxa"/>
            <w:vMerge w:val="restart"/>
            <w:noWrap/>
            <w:hideMark/>
          </w:tcPr>
          <w:p w14:paraId="00AAD355"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Eventos Por mês</w:t>
            </w:r>
          </w:p>
        </w:tc>
        <w:tc>
          <w:tcPr>
            <w:tcW w:w="2468" w:type="dxa"/>
            <w:vMerge w:val="restart"/>
            <w:hideMark/>
          </w:tcPr>
          <w:p w14:paraId="347A26B7"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Até 3</w:t>
            </w:r>
            <w:r>
              <w:rPr>
                <w:rFonts w:ascii="Calibri" w:hAnsi="Calibri" w:cs="Calibri"/>
                <w:color w:val="000000"/>
                <w:sz w:val="22"/>
                <w:szCs w:val="22"/>
              </w:rPr>
              <w:br/>
              <w:t xml:space="preserve">Eventos mensais por </w:t>
            </w:r>
            <w:proofErr w:type="spellStart"/>
            <w:r>
              <w:rPr>
                <w:rFonts w:ascii="Calibri" w:hAnsi="Calibri" w:cs="Calibri"/>
                <w:color w:val="000000"/>
                <w:sz w:val="22"/>
                <w:szCs w:val="22"/>
              </w:rPr>
              <w:t>Equipto</w:t>
            </w:r>
            <w:proofErr w:type="spellEnd"/>
          </w:p>
        </w:tc>
      </w:tr>
      <w:tr w:rsidR="003C2ACF" w14:paraId="414D5777"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68A53E0E" w14:textId="77777777" w:rsidR="003C2ACF" w:rsidRDefault="003C2ACF">
            <w:pPr>
              <w:rPr>
                <w:rFonts w:ascii="Calibri" w:hAnsi="Calibri" w:cs="Calibri"/>
                <w:color w:val="000000"/>
                <w:sz w:val="22"/>
                <w:szCs w:val="22"/>
              </w:rPr>
            </w:pPr>
          </w:p>
        </w:tc>
        <w:tc>
          <w:tcPr>
            <w:tcW w:w="2297" w:type="dxa"/>
            <w:vMerge/>
            <w:hideMark/>
          </w:tcPr>
          <w:p w14:paraId="264A81EB"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1366DE41"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6C691AD5"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59C193C8"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4F215130" w14:textId="77777777" w:rsidR="003C2ACF" w:rsidRDefault="003C2ACF">
            <w:pPr>
              <w:rPr>
                <w:rFonts w:ascii="Calibri" w:hAnsi="Calibri" w:cs="Calibri"/>
                <w:color w:val="000000"/>
                <w:sz w:val="22"/>
                <w:szCs w:val="22"/>
              </w:rPr>
            </w:pPr>
          </w:p>
        </w:tc>
        <w:tc>
          <w:tcPr>
            <w:tcW w:w="2297" w:type="dxa"/>
            <w:vMerge/>
            <w:hideMark/>
          </w:tcPr>
          <w:p w14:paraId="4C3479ED"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34" w:type="dxa"/>
            <w:vMerge/>
            <w:hideMark/>
          </w:tcPr>
          <w:p w14:paraId="14364A9F"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468" w:type="dxa"/>
            <w:vMerge/>
            <w:hideMark/>
          </w:tcPr>
          <w:p w14:paraId="01D9813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3C2ACF" w14:paraId="4F264784"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724F49AD" w14:textId="77777777" w:rsidR="003C2ACF" w:rsidRDefault="003C2ACF">
            <w:pPr>
              <w:rPr>
                <w:rFonts w:ascii="Calibri" w:hAnsi="Calibri" w:cs="Calibri"/>
                <w:color w:val="000000"/>
                <w:sz w:val="22"/>
                <w:szCs w:val="22"/>
              </w:rPr>
            </w:pPr>
          </w:p>
        </w:tc>
        <w:tc>
          <w:tcPr>
            <w:tcW w:w="2297" w:type="dxa"/>
            <w:vMerge/>
            <w:hideMark/>
          </w:tcPr>
          <w:p w14:paraId="66CA72DF"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7FA5CD1E"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16BAFE9F"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01D2ED72"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1DA1CB93" w14:textId="77777777" w:rsidR="003C2ACF" w:rsidRDefault="003C2ACF">
            <w:pPr>
              <w:rPr>
                <w:rFonts w:ascii="Calibri" w:hAnsi="Calibri" w:cs="Calibri"/>
                <w:color w:val="000000"/>
                <w:sz w:val="22"/>
                <w:szCs w:val="22"/>
              </w:rPr>
            </w:pPr>
          </w:p>
        </w:tc>
        <w:tc>
          <w:tcPr>
            <w:tcW w:w="2297" w:type="dxa"/>
            <w:vMerge/>
            <w:hideMark/>
          </w:tcPr>
          <w:p w14:paraId="630B874A"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34" w:type="dxa"/>
            <w:vMerge/>
            <w:hideMark/>
          </w:tcPr>
          <w:p w14:paraId="4C520743"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468" w:type="dxa"/>
            <w:vMerge/>
            <w:hideMark/>
          </w:tcPr>
          <w:p w14:paraId="01ED65F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3C2ACF" w14:paraId="67C9C9D4"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13EBE58E" w14:textId="77777777" w:rsidR="003C2ACF" w:rsidRDefault="003C2ACF">
            <w:pPr>
              <w:rPr>
                <w:rFonts w:ascii="Calibri" w:hAnsi="Calibri" w:cs="Calibri"/>
                <w:color w:val="000000"/>
                <w:sz w:val="22"/>
                <w:szCs w:val="22"/>
              </w:rPr>
            </w:pPr>
          </w:p>
        </w:tc>
        <w:tc>
          <w:tcPr>
            <w:tcW w:w="2297" w:type="dxa"/>
            <w:vMerge/>
            <w:hideMark/>
          </w:tcPr>
          <w:p w14:paraId="5BD2372E"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2A9BCB4A"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35D2B14C"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1A8BBF6B"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4350C69F" w14:textId="77777777" w:rsidR="003C2ACF" w:rsidRDefault="003C2ACF">
            <w:pPr>
              <w:rPr>
                <w:rFonts w:ascii="Calibri" w:hAnsi="Calibri" w:cs="Calibri"/>
                <w:color w:val="000000"/>
                <w:sz w:val="22"/>
                <w:szCs w:val="22"/>
              </w:rPr>
            </w:pPr>
          </w:p>
        </w:tc>
        <w:tc>
          <w:tcPr>
            <w:tcW w:w="2297" w:type="dxa"/>
            <w:vMerge/>
            <w:hideMark/>
          </w:tcPr>
          <w:p w14:paraId="0CE09E3A"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34" w:type="dxa"/>
            <w:vMerge/>
            <w:hideMark/>
          </w:tcPr>
          <w:p w14:paraId="2022D01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468" w:type="dxa"/>
            <w:vMerge/>
            <w:hideMark/>
          </w:tcPr>
          <w:p w14:paraId="7295E4F5"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3C2ACF" w14:paraId="369159FE"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10891888" w14:textId="77777777" w:rsidR="003C2ACF" w:rsidRDefault="003C2ACF">
            <w:pPr>
              <w:rPr>
                <w:rFonts w:ascii="Calibri" w:hAnsi="Calibri" w:cs="Calibri"/>
                <w:color w:val="000000"/>
                <w:sz w:val="22"/>
                <w:szCs w:val="22"/>
              </w:rPr>
            </w:pPr>
          </w:p>
        </w:tc>
        <w:tc>
          <w:tcPr>
            <w:tcW w:w="2297" w:type="dxa"/>
            <w:vMerge/>
            <w:hideMark/>
          </w:tcPr>
          <w:p w14:paraId="767ED7AB"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7B24B926"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4ADFD4B9"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3C2ACF" w14:paraId="2F33E144" w14:textId="77777777" w:rsidTr="00D75A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0136470F" w14:textId="77777777" w:rsidR="003C2ACF" w:rsidRDefault="003C2ACF">
            <w:pPr>
              <w:rPr>
                <w:rFonts w:ascii="Calibri" w:hAnsi="Calibri" w:cs="Calibri"/>
                <w:color w:val="000000"/>
                <w:sz w:val="22"/>
                <w:szCs w:val="22"/>
              </w:rPr>
            </w:pPr>
          </w:p>
        </w:tc>
        <w:tc>
          <w:tcPr>
            <w:tcW w:w="2297" w:type="dxa"/>
            <w:vMerge/>
            <w:hideMark/>
          </w:tcPr>
          <w:p w14:paraId="1A50BF80"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34" w:type="dxa"/>
            <w:vMerge/>
            <w:hideMark/>
          </w:tcPr>
          <w:p w14:paraId="26CF5C0F"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468" w:type="dxa"/>
            <w:vMerge/>
            <w:hideMark/>
          </w:tcPr>
          <w:p w14:paraId="7C0B602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3C2ACF" w14:paraId="0A96AF94" w14:textId="77777777" w:rsidTr="00D75A6A">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7455B961" w14:textId="77777777" w:rsidR="003C2ACF" w:rsidRDefault="003C2ACF">
            <w:pPr>
              <w:rPr>
                <w:rFonts w:ascii="Calibri" w:hAnsi="Calibri" w:cs="Calibri"/>
                <w:color w:val="000000"/>
                <w:sz w:val="22"/>
                <w:szCs w:val="22"/>
              </w:rPr>
            </w:pPr>
          </w:p>
        </w:tc>
        <w:tc>
          <w:tcPr>
            <w:tcW w:w="2297" w:type="dxa"/>
            <w:vMerge/>
            <w:hideMark/>
          </w:tcPr>
          <w:p w14:paraId="17B5A99D"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34" w:type="dxa"/>
            <w:vMerge/>
            <w:hideMark/>
          </w:tcPr>
          <w:p w14:paraId="2F38AAC0"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468" w:type="dxa"/>
            <w:vMerge/>
            <w:hideMark/>
          </w:tcPr>
          <w:p w14:paraId="2BFB62DD"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bl>
    <w:p w14:paraId="7FEA1DFB" w14:textId="77777777" w:rsidR="003C2ACF" w:rsidRPr="003C2ACF" w:rsidRDefault="003C2ACF" w:rsidP="003C2ACF">
      <w:pPr>
        <w:tabs>
          <w:tab w:val="left" w:pos="0"/>
        </w:tabs>
        <w:jc w:val="both"/>
        <w:rPr>
          <w:rFonts w:ascii="Arial" w:eastAsiaTheme="minorHAnsi" w:hAnsi="Arial" w:cs="Arial"/>
          <w:sz w:val="18"/>
          <w:szCs w:val="18"/>
          <w:lang w:eastAsia="en-US"/>
        </w:rPr>
      </w:pPr>
    </w:p>
    <w:p w14:paraId="1AF43DDE" w14:textId="77777777" w:rsidR="003C2ACF" w:rsidRPr="003C2ACF" w:rsidRDefault="003C2ACF" w:rsidP="003C2ACF">
      <w:pPr>
        <w:autoSpaceDE w:val="0"/>
        <w:autoSpaceDN w:val="0"/>
        <w:adjustRightInd w:val="0"/>
        <w:spacing w:line="276" w:lineRule="auto"/>
        <w:jc w:val="both"/>
        <w:rPr>
          <w:rFonts w:asciiTheme="minorHAnsi" w:eastAsiaTheme="minorHAnsi" w:hAnsiTheme="minorHAnsi" w:cstheme="minorHAnsi"/>
          <w:b/>
          <w:bCs/>
          <w:sz w:val="22"/>
          <w:szCs w:val="22"/>
          <w:lang w:eastAsia="en-US"/>
        </w:rPr>
      </w:pPr>
      <w:r w:rsidRPr="003C2ACF">
        <w:rPr>
          <w:rFonts w:asciiTheme="minorHAnsi" w:eastAsiaTheme="minorHAnsi" w:hAnsiTheme="minorHAnsi" w:cstheme="minorHAnsi"/>
          <w:b/>
          <w:bCs/>
          <w:sz w:val="22"/>
          <w:szCs w:val="22"/>
          <w:lang w:eastAsia="en-US"/>
        </w:rPr>
        <w:t>Notas:</w:t>
      </w:r>
    </w:p>
    <w:p w14:paraId="28A53407" w14:textId="77777777" w:rsidR="003C2ACF" w:rsidRDefault="003C2ACF" w:rsidP="003C2ACF">
      <w:pPr>
        <w:pStyle w:val="PargrafodaLista"/>
        <w:numPr>
          <w:ilvl w:val="0"/>
          <w:numId w:val="19"/>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O relatório técnico é um item contratual e de responsabilidade técnica, por isso, considerado condição básica para atendimento ao contrato. </w:t>
      </w:r>
    </w:p>
    <w:p w14:paraId="1BC08694" w14:textId="77777777" w:rsidR="003C2ACF" w:rsidRDefault="003C2ACF" w:rsidP="003C2ACF">
      <w:pPr>
        <w:pStyle w:val="PargrafodaLista"/>
        <w:numPr>
          <w:ilvl w:val="0"/>
          <w:numId w:val="19"/>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Evento é qualquer falha que ocorra com o equipamento que não inviabilize seu funcionamento e/ou que não o mantenha parado por mais de 24 horas. Ex. Lâmpada queimada, botoeira em mau contato, porta raspando no piso, etc. Em caso de um contrato ter mais de um equipamento, tal índice será a contabilização de todas as ocorrências mensais divididas pela quantidade de equipamentos do mesmo item contratual.</w:t>
      </w:r>
    </w:p>
    <w:p w14:paraId="146844C2" w14:textId="77777777" w:rsidR="003C2ACF" w:rsidRDefault="003C2ACF" w:rsidP="003C2ACF">
      <w:pPr>
        <w:pStyle w:val="PargrafodaLista"/>
        <w:numPr>
          <w:ilvl w:val="0"/>
          <w:numId w:val="19"/>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Paralisação é qualquer falha que ocorra com o equipamento que inviabilize a operação por mais de 24 horas.</w:t>
      </w:r>
    </w:p>
    <w:p w14:paraId="384C838E" w14:textId="05850965" w:rsidR="003C2ACF" w:rsidRPr="003C2ACF" w:rsidRDefault="003C2ACF" w:rsidP="003C2ACF">
      <w:pPr>
        <w:pStyle w:val="PargrafodaLista"/>
        <w:numPr>
          <w:ilvl w:val="0"/>
          <w:numId w:val="19"/>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 xml:space="preserve">Eventos de Atrasos a Retirada de Passageiros é uma espera maior que os períodos de espera para retirada de passageiros presos estabelecidos em função das necessidades da </w:t>
      </w:r>
      <w:r>
        <w:rPr>
          <w:rFonts w:asciiTheme="minorHAnsi" w:eastAsiaTheme="minorHAnsi" w:hAnsiTheme="minorHAnsi" w:cstheme="minorHAnsi"/>
          <w:sz w:val="22"/>
          <w:szCs w:val="22"/>
          <w:lang w:eastAsia="en-US"/>
        </w:rPr>
        <w:t>UFF</w:t>
      </w:r>
      <w:r w:rsidRPr="003C2ACF">
        <w:rPr>
          <w:rFonts w:asciiTheme="minorHAnsi" w:eastAsiaTheme="minorHAnsi" w:hAnsiTheme="minorHAnsi" w:cstheme="minorHAnsi"/>
          <w:sz w:val="22"/>
          <w:szCs w:val="22"/>
          <w:lang w:eastAsia="en-US"/>
        </w:rPr>
        <w:t xml:space="preserve"> e variam em função dos horários estabelecidos no item 7.3.d deste documento.</w:t>
      </w:r>
    </w:p>
    <w:p w14:paraId="5849C699" w14:textId="77777777" w:rsidR="003C2ACF" w:rsidRDefault="003C2ACF" w:rsidP="003C2ACF">
      <w:pPr>
        <w:autoSpaceDE w:val="0"/>
        <w:autoSpaceDN w:val="0"/>
        <w:adjustRightInd w:val="0"/>
        <w:spacing w:line="276" w:lineRule="auto"/>
        <w:jc w:val="both"/>
        <w:rPr>
          <w:rFonts w:asciiTheme="minorHAnsi" w:eastAsiaTheme="minorHAnsi" w:hAnsiTheme="minorHAnsi" w:cstheme="minorHAnsi"/>
          <w:b/>
          <w:bCs/>
          <w:sz w:val="22"/>
          <w:szCs w:val="22"/>
          <w:lang w:eastAsia="en-US"/>
        </w:rPr>
      </w:pPr>
    </w:p>
    <w:p w14:paraId="6A5FA996" w14:textId="30B347E2" w:rsidR="003C2ACF" w:rsidRPr="003C2ACF" w:rsidRDefault="003C2ACF" w:rsidP="003C2ACF">
      <w:pPr>
        <w:pStyle w:val="PargrafodaLista"/>
        <w:numPr>
          <w:ilvl w:val="0"/>
          <w:numId w:val="21"/>
        </w:numPr>
        <w:autoSpaceDE w:val="0"/>
        <w:autoSpaceDN w:val="0"/>
        <w:adjustRightInd w:val="0"/>
        <w:spacing w:line="276" w:lineRule="auto"/>
        <w:jc w:val="both"/>
        <w:rPr>
          <w:rFonts w:asciiTheme="minorHAnsi" w:eastAsiaTheme="minorHAnsi" w:hAnsiTheme="minorHAnsi" w:cstheme="minorHAnsi"/>
          <w:b/>
          <w:bCs/>
          <w:sz w:val="22"/>
          <w:szCs w:val="22"/>
          <w:lang w:eastAsia="en-US"/>
        </w:rPr>
      </w:pPr>
      <w:r w:rsidRPr="003C2ACF">
        <w:rPr>
          <w:rFonts w:asciiTheme="minorHAnsi" w:eastAsiaTheme="minorHAnsi" w:hAnsiTheme="minorHAnsi" w:cstheme="minorHAnsi"/>
          <w:b/>
          <w:bCs/>
          <w:sz w:val="22"/>
          <w:szCs w:val="22"/>
          <w:lang w:eastAsia="en-US"/>
        </w:rPr>
        <w:t>Metodologia de Cálculo do IMR</w:t>
      </w:r>
    </w:p>
    <w:p w14:paraId="500F2881" w14:textId="77777777" w:rsidR="003C2ACF" w:rsidRDefault="003C2ACF" w:rsidP="003C2ACF">
      <w:pPr>
        <w:autoSpaceDE w:val="0"/>
        <w:autoSpaceDN w:val="0"/>
        <w:adjustRightInd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2.1. </w:t>
      </w:r>
      <w:r w:rsidRPr="003C2ACF">
        <w:rPr>
          <w:rFonts w:asciiTheme="minorHAnsi" w:eastAsiaTheme="minorHAnsi" w:hAnsiTheme="minorHAnsi" w:cstheme="minorHAnsi"/>
          <w:sz w:val="22"/>
          <w:szCs w:val="22"/>
          <w:lang w:eastAsia="en-US"/>
        </w:rPr>
        <w:t xml:space="preserve">O IMR – Instrumento de Medição de Resultados será calculado a partir da tabela a seguir: </w:t>
      </w:r>
      <w:r>
        <w:rPr>
          <w:rFonts w:asciiTheme="minorHAnsi" w:eastAsiaTheme="minorHAnsi" w:hAnsiTheme="minorHAnsi" w:cstheme="minorHAnsi"/>
          <w:sz w:val="22"/>
          <w:szCs w:val="22"/>
          <w:lang w:eastAsia="en-US"/>
        </w:rPr>
        <w:t xml:space="preserve"> </w:t>
      </w:r>
    </w:p>
    <w:p w14:paraId="17BF9E47" w14:textId="77777777" w:rsidR="003C2ACF" w:rsidRDefault="003C2ACF" w:rsidP="003C2ACF">
      <w:pPr>
        <w:pStyle w:val="PargrafodaLista"/>
        <w:numPr>
          <w:ilvl w:val="2"/>
          <w:numId w:val="22"/>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sz w:val="22"/>
          <w:szCs w:val="22"/>
          <w:lang w:eastAsia="en-US"/>
        </w:rPr>
        <w:t>É desejado que a Contratada atinja a faixa de adequação “A” para todas as medições mensais consideradas, caracterizando o atingimento da meta preestabelecida e, consequentemente, não ensejando qualquer desconto.</w:t>
      </w:r>
    </w:p>
    <w:p w14:paraId="45F5E211" w14:textId="2D27C284" w:rsidR="003C2ACF" w:rsidRDefault="003C2ACF" w:rsidP="003C2ACF">
      <w:pPr>
        <w:pStyle w:val="PargrafodaLista"/>
        <w:numPr>
          <w:ilvl w:val="2"/>
          <w:numId w:val="22"/>
        </w:num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b/>
          <w:bCs/>
          <w:sz w:val="22"/>
          <w:szCs w:val="22"/>
          <w:lang w:eastAsia="en-US"/>
        </w:rPr>
        <w:t xml:space="preserve">O IMR será calculado </w:t>
      </w:r>
      <w:r w:rsidRPr="003C2ACF">
        <w:rPr>
          <w:rFonts w:asciiTheme="minorHAnsi" w:eastAsiaTheme="minorHAnsi" w:hAnsiTheme="minorHAnsi" w:cstheme="minorHAnsi"/>
          <w:sz w:val="22"/>
          <w:szCs w:val="22"/>
          <w:lang w:eastAsia="en-US"/>
        </w:rPr>
        <w:t>em função do percentual de atendimento às metas, conforme tabela do item a seguir. Caso não seja atingido o nível de execução esperado para o escopo de fornecimento, a empresa CONTRATADA terá desconto no valor a ser pago mensalmente pela CONTRATANTE.</w:t>
      </w:r>
    </w:p>
    <w:p w14:paraId="695E08AF" w14:textId="77777777" w:rsidR="003C2ACF" w:rsidRPr="003C2ACF" w:rsidRDefault="003C2ACF" w:rsidP="003C2ACF">
      <w:pPr>
        <w:autoSpaceDE w:val="0"/>
        <w:autoSpaceDN w:val="0"/>
        <w:adjustRightInd w:val="0"/>
        <w:jc w:val="both"/>
        <w:rPr>
          <w:rFonts w:asciiTheme="minorHAnsi" w:eastAsiaTheme="minorHAnsi" w:hAnsiTheme="minorHAnsi" w:cstheme="minorHAnsi"/>
          <w:sz w:val="22"/>
          <w:szCs w:val="22"/>
          <w:lang w:eastAsia="en-US"/>
        </w:rPr>
      </w:pPr>
    </w:p>
    <w:tbl>
      <w:tblPr>
        <w:tblStyle w:val="TabeladeGrade4-nfase1"/>
        <w:tblW w:w="10135" w:type="dxa"/>
        <w:tblLook w:val="04A0" w:firstRow="1" w:lastRow="0" w:firstColumn="1" w:lastColumn="0" w:noHBand="0" w:noVBand="1"/>
      </w:tblPr>
      <w:tblGrid>
        <w:gridCol w:w="684"/>
        <w:gridCol w:w="2205"/>
        <w:gridCol w:w="2552"/>
        <w:gridCol w:w="1789"/>
        <w:gridCol w:w="76"/>
        <w:gridCol w:w="774"/>
        <w:gridCol w:w="170"/>
        <w:gridCol w:w="1085"/>
        <w:gridCol w:w="52"/>
        <w:gridCol w:w="794"/>
        <w:gridCol w:w="45"/>
      </w:tblGrid>
      <w:tr w:rsidR="003C2ACF" w14:paraId="12A87C61" w14:textId="77777777" w:rsidTr="00D75A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6" w:type="dxa"/>
            <w:gridSpan w:val="5"/>
            <w:noWrap/>
            <w:hideMark/>
          </w:tcPr>
          <w:p w14:paraId="68C32D5E" w14:textId="77777777" w:rsidR="003C2ACF" w:rsidRPr="003C2ACF" w:rsidRDefault="003C2ACF" w:rsidP="003C2ACF">
            <w:pPr>
              <w:jc w:val="center"/>
              <w:rPr>
                <w:rFonts w:ascii="Calibri" w:hAnsi="Calibri" w:cs="Calibri"/>
                <w:b w:val="0"/>
                <w:bCs w:val="0"/>
                <w:color w:val="000000"/>
                <w:sz w:val="22"/>
                <w:szCs w:val="22"/>
              </w:rPr>
            </w:pPr>
            <w:r w:rsidRPr="003C2ACF">
              <w:rPr>
                <w:rFonts w:ascii="Calibri" w:hAnsi="Calibri" w:cs="Calibri"/>
                <w:color w:val="000000"/>
                <w:sz w:val="22"/>
                <w:szCs w:val="22"/>
              </w:rPr>
              <w:t>Tabela de Cálculo do IMR - Instrumento de Medição de Resultados</w:t>
            </w:r>
          </w:p>
        </w:tc>
        <w:tc>
          <w:tcPr>
            <w:tcW w:w="911" w:type="dxa"/>
            <w:gridSpan w:val="2"/>
            <w:noWrap/>
            <w:hideMark/>
          </w:tcPr>
          <w:p w14:paraId="4408B666" w14:textId="77777777" w:rsidR="003C2ACF" w:rsidRDefault="003C2AC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22B06503" w14:textId="77B3B3E1" w:rsidR="003C2ACF" w:rsidRDefault="003C2AC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180" w:type="dxa"/>
            <w:gridSpan w:val="2"/>
            <w:hideMark/>
          </w:tcPr>
          <w:p w14:paraId="641FF336" w14:textId="77777777" w:rsidR="003C2ACF" w:rsidRDefault="003C2ACF">
            <w:pPr>
              <w:cnfStyle w:val="100000000000" w:firstRow="1" w:lastRow="0" w:firstColumn="0" w:lastColumn="0" w:oddVBand="0" w:evenVBand="0" w:oddHBand="0" w:evenHBand="0" w:firstRowFirstColumn="0" w:firstRowLastColumn="0" w:lastRowFirstColumn="0" w:lastRowLastColumn="0"/>
              <w:rPr>
                <w:sz w:val="20"/>
                <w:szCs w:val="20"/>
              </w:rPr>
            </w:pPr>
          </w:p>
        </w:tc>
        <w:tc>
          <w:tcPr>
            <w:tcW w:w="738" w:type="dxa"/>
            <w:gridSpan w:val="2"/>
            <w:noWrap/>
            <w:hideMark/>
          </w:tcPr>
          <w:p w14:paraId="38C257A1" w14:textId="77777777" w:rsidR="003C2ACF" w:rsidRDefault="003C2ACF">
            <w:pPr>
              <w:cnfStyle w:val="100000000000" w:firstRow="1" w:lastRow="0" w:firstColumn="0" w:lastColumn="0" w:oddVBand="0" w:evenVBand="0" w:oddHBand="0" w:evenHBand="0" w:firstRowFirstColumn="0" w:firstRowLastColumn="0" w:lastRowFirstColumn="0" w:lastRowLastColumn="0"/>
              <w:rPr>
                <w:sz w:val="20"/>
                <w:szCs w:val="20"/>
              </w:rPr>
            </w:pPr>
          </w:p>
        </w:tc>
      </w:tr>
      <w:tr w:rsidR="003C2ACF" w14:paraId="627569E7" w14:textId="77777777" w:rsidTr="00D75A6A">
        <w:trPr>
          <w:gridAfter w:val="1"/>
          <w:cnfStyle w:val="000000100000" w:firstRow="0" w:lastRow="0" w:firstColumn="0" w:lastColumn="0" w:oddVBand="0" w:evenVBand="0" w:oddHBand="1" w:evenHBand="0" w:firstRowFirstColumn="0" w:firstRowLastColumn="0" w:lastRowFirstColumn="0" w:lastRowLastColumn="0"/>
          <w:wAfter w:w="45" w:type="dxa"/>
          <w:trHeight w:val="1200"/>
        </w:trPr>
        <w:tc>
          <w:tcPr>
            <w:cnfStyle w:val="001000000000" w:firstRow="0" w:lastRow="0" w:firstColumn="1" w:lastColumn="0" w:oddVBand="0" w:evenVBand="0" w:oddHBand="0" w:evenHBand="0" w:firstRowFirstColumn="0" w:firstRowLastColumn="0" w:lastRowFirstColumn="0" w:lastRowLastColumn="0"/>
            <w:tcW w:w="630" w:type="dxa"/>
            <w:noWrap/>
            <w:hideMark/>
          </w:tcPr>
          <w:p w14:paraId="64B85440" w14:textId="77777777" w:rsidR="003C2ACF" w:rsidRDefault="003C2ACF">
            <w:pPr>
              <w:jc w:val="center"/>
              <w:rPr>
                <w:rFonts w:ascii="Calibri" w:hAnsi="Calibri" w:cs="Calibri"/>
                <w:b w:val="0"/>
                <w:bCs w:val="0"/>
                <w:color w:val="000000"/>
                <w:sz w:val="22"/>
                <w:szCs w:val="22"/>
              </w:rPr>
            </w:pPr>
            <w:r>
              <w:rPr>
                <w:rFonts w:ascii="Calibri" w:hAnsi="Calibri" w:cs="Calibri"/>
                <w:color w:val="000000"/>
                <w:sz w:val="22"/>
                <w:szCs w:val="22"/>
              </w:rPr>
              <w:t>ITEM</w:t>
            </w:r>
          </w:p>
        </w:tc>
        <w:tc>
          <w:tcPr>
            <w:tcW w:w="2205" w:type="dxa"/>
            <w:hideMark/>
          </w:tcPr>
          <w:p w14:paraId="0E85123D"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INDICADOR</w:t>
            </w:r>
          </w:p>
        </w:tc>
        <w:tc>
          <w:tcPr>
            <w:tcW w:w="2552" w:type="dxa"/>
            <w:hideMark/>
          </w:tcPr>
          <w:p w14:paraId="221972B9"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UNIDADE DE MEDIDA</w:t>
            </w:r>
          </w:p>
        </w:tc>
        <w:tc>
          <w:tcPr>
            <w:tcW w:w="1843" w:type="dxa"/>
            <w:hideMark/>
          </w:tcPr>
          <w:p w14:paraId="4552DE66"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METAS PARA CADA MEDIÇÃO</w:t>
            </w:r>
          </w:p>
        </w:tc>
        <w:tc>
          <w:tcPr>
            <w:tcW w:w="2090" w:type="dxa"/>
            <w:gridSpan w:val="4"/>
            <w:hideMark/>
          </w:tcPr>
          <w:p w14:paraId="172ADBEE" w14:textId="77777777" w:rsidR="003C2ACF" w:rsidRDefault="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FAIXA DE ADEQUAÇÃO DO INDICADOR (I)</w:t>
            </w:r>
          </w:p>
        </w:tc>
        <w:tc>
          <w:tcPr>
            <w:tcW w:w="770" w:type="dxa"/>
            <w:gridSpan w:val="2"/>
            <w:hideMark/>
          </w:tcPr>
          <w:p w14:paraId="6243EA03" w14:textId="77777777" w:rsidR="003C2ACF" w:rsidRDefault="003C2ACF" w:rsidP="003C2A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VALOR DO IMR</w:t>
            </w:r>
          </w:p>
        </w:tc>
      </w:tr>
      <w:tr w:rsidR="003C2ACF" w14:paraId="59CB5F52" w14:textId="77777777" w:rsidTr="00D75A6A">
        <w:trPr>
          <w:gridAfter w:val="1"/>
          <w:wAfter w:w="45" w:type="dxa"/>
          <w:trHeight w:val="1200"/>
        </w:trPr>
        <w:tc>
          <w:tcPr>
            <w:cnfStyle w:val="001000000000" w:firstRow="0" w:lastRow="0" w:firstColumn="1" w:lastColumn="0" w:oddVBand="0" w:evenVBand="0" w:oddHBand="0" w:evenHBand="0" w:firstRowFirstColumn="0" w:firstRowLastColumn="0" w:lastRowFirstColumn="0" w:lastRowLastColumn="0"/>
            <w:tcW w:w="630" w:type="dxa"/>
            <w:vMerge w:val="restart"/>
            <w:noWrap/>
            <w:hideMark/>
          </w:tcPr>
          <w:p w14:paraId="4D6CA393" w14:textId="77777777" w:rsidR="003C2ACF" w:rsidRDefault="003C2ACF">
            <w:pPr>
              <w:jc w:val="center"/>
              <w:rPr>
                <w:rFonts w:ascii="Calibri" w:hAnsi="Calibri" w:cs="Calibri"/>
                <w:color w:val="000000"/>
                <w:sz w:val="22"/>
                <w:szCs w:val="22"/>
              </w:rPr>
            </w:pPr>
            <w:r>
              <w:rPr>
                <w:rFonts w:ascii="Calibri" w:hAnsi="Calibri" w:cs="Calibri"/>
                <w:color w:val="000000"/>
                <w:sz w:val="22"/>
                <w:szCs w:val="22"/>
              </w:rPr>
              <w:t>1</w:t>
            </w:r>
          </w:p>
        </w:tc>
        <w:tc>
          <w:tcPr>
            <w:tcW w:w="2205" w:type="dxa"/>
            <w:vMerge w:val="restart"/>
            <w:hideMark/>
          </w:tcPr>
          <w:p w14:paraId="5BCC2461" w14:textId="77777777" w:rsidR="003C2ACF" w:rsidRDefault="003C2A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Pontualidade na entrega do Relatório Técnico Mensal</w:t>
            </w:r>
          </w:p>
        </w:tc>
        <w:tc>
          <w:tcPr>
            <w:tcW w:w="2552" w:type="dxa"/>
            <w:vMerge w:val="restart"/>
            <w:hideMark/>
          </w:tcPr>
          <w:p w14:paraId="419C7F3F" w14:textId="77777777" w:rsidR="003C2ACF" w:rsidRDefault="003C2A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Dias úteis de Atraso em relação ao prazo estabelecido</w:t>
            </w:r>
          </w:p>
        </w:tc>
        <w:tc>
          <w:tcPr>
            <w:tcW w:w="1843" w:type="dxa"/>
            <w:vMerge w:val="restart"/>
            <w:hideMark/>
          </w:tcPr>
          <w:p w14:paraId="2BCA5DD8" w14:textId="77777777" w:rsidR="003C2ACF" w:rsidRDefault="003C2A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 (zero) dias de atraso</w:t>
            </w:r>
          </w:p>
        </w:tc>
        <w:tc>
          <w:tcPr>
            <w:tcW w:w="850" w:type="dxa"/>
            <w:gridSpan w:val="2"/>
            <w:noWrap/>
            <w:hideMark/>
          </w:tcPr>
          <w:p w14:paraId="0D7EE5AA"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240" w:type="dxa"/>
            <w:gridSpan w:val="2"/>
            <w:hideMark/>
          </w:tcPr>
          <w:p w14:paraId="583D5517"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Sem atraso</w:t>
            </w:r>
          </w:p>
        </w:tc>
        <w:tc>
          <w:tcPr>
            <w:tcW w:w="770" w:type="dxa"/>
            <w:gridSpan w:val="2"/>
            <w:noWrap/>
            <w:hideMark/>
          </w:tcPr>
          <w:p w14:paraId="43F6453F" w14:textId="77777777" w:rsidR="003C2ACF" w:rsidRDefault="003C2AC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r>
      <w:tr w:rsidR="003C2ACF" w14:paraId="776C5A90" w14:textId="77777777" w:rsidTr="00D75A6A">
        <w:trPr>
          <w:gridAfter w:val="1"/>
          <w:cnfStyle w:val="000000100000" w:firstRow="0" w:lastRow="0" w:firstColumn="0" w:lastColumn="0" w:oddVBand="0" w:evenVBand="0" w:oddHBand="1" w:evenHBand="0" w:firstRowFirstColumn="0" w:firstRowLastColumn="0" w:lastRowFirstColumn="0" w:lastRowLastColumn="0"/>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6A14BA08" w14:textId="77777777" w:rsidR="003C2ACF" w:rsidRDefault="003C2ACF">
            <w:pPr>
              <w:rPr>
                <w:rFonts w:ascii="Calibri" w:hAnsi="Calibri" w:cs="Calibri"/>
                <w:color w:val="000000"/>
                <w:sz w:val="22"/>
                <w:szCs w:val="22"/>
              </w:rPr>
            </w:pPr>
          </w:p>
        </w:tc>
        <w:tc>
          <w:tcPr>
            <w:tcW w:w="2205" w:type="dxa"/>
            <w:vMerge/>
            <w:hideMark/>
          </w:tcPr>
          <w:p w14:paraId="3831BEAA"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552" w:type="dxa"/>
            <w:vMerge/>
            <w:hideMark/>
          </w:tcPr>
          <w:p w14:paraId="676C5FF7"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843" w:type="dxa"/>
            <w:vMerge/>
            <w:hideMark/>
          </w:tcPr>
          <w:p w14:paraId="43AA6943"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7B9503B5"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w:t>
            </w:r>
          </w:p>
        </w:tc>
        <w:tc>
          <w:tcPr>
            <w:tcW w:w="1240" w:type="dxa"/>
            <w:gridSpan w:val="2"/>
            <w:hideMark/>
          </w:tcPr>
          <w:p w14:paraId="1EBC24D3"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Acima de 1 até 5 dias</w:t>
            </w:r>
          </w:p>
        </w:tc>
        <w:tc>
          <w:tcPr>
            <w:tcW w:w="770" w:type="dxa"/>
            <w:gridSpan w:val="2"/>
            <w:noWrap/>
            <w:hideMark/>
          </w:tcPr>
          <w:p w14:paraId="32DD860C" w14:textId="0C2E802A" w:rsidR="003C2ACF" w:rsidRDefault="003C2AC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9</w:t>
            </w:r>
            <w:r>
              <w:rPr>
                <w:rFonts w:ascii="Calibri" w:hAnsi="Calibri" w:cs="Calibri"/>
                <w:color w:val="000000"/>
                <w:sz w:val="22"/>
                <w:szCs w:val="22"/>
              </w:rPr>
              <w:t>%</w:t>
            </w:r>
          </w:p>
        </w:tc>
      </w:tr>
      <w:tr w:rsidR="003C2ACF" w14:paraId="6962FBB7" w14:textId="77777777" w:rsidTr="00D75A6A">
        <w:trPr>
          <w:gridAfter w:val="1"/>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12DB4F36" w14:textId="77777777" w:rsidR="003C2ACF" w:rsidRDefault="003C2ACF">
            <w:pPr>
              <w:rPr>
                <w:rFonts w:ascii="Calibri" w:hAnsi="Calibri" w:cs="Calibri"/>
                <w:color w:val="000000"/>
                <w:sz w:val="22"/>
                <w:szCs w:val="22"/>
              </w:rPr>
            </w:pPr>
          </w:p>
        </w:tc>
        <w:tc>
          <w:tcPr>
            <w:tcW w:w="2205" w:type="dxa"/>
            <w:vMerge/>
            <w:hideMark/>
          </w:tcPr>
          <w:p w14:paraId="027A78B4"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552" w:type="dxa"/>
            <w:vMerge/>
            <w:hideMark/>
          </w:tcPr>
          <w:p w14:paraId="2F7539B4"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843" w:type="dxa"/>
            <w:vMerge/>
            <w:hideMark/>
          </w:tcPr>
          <w:p w14:paraId="3F337D98"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3565FA79"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240" w:type="dxa"/>
            <w:gridSpan w:val="2"/>
            <w:hideMark/>
          </w:tcPr>
          <w:p w14:paraId="2446CE06"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Acima de 5 até 10 dias</w:t>
            </w:r>
          </w:p>
        </w:tc>
        <w:tc>
          <w:tcPr>
            <w:tcW w:w="770" w:type="dxa"/>
            <w:gridSpan w:val="2"/>
            <w:noWrap/>
            <w:hideMark/>
          </w:tcPr>
          <w:p w14:paraId="4B5A7C65" w14:textId="3609A60C" w:rsidR="003C2ACF" w:rsidRDefault="003C2AC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8,5</w:t>
            </w:r>
            <w:r>
              <w:rPr>
                <w:rFonts w:ascii="Calibri" w:hAnsi="Calibri" w:cs="Calibri"/>
                <w:color w:val="000000"/>
                <w:sz w:val="22"/>
                <w:szCs w:val="22"/>
              </w:rPr>
              <w:t>%</w:t>
            </w:r>
          </w:p>
        </w:tc>
      </w:tr>
      <w:tr w:rsidR="003C2ACF" w14:paraId="6DC06286" w14:textId="77777777" w:rsidTr="00D75A6A">
        <w:trPr>
          <w:gridAfter w:val="1"/>
          <w:cnfStyle w:val="000000100000" w:firstRow="0" w:lastRow="0" w:firstColumn="0" w:lastColumn="0" w:oddVBand="0" w:evenVBand="0" w:oddHBand="1" w:evenHBand="0" w:firstRowFirstColumn="0" w:firstRowLastColumn="0" w:lastRowFirstColumn="0" w:lastRowLastColumn="0"/>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155F9132" w14:textId="77777777" w:rsidR="003C2ACF" w:rsidRDefault="003C2ACF">
            <w:pPr>
              <w:rPr>
                <w:rFonts w:ascii="Calibri" w:hAnsi="Calibri" w:cs="Calibri"/>
                <w:color w:val="000000"/>
                <w:sz w:val="22"/>
                <w:szCs w:val="22"/>
              </w:rPr>
            </w:pPr>
          </w:p>
        </w:tc>
        <w:tc>
          <w:tcPr>
            <w:tcW w:w="2205" w:type="dxa"/>
            <w:vMerge/>
            <w:hideMark/>
          </w:tcPr>
          <w:p w14:paraId="0E51EC5B"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552" w:type="dxa"/>
            <w:vMerge/>
            <w:hideMark/>
          </w:tcPr>
          <w:p w14:paraId="77E51395"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843" w:type="dxa"/>
            <w:vMerge/>
            <w:hideMark/>
          </w:tcPr>
          <w:p w14:paraId="2A2D21A2"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207009E9"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w:t>
            </w:r>
          </w:p>
        </w:tc>
        <w:tc>
          <w:tcPr>
            <w:tcW w:w="1240" w:type="dxa"/>
            <w:gridSpan w:val="2"/>
            <w:hideMark/>
          </w:tcPr>
          <w:p w14:paraId="0539031E"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Acima de 10 dias atraso</w:t>
            </w:r>
          </w:p>
        </w:tc>
        <w:tc>
          <w:tcPr>
            <w:tcW w:w="770" w:type="dxa"/>
            <w:gridSpan w:val="2"/>
            <w:noWrap/>
            <w:hideMark/>
          </w:tcPr>
          <w:p w14:paraId="773956B5" w14:textId="017CED9A" w:rsidR="003C2ACF" w:rsidRDefault="003C2AC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8</w:t>
            </w:r>
            <w:r>
              <w:rPr>
                <w:rFonts w:ascii="Calibri" w:hAnsi="Calibri" w:cs="Calibri"/>
                <w:color w:val="000000"/>
                <w:sz w:val="22"/>
                <w:szCs w:val="22"/>
              </w:rPr>
              <w:t>%</w:t>
            </w:r>
          </w:p>
        </w:tc>
      </w:tr>
      <w:tr w:rsidR="003C2ACF" w14:paraId="64FD6587" w14:textId="77777777" w:rsidTr="00D75A6A">
        <w:trPr>
          <w:gridAfter w:val="1"/>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val="restart"/>
            <w:noWrap/>
            <w:hideMark/>
          </w:tcPr>
          <w:p w14:paraId="0890A9CA" w14:textId="77777777" w:rsidR="003C2ACF" w:rsidRDefault="003C2ACF">
            <w:pPr>
              <w:jc w:val="center"/>
              <w:rPr>
                <w:rFonts w:ascii="Calibri" w:hAnsi="Calibri" w:cs="Calibri"/>
                <w:color w:val="000000"/>
                <w:sz w:val="22"/>
                <w:szCs w:val="22"/>
              </w:rPr>
            </w:pPr>
            <w:r>
              <w:rPr>
                <w:rFonts w:ascii="Calibri" w:hAnsi="Calibri" w:cs="Calibri"/>
                <w:color w:val="000000"/>
                <w:sz w:val="22"/>
                <w:szCs w:val="22"/>
              </w:rPr>
              <w:t>2</w:t>
            </w:r>
          </w:p>
        </w:tc>
        <w:tc>
          <w:tcPr>
            <w:tcW w:w="2205" w:type="dxa"/>
            <w:vMerge w:val="restart"/>
            <w:hideMark/>
          </w:tcPr>
          <w:p w14:paraId="30CE6EA5" w14:textId="04D6C7B8" w:rsidR="003C2ACF" w:rsidRDefault="00F657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Prejudicar ou deixar de cumprir serviços parcialmente por falta de ferramentas, materiais e equipamentos</w:t>
            </w:r>
          </w:p>
        </w:tc>
        <w:tc>
          <w:tcPr>
            <w:tcW w:w="2552" w:type="dxa"/>
            <w:vMerge w:val="restart"/>
            <w:noWrap/>
            <w:hideMark/>
          </w:tcPr>
          <w:p w14:paraId="7A77759F" w14:textId="51637498" w:rsidR="003C2ACF" w:rsidRDefault="00F657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Ocorrência de Atrasos por mês</w:t>
            </w:r>
          </w:p>
        </w:tc>
        <w:tc>
          <w:tcPr>
            <w:tcW w:w="1843" w:type="dxa"/>
            <w:vMerge w:val="restart"/>
            <w:hideMark/>
          </w:tcPr>
          <w:p w14:paraId="53E8521E" w14:textId="7B0C6D97" w:rsidR="003C2ACF" w:rsidRDefault="00F657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ZERO ocorrências</w:t>
            </w:r>
          </w:p>
        </w:tc>
        <w:tc>
          <w:tcPr>
            <w:tcW w:w="850" w:type="dxa"/>
            <w:gridSpan w:val="2"/>
            <w:noWrap/>
            <w:hideMark/>
          </w:tcPr>
          <w:p w14:paraId="12A31E65"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240" w:type="dxa"/>
            <w:gridSpan w:val="2"/>
            <w:hideMark/>
          </w:tcPr>
          <w:p w14:paraId="16D1C5D6" w14:textId="5680B9FC" w:rsidR="003C2ACF" w:rsidRDefault="00F657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ZERO ocorrências</w:t>
            </w:r>
          </w:p>
        </w:tc>
        <w:tc>
          <w:tcPr>
            <w:tcW w:w="770" w:type="dxa"/>
            <w:gridSpan w:val="2"/>
            <w:noWrap/>
            <w:hideMark/>
          </w:tcPr>
          <w:p w14:paraId="089F5E9D" w14:textId="77777777" w:rsidR="003C2ACF" w:rsidRDefault="003C2AC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r>
      <w:tr w:rsidR="003C2ACF" w14:paraId="05AE2345" w14:textId="77777777" w:rsidTr="00D75A6A">
        <w:trPr>
          <w:gridAfter w:val="1"/>
          <w:cnfStyle w:val="000000100000" w:firstRow="0" w:lastRow="0" w:firstColumn="0" w:lastColumn="0" w:oddVBand="0" w:evenVBand="0" w:oddHBand="1" w:evenHBand="0" w:firstRowFirstColumn="0" w:firstRowLastColumn="0" w:lastRowFirstColumn="0" w:lastRowLastColumn="0"/>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682CEA98" w14:textId="77777777" w:rsidR="003C2ACF" w:rsidRDefault="003C2ACF">
            <w:pPr>
              <w:rPr>
                <w:rFonts w:ascii="Calibri" w:hAnsi="Calibri" w:cs="Calibri"/>
                <w:color w:val="000000"/>
                <w:sz w:val="22"/>
                <w:szCs w:val="22"/>
              </w:rPr>
            </w:pPr>
          </w:p>
        </w:tc>
        <w:tc>
          <w:tcPr>
            <w:tcW w:w="2205" w:type="dxa"/>
            <w:vMerge/>
            <w:hideMark/>
          </w:tcPr>
          <w:p w14:paraId="1E30C168"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552" w:type="dxa"/>
            <w:vMerge/>
            <w:hideMark/>
          </w:tcPr>
          <w:p w14:paraId="4F7873BE"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843" w:type="dxa"/>
            <w:vMerge/>
            <w:hideMark/>
          </w:tcPr>
          <w:p w14:paraId="5AFD2C5E"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3D9C0504"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w:t>
            </w:r>
          </w:p>
        </w:tc>
        <w:tc>
          <w:tcPr>
            <w:tcW w:w="1240" w:type="dxa"/>
            <w:gridSpan w:val="2"/>
            <w:hideMark/>
          </w:tcPr>
          <w:p w14:paraId="25792F64" w14:textId="50382DEA" w:rsidR="003C2ACF" w:rsidRDefault="00F657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 1 até 4 ocorrências</w:t>
            </w:r>
          </w:p>
        </w:tc>
        <w:tc>
          <w:tcPr>
            <w:tcW w:w="770" w:type="dxa"/>
            <w:gridSpan w:val="2"/>
            <w:noWrap/>
            <w:hideMark/>
          </w:tcPr>
          <w:p w14:paraId="351BC700" w14:textId="34994C16" w:rsidR="003C2ACF" w:rsidRDefault="003C2AC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9</w:t>
            </w:r>
            <w:r>
              <w:rPr>
                <w:rFonts w:ascii="Calibri" w:hAnsi="Calibri" w:cs="Calibri"/>
                <w:color w:val="000000"/>
                <w:sz w:val="22"/>
                <w:szCs w:val="22"/>
              </w:rPr>
              <w:t>%</w:t>
            </w:r>
          </w:p>
        </w:tc>
      </w:tr>
      <w:tr w:rsidR="003C2ACF" w14:paraId="2F480EB5" w14:textId="77777777" w:rsidTr="00D75A6A">
        <w:trPr>
          <w:gridAfter w:val="1"/>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048BC07F" w14:textId="77777777" w:rsidR="003C2ACF" w:rsidRDefault="003C2ACF">
            <w:pPr>
              <w:rPr>
                <w:rFonts w:ascii="Calibri" w:hAnsi="Calibri" w:cs="Calibri"/>
                <w:color w:val="000000"/>
                <w:sz w:val="22"/>
                <w:szCs w:val="22"/>
              </w:rPr>
            </w:pPr>
          </w:p>
        </w:tc>
        <w:tc>
          <w:tcPr>
            <w:tcW w:w="2205" w:type="dxa"/>
            <w:vMerge/>
            <w:hideMark/>
          </w:tcPr>
          <w:p w14:paraId="006484FC"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552" w:type="dxa"/>
            <w:vMerge/>
            <w:hideMark/>
          </w:tcPr>
          <w:p w14:paraId="2B4E578B"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843" w:type="dxa"/>
            <w:vMerge/>
            <w:hideMark/>
          </w:tcPr>
          <w:p w14:paraId="7781387A"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33608566" w14:textId="77777777" w:rsidR="003C2ACF" w:rsidRDefault="003C2A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240" w:type="dxa"/>
            <w:gridSpan w:val="2"/>
            <w:hideMark/>
          </w:tcPr>
          <w:p w14:paraId="18EA753F" w14:textId="3BB905F7" w:rsidR="003C2ACF" w:rsidRDefault="00F6577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 4 até 6 ocorrências</w:t>
            </w:r>
          </w:p>
        </w:tc>
        <w:tc>
          <w:tcPr>
            <w:tcW w:w="770" w:type="dxa"/>
            <w:gridSpan w:val="2"/>
            <w:noWrap/>
            <w:hideMark/>
          </w:tcPr>
          <w:p w14:paraId="75A0A788" w14:textId="4C4EE73C" w:rsidR="003C2ACF" w:rsidRDefault="003C2AC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8,5</w:t>
            </w:r>
            <w:r>
              <w:rPr>
                <w:rFonts w:ascii="Calibri" w:hAnsi="Calibri" w:cs="Calibri"/>
                <w:color w:val="000000"/>
                <w:sz w:val="22"/>
                <w:szCs w:val="22"/>
              </w:rPr>
              <w:t>%</w:t>
            </w:r>
          </w:p>
        </w:tc>
      </w:tr>
      <w:tr w:rsidR="003C2ACF" w14:paraId="2F861180" w14:textId="77777777" w:rsidTr="00D75A6A">
        <w:trPr>
          <w:gridAfter w:val="1"/>
          <w:cnfStyle w:val="000000100000" w:firstRow="0" w:lastRow="0" w:firstColumn="0" w:lastColumn="0" w:oddVBand="0" w:evenVBand="0" w:oddHBand="1" w:evenHBand="0" w:firstRowFirstColumn="0" w:firstRowLastColumn="0" w:lastRowFirstColumn="0" w:lastRowLastColumn="0"/>
          <w:wAfter w:w="45" w:type="dxa"/>
          <w:trHeight w:val="600"/>
        </w:trPr>
        <w:tc>
          <w:tcPr>
            <w:cnfStyle w:val="001000000000" w:firstRow="0" w:lastRow="0" w:firstColumn="1" w:lastColumn="0" w:oddVBand="0" w:evenVBand="0" w:oddHBand="0" w:evenHBand="0" w:firstRowFirstColumn="0" w:firstRowLastColumn="0" w:lastRowFirstColumn="0" w:lastRowLastColumn="0"/>
            <w:tcW w:w="630" w:type="dxa"/>
            <w:vMerge/>
            <w:hideMark/>
          </w:tcPr>
          <w:p w14:paraId="7A690ACB" w14:textId="77777777" w:rsidR="003C2ACF" w:rsidRDefault="003C2ACF">
            <w:pPr>
              <w:rPr>
                <w:rFonts w:ascii="Calibri" w:hAnsi="Calibri" w:cs="Calibri"/>
                <w:color w:val="000000"/>
                <w:sz w:val="22"/>
                <w:szCs w:val="22"/>
              </w:rPr>
            </w:pPr>
          </w:p>
        </w:tc>
        <w:tc>
          <w:tcPr>
            <w:tcW w:w="2205" w:type="dxa"/>
            <w:vMerge/>
            <w:hideMark/>
          </w:tcPr>
          <w:p w14:paraId="2AD0142B"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552" w:type="dxa"/>
            <w:vMerge/>
            <w:hideMark/>
          </w:tcPr>
          <w:p w14:paraId="0BA28A5E"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843" w:type="dxa"/>
            <w:vMerge/>
            <w:hideMark/>
          </w:tcPr>
          <w:p w14:paraId="75A2FC55"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850" w:type="dxa"/>
            <w:gridSpan w:val="2"/>
            <w:noWrap/>
            <w:hideMark/>
          </w:tcPr>
          <w:p w14:paraId="08B72DF6" w14:textId="77777777" w:rsidR="003C2ACF" w:rsidRDefault="003C2AC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w:t>
            </w:r>
          </w:p>
        </w:tc>
        <w:tc>
          <w:tcPr>
            <w:tcW w:w="1240" w:type="dxa"/>
            <w:gridSpan w:val="2"/>
            <w:hideMark/>
          </w:tcPr>
          <w:p w14:paraId="766AEB30" w14:textId="6984AD35" w:rsidR="003C2ACF" w:rsidRDefault="00F6577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Acima de 6 ocorrências</w:t>
            </w:r>
          </w:p>
        </w:tc>
        <w:tc>
          <w:tcPr>
            <w:tcW w:w="770" w:type="dxa"/>
            <w:gridSpan w:val="2"/>
            <w:noWrap/>
            <w:hideMark/>
          </w:tcPr>
          <w:p w14:paraId="7ECD92CF" w14:textId="66656241" w:rsidR="003C2ACF" w:rsidRDefault="003C2AC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F65770">
              <w:rPr>
                <w:rFonts w:ascii="Calibri" w:hAnsi="Calibri" w:cs="Calibri"/>
                <w:color w:val="000000"/>
                <w:sz w:val="22"/>
                <w:szCs w:val="22"/>
              </w:rPr>
              <w:t>8</w:t>
            </w:r>
            <w:r>
              <w:rPr>
                <w:rFonts w:ascii="Calibri" w:hAnsi="Calibri" w:cs="Calibri"/>
                <w:color w:val="000000"/>
                <w:sz w:val="22"/>
                <w:szCs w:val="22"/>
              </w:rPr>
              <w:t>%</w:t>
            </w:r>
          </w:p>
        </w:tc>
      </w:tr>
    </w:tbl>
    <w:p w14:paraId="3258B57A" w14:textId="4B291CA4" w:rsidR="003C2ACF" w:rsidRDefault="003C2ACF" w:rsidP="003C2ACF">
      <w:pPr>
        <w:pStyle w:val="PargrafodaLista"/>
        <w:tabs>
          <w:tab w:val="left" w:pos="0"/>
        </w:tabs>
        <w:ind w:left="426"/>
        <w:jc w:val="both"/>
        <w:rPr>
          <w:rFonts w:ascii="Arial" w:eastAsiaTheme="minorHAnsi" w:hAnsi="Arial" w:cs="Arial"/>
          <w:sz w:val="18"/>
          <w:szCs w:val="18"/>
          <w:lang w:eastAsia="en-US"/>
        </w:rPr>
      </w:pPr>
    </w:p>
    <w:p w14:paraId="033CA27D" w14:textId="77777777" w:rsidR="003C2ACF" w:rsidRDefault="003C2ACF" w:rsidP="003C2ACF">
      <w:pPr>
        <w:pStyle w:val="PargrafodaLista"/>
        <w:tabs>
          <w:tab w:val="left" w:pos="0"/>
        </w:tabs>
        <w:ind w:left="426"/>
        <w:jc w:val="both"/>
        <w:rPr>
          <w:rFonts w:ascii="Arial" w:eastAsiaTheme="minorHAnsi" w:hAnsi="Arial" w:cs="Arial"/>
          <w:sz w:val="18"/>
          <w:szCs w:val="18"/>
          <w:lang w:eastAsia="en-US"/>
        </w:rPr>
      </w:pPr>
    </w:p>
    <w:p w14:paraId="07B5B03D" w14:textId="77777777" w:rsidR="003C2ACF" w:rsidRPr="003C2ACF" w:rsidRDefault="003C2ACF" w:rsidP="003C2ACF">
      <w:pPr>
        <w:autoSpaceDE w:val="0"/>
        <w:autoSpaceDN w:val="0"/>
        <w:adjustRightInd w:val="0"/>
        <w:spacing w:line="276" w:lineRule="auto"/>
        <w:jc w:val="both"/>
        <w:rPr>
          <w:rFonts w:asciiTheme="minorHAnsi" w:eastAsiaTheme="minorHAnsi" w:hAnsiTheme="minorHAnsi" w:cstheme="minorHAnsi"/>
          <w:b/>
          <w:bCs/>
          <w:sz w:val="22"/>
          <w:szCs w:val="22"/>
          <w:lang w:eastAsia="en-US"/>
        </w:rPr>
      </w:pPr>
      <w:r w:rsidRPr="003C2ACF">
        <w:rPr>
          <w:rFonts w:asciiTheme="minorHAnsi" w:eastAsiaTheme="minorHAnsi" w:hAnsiTheme="minorHAnsi" w:cstheme="minorHAnsi"/>
          <w:b/>
          <w:bCs/>
          <w:sz w:val="22"/>
          <w:szCs w:val="22"/>
          <w:lang w:eastAsia="en-US"/>
        </w:rPr>
        <w:t>NOTAS:</w:t>
      </w:r>
    </w:p>
    <w:p w14:paraId="7ACD6CAD" w14:textId="77777777" w:rsidR="003C2ACF" w:rsidRDefault="003C2ACF" w:rsidP="003C2ACF">
      <w:p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b/>
          <w:bCs/>
          <w:sz w:val="22"/>
          <w:szCs w:val="22"/>
          <w:lang w:eastAsia="en-US"/>
        </w:rPr>
        <w:t xml:space="preserve">1) </w:t>
      </w:r>
      <w:r w:rsidRPr="003C2ACF">
        <w:rPr>
          <w:rFonts w:asciiTheme="minorHAnsi" w:eastAsiaTheme="minorHAnsi" w:hAnsiTheme="minorHAnsi" w:cstheme="minorHAnsi"/>
          <w:sz w:val="22"/>
          <w:szCs w:val="22"/>
          <w:lang w:eastAsia="en-US"/>
        </w:rPr>
        <w:t>O desconto realizado em função do IMR não impede outras penalidades por</w:t>
      </w:r>
      <w:r>
        <w:rPr>
          <w:rFonts w:asciiTheme="minorHAnsi" w:eastAsiaTheme="minorHAnsi" w:hAnsiTheme="minorHAnsi" w:cstheme="minorHAnsi"/>
          <w:sz w:val="22"/>
          <w:szCs w:val="22"/>
          <w:lang w:eastAsia="en-US"/>
        </w:rPr>
        <w:t xml:space="preserve"> </w:t>
      </w:r>
      <w:r w:rsidRPr="003C2ACF">
        <w:rPr>
          <w:rFonts w:asciiTheme="minorHAnsi" w:eastAsiaTheme="minorHAnsi" w:hAnsiTheme="minorHAnsi" w:cstheme="minorHAnsi"/>
          <w:sz w:val="22"/>
          <w:szCs w:val="22"/>
          <w:lang w:eastAsia="en-US"/>
        </w:rPr>
        <w:t>descumprimentos contratuais de aspectos não relacionados ao mesmo.</w:t>
      </w:r>
      <w:r>
        <w:rPr>
          <w:rFonts w:asciiTheme="minorHAnsi" w:eastAsiaTheme="minorHAnsi" w:hAnsiTheme="minorHAnsi" w:cstheme="minorHAnsi"/>
          <w:sz w:val="22"/>
          <w:szCs w:val="22"/>
          <w:lang w:eastAsia="en-US"/>
        </w:rPr>
        <w:t xml:space="preserve"> </w:t>
      </w:r>
    </w:p>
    <w:p w14:paraId="20A1FC84" w14:textId="6A9B5846" w:rsidR="003C2ACF" w:rsidRPr="003C2ACF" w:rsidRDefault="003C2ACF" w:rsidP="003C2ACF">
      <w:pPr>
        <w:autoSpaceDE w:val="0"/>
        <w:autoSpaceDN w:val="0"/>
        <w:adjustRightInd w:val="0"/>
        <w:spacing w:line="276" w:lineRule="auto"/>
        <w:jc w:val="both"/>
        <w:rPr>
          <w:rFonts w:asciiTheme="minorHAnsi" w:eastAsiaTheme="minorHAnsi" w:hAnsiTheme="minorHAnsi" w:cstheme="minorHAnsi"/>
          <w:sz w:val="22"/>
          <w:szCs w:val="22"/>
          <w:lang w:eastAsia="en-US"/>
        </w:rPr>
      </w:pPr>
      <w:r w:rsidRPr="003C2ACF">
        <w:rPr>
          <w:rFonts w:asciiTheme="minorHAnsi" w:eastAsiaTheme="minorHAnsi" w:hAnsiTheme="minorHAnsi" w:cstheme="minorHAnsi"/>
          <w:b/>
          <w:bCs/>
          <w:sz w:val="22"/>
          <w:szCs w:val="22"/>
          <w:lang w:eastAsia="en-US"/>
        </w:rPr>
        <w:t xml:space="preserve">2) </w:t>
      </w:r>
      <w:r w:rsidRPr="003C2ACF">
        <w:rPr>
          <w:rFonts w:asciiTheme="minorHAnsi" w:eastAsiaTheme="minorHAnsi" w:hAnsiTheme="minorHAnsi" w:cstheme="minorHAnsi"/>
          <w:sz w:val="22"/>
          <w:szCs w:val="22"/>
          <w:lang w:eastAsia="en-US"/>
        </w:rPr>
        <w:t>Deverão ser descontadas do cálculo IMR os itens previstos não executados por falta da</w:t>
      </w:r>
      <w:r>
        <w:rPr>
          <w:rFonts w:asciiTheme="minorHAnsi" w:eastAsiaTheme="minorHAnsi" w:hAnsiTheme="minorHAnsi" w:cstheme="minorHAnsi"/>
          <w:sz w:val="22"/>
          <w:szCs w:val="22"/>
          <w:lang w:eastAsia="en-US"/>
        </w:rPr>
        <w:t xml:space="preserve"> </w:t>
      </w:r>
      <w:r w:rsidRPr="003C2ACF">
        <w:rPr>
          <w:rFonts w:asciiTheme="minorHAnsi" w:eastAsiaTheme="minorHAnsi" w:hAnsiTheme="minorHAnsi" w:cstheme="minorHAnsi"/>
          <w:sz w:val="22"/>
          <w:szCs w:val="22"/>
          <w:lang w:eastAsia="en-US"/>
        </w:rPr>
        <w:t>Contratante e/ou de ações alheias à capacidade de atuação da Contratada, conforme</w:t>
      </w:r>
      <w:r>
        <w:rPr>
          <w:rFonts w:asciiTheme="minorHAnsi" w:eastAsiaTheme="minorHAnsi" w:hAnsiTheme="minorHAnsi" w:cstheme="minorHAnsi"/>
          <w:sz w:val="22"/>
          <w:szCs w:val="22"/>
          <w:lang w:eastAsia="en-US"/>
        </w:rPr>
        <w:t xml:space="preserve"> </w:t>
      </w:r>
      <w:r w:rsidRPr="003C2ACF">
        <w:rPr>
          <w:rFonts w:asciiTheme="minorHAnsi" w:eastAsiaTheme="minorHAnsi" w:hAnsiTheme="minorHAnsi" w:cstheme="minorHAnsi"/>
          <w:sz w:val="22"/>
          <w:szCs w:val="22"/>
          <w:lang w:eastAsia="en-US"/>
        </w:rPr>
        <w:t>julgamento da Fiscalização do Contrato.</w:t>
      </w:r>
    </w:p>
    <w:sectPr w:rsidR="003C2ACF" w:rsidRPr="003C2ACF" w:rsidSect="003C2ACF">
      <w:footerReference w:type="default" r:id="rId10"/>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4297" w14:textId="77777777" w:rsidR="00E8524F" w:rsidRDefault="00E8524F" w:rsidP="00A116FB">
      <w:r>
        <w:separator/>
      </w:r>
    </w:p>
  </w:endnote>
  <w:endnote w:type="continuationSeparator" w:id="0">
    <w:p w14:paraId="5AD72E6C" w14:textId="77777777" w:rsidR="00E8524F" w:rsidRDefault="00E8524F"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5159" w14:textId="278E4865" w:rsidR="005E4DB5" w:rsidRPr="005E4DB5" w:rsidRDefault="004C7509">
    <w:pPr>
      <w:pStyle w:val="Rodap"/>
      <w:rPr>
        <w:rFonts w:asciiTheme="minorHAnsi" w:hAnsiTheme="minorHAnsi" w:cstheme="minorHAnsi"/>
        <w:i/>
        <w:iCs/>
        <w:sz w:val="20"/>
        <w:szCs w:val="20"/>
      </w:rPr>
    </w:pPr>
    <w:r>
      <w:rPr>
        <w:rFonts w:asciiTheme="minorHAnsi" w:hAnsiTheme="minorHAnsi" w:cstheme="minorHAnsi"/>
        <w:i/>
        <w:iCs/>
        <w:sz w:val="20"/>
        <w:szCs w:val="20"/>
      </w:rPr>
      <w:fldChar w:fldCharType="begin"/>
    </w:r>
    <w:r>
      <w:rPr>
        <w:rFonts w:asciiTheme="minorHAnsi" w:hAnsiTheme="minorHAnsi" w:cstheme="minorHAnsi"/>
        <w:i/>
        <w:iCs/>
        <w:sz w:val="20"/>
        <w:szCs w:val="20"/>
      </w:rPr>
      <w:instrText xml:space="preserve"> FILENAME \* MERGEFORMAT </w:instrText>
    </w:r>
    <w:r>
      <w:rPr>
        <w:rFonts w:asciiTheme="minorHAnsi" w:hAnsiTheme="minorHAnsi" w:cstheme="minorHAnsi"/>
        <w:i/>
        <w:iCs/>
        <w:sz w:val="20"/>
        <w:szCs w:val="20"/>
      </w:rPr>
      <w:fldChar w:fldCharType="separate"/>
    </w:r>
    <w:r w:rsidR="00047B47">
      <w:rPr>
        <w:rFonts w:asciiTheme="minorHAnsi" w:hAnsiTheme="minorHAnsi" w:cstheme="minorHAnsi"/>
        <w:i/>
        <w:iCs/>
        <w:noProof/>
        <w:sz w:val="20"/>
        <w:szCs w:val="20"/>
      </w:rPr>
      <w:t>Anexo III - PE XX.2023 IMR</w:t>
    </w:r>
    <w:r>
      <w:rPr>
        <w:rFonts w:asciiTheme="minorHAnsi" w:hAnsiTheme="minorHAnsi" w:cstheme="minorHAnsi"/>
        <w:i/>
        <w:iCs/>
        <w:sz w:val="20"/>
        <w:szCs w:val="20"/>
      </w:rPr>
      <w:fldChar w:fldCharType="end"/>
    </w:r>
    <w:r w:rsidR="005E4DB5">
      <w:rPr>
        <w:rFonts w:asciiTheme="minorHAnsi" w:hAnsiTheme="minorHAnsi" w:cstheme="minorHAnsi"/>
        <w:i/>
        <w:iCs/>
        <w:sz w:val="20"/>
        <w:szCs w:val="20"/>
      </w:rPr>
      <w:tab/>
    </w:r>
    <w:r w:rsidR="005E4DB5">
      <w:rPr>
        <w:rFonts w:asciiTheme="minorHAnsi" w:hAnsiTheme="minorHAnsi" w:cstheme="minorHAnsi"/>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0E5" w14:textId="77777777" w:rsidR="00E8524F" w:rsidRDefault="00E8524F" w:rsidP="00A116FB">
      <w:r>
        <w:separator/>
      </w:r>
    </w:p>
  </w:footnote>
  <w:footnote w:type="continuationSeparator" w:id="0">
    <w:p w14:paraId="676D61C0" w14:textId="77777777" w:rsidR="00E8524F" w:rsidRDefault="00E8524F" w:rsidP="00A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8D6206F"/>
    <w:multiLevelType w:val="multilevel"/>
    <w:tmpl w:val="F9B8CC44"/>
    <w:lvl w:ilvl="0">
      <w:start w:val="1"/>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2016"/>
    <w:multiLevelType w:val="multilevel"/>
    <w:tmpl w:val="CED8C77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D3978"/>
    <w:multiLevelType w:val="multilevel"/>
    <w:tmpl w:val="CED8C774"/>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66B916D7"/>
    <w:multiLevelType w:val="hybridMultilevel"/>
    <w:tmpl w:val="BB0AE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10"/>
  </w:num>
  <w:num w:numId="2" w16cid:durableId="1542981066">
    <w:abstractNumId w:val="11"/>
  </w:num>
  <w:num w:numId="3" w16cid:durableId="1624995370">
    <w:abstractNumId w:val="18"/>
  </w:num>
  <w:num w:numId="4" w16cid:durableId="1845512330">
    <w:abstractNumId w:val="12"/>
  </w:num>
  <w:num w:numId="5" w16cid:durableId="558248567">
    <w:abstractNumId w:val="1"/>
  </w:num>
  <w:num w:numId="6" w16cid:durableId="1383141711">
    <w:abstractNumId w:val="14"/>
  </w:num>
  <w:num w:numId="7" w16cid:durableId="1032074301">
    <w:abstractNumId w:val="17"/>
  </w:num>
  <w:num w:numId="8" w16cid:durableId="148837477">
    <w:abstractNumId w:val="13"/>
  </w:num>
  <w:num w:numId="9" w16cid:durableId="997030895">
    <w:abstractNumId w:val="2"/>
  </w:num>
  <w:num w:numId="10" w16cid:durableId="1803814904">
    <w:abstractNumId w:val="6"/>
  </w:num>
  <w:num w:numId="11" w16cid:durableId="1348407135">
    <w:abstractNumId w:val="8"/>
  </w:num>
  <w:num w:numId="12" w16cid:durableId="1917933601">
    <w:abstractNumId w:val="3"/>
  </w:num>
  <w:num w:numId="13" w16cid:durableId="1335180098">
    <w:abstractNumId w:val="0"/>
  </w:num>
  <w:num w:numId="14" w16cid:durableId="1191409631">
    <w:abstractNumId w:val="19"/>
  </w:num>
  <w:num w:numId="15" w16cid:durableId="1940018158">
    <w:abstractNumId w:val="16"/>
  </w:num>
  <w:num w:numId="16" w16cid:durableId="1576162551">
    <w:abstractNumId w:val="9"/>
  </w:num>
  <w:num w:numId="17" w16cid:durableId="984628081">
    <w:abstractNumId w:val="4"/>
  </w:num>
  <w:num w:numId="18" w16cid:durableId="634795613">
    <w:abstractNumId w:val="21"/>
  </w:num>
  <w:num w:numId="19" w16cid:durableId="1036807260">
    <w:abstractNumId w:val="20"/>
  </w:num>
  <w:num w:numId="20" w16cid:durableId="1830244167">
    <w:abstractNumId w:val="5"/>
  </w:num>
  <w:num w:numId="21" w16cid:durableId="785588143">
    <w:abstractNumId w:val="15"/>
  </w:num>
  <w:num w:numId="22" w16cid:durableId="860826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04E30"/>
    <w:rsid w:val="000239F4"/>
    <w:rsid w:val="0003130F"/>
    <w:rsid w:val="0003496D"/>
    <w:rsid w:val="00047B47"/>
    <w:rsid w:val="000523CA"/>
    <w:rsid w:val="00106F74"/>
    <w:rsid w:val="001149FE"/>
    <w:rsid w:val="00125AF5"/>
    <w:rsid w:val="001347A0"/>
    <w:rsid w:val="00146AC4"/>
    <w:rsid w:val="00150B06"/>
    <w:rsid w:val="00153CB1"/>
    <w:rsid w:val="00185559"/>
    <w:rsid w:val="001E33C4"/>
    <w:rsid w:val="00232D24"/>
    <w:rsid w:val="002764D1"/>
    <w:rsid w:val="002D315C"/>
    <w:rsid w:val="002E3C88"/>
    <w:rsid w:val="002F3AB3"/>
    <w:rsid w:val="002F63BF"/>
    <w:rsid w:val="003229E7"/>
    <w:rsid w:val="003811FD"/>
    <w:rsid w:val="003B716D"/>
    <w:rsid w:val="003C2ACF"/>
    <w:rsid w:val="003D48BF"/>
    <w:rsid w:val="003F7B77"/>
    <w:rsid w:val="00400A94"/>
    <w:rsid w:val="00425222"/>
    <w:rsid w:val="00441A6E"/>
    <w:rsid w:val="004500FD"/>
    <w:rsid w:val="00474BEB"/>
    <w:rsid w:val="004C7509"/>
    <w:rsid w:val="004D323F"/>
    <w:rsid w:val="00505200"/>
    <w:rsid w:val="005224BB"/>
    <w:rsid w:val="0057035B"/>
    <w:rsid w:val="005913FE"/>
    <w:rsid w:val="005B1931"/>
    <w:rsid w:val="005C1E22"/>
    <w:rsid w:val="005E1ACB"/>
    <w:rsid w:val="005E4DB5"/>
    <w:rsid w:val="00606C14"/>
    <w:rsid w:val="00635738"/>
    <w:rsid w:val="006726D7"/>
    <w:rsid w:val="00672A05"/>
    <w:rsid w:val="00676FA4"/>
    <w:rsid w:val="00697934"/>
    <w:rsid w:val="006C3158"/>
    <w:rsid w:val="00710F68"/>
    <w:rsid w:val="007326A7"/>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B2F4F"/>
    <w:rsid w:val="00AC3D95"/>
    <w:rsid w:val="00AE3D56"/>
    <w:rsid w:val="00B3224C"/>
    <w:rsid w:val="00B541F6"/>
    <w:rsid w:val="00B731D5"/>
    <w:rsid w:val="00B75C81"/>
    <w:rsid w:val="00B7769F"/>
    <w:rsid w:val="00BB09BB"/>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75A6A"/>
    <w:rsid w:val="00D97F19"/>
    <w:rsid w:val="00DA11D0"/>
    <w:rsid w:val="00DA229F"/>
    <w:rsid w:val="00DA5F31"/>
    <w:rsid w:val="00DC77CF"/>
    <w:rsid w:val="00DD5D63"/>
    <w:rsid w:val="00E6083F"/>
    <w:rsid w:val="00E8524F"/>
    <w:rsid w:val="00E94B74"/>
    <w:rsid w:val="00EC3E01"/>
    <w:rsid w:val="00F41FB6"/>
    <w:rsid w:val="00F46A4B"/>
    <w:rsid w:val="00F571CB"/>
    <w:rsid w:val="00F60A70"/>
    <w:rsid w:val="00F657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2">
    <w:name w:val="Grid Table 4 Accent 2"/>
    <w:basedOn w:val="Tabelanormal"/>
    <w:uiPriority w:val="49"/>
    <w:rsid w:val="003C2A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Grade4-nfase5">
    <w:name w:val="Grid Table 4 Accent 5"/>
    <w:basedOn w:val="Tabelanormal"/>
    <w:uiPriority w:val="49"/>
    <w:rsid w:val="003C2A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GradeClara">
    <w:name w:val="Grid Table Light"/>
    <w:basedOn w:val="Tabelanormal"/>
    <w:uiPriority w:val="40"/>
    <w:rsid w:val="003C2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3C2A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524371516">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 w:id="18649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AABE-71DE-4875-A1C1-0917663D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4</cp:revision>
  <cp:lastPrinted>2023-03-12T06:00:00Z</cp:lastPrinted>
  <dcterms:created xsi:type="dcterms:W3CDTF">2023-03-12T05:59:00Z</dcterms:created>
  <dcterms:modified xsi:type="dcterms:W3CDTF">2023-03-12T06:01:00Z</dcterms:modified>
</cp:coreProperties>
</file>