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000000" w:themeColor="text1"/>
          <w:sz w:val="20"/>
          <w:szCs w:val="20"/>
          <w:lang w:val="pt-BR"/>
        </w:rPr>
      </w:pPr>
      <w:r>
        <w:rPr>
          <w:rFonts w:hint="default" w:ascii="Verdana" w:hAnsi="Verdana" w:cs="Arial"/>
          <w:b/>
          <w:bCs/>
          <w:color w:val="FF0000"/>
          <w:sz w:val="20"/>
          <w:szCs w:val="20"/>
          <w:lang w:val="pt-BR"/>
        </w:rPr>
        <w:t xml:space="preserve"> </w:t>
      </w:r>
      <w:r>
        <w:rPr>
          <w:rFonts w:hint="default" w:ascii="Verdana" w:hAnsi="Verdana" w:cs="Arial"/>
          <w:b/>
          <w:bCs/>
          <w:color w:val="000000" w:themeColor="text1"/>
          <w:sz w:val="20"/>
          <w:szCs w:val="20"/>
          <w:lang w:val="pt-BR"/>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132/2022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23069.187005/2022-62)</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68.419</w:t>
      </w:r>
      <w:r>
        <w:rPr>
          <w:rFonts w:ascii="Verdana" w:hAnsi="Verdana"/>
          <w:sz w:val="20"/>
          <w:szCs w:val="20"/>
        </w:rPr>
        <w:t xml:space="preserve"> de </w:t>
      </w:r>
      <w:r>
        <w:rPr>
          <w:rFonts w:hint="default" w:ascii="Verdana" w:hAnsi="Verdana"/>
          <w:sz w:val="20"/>
          <w:szCs w:val="20"/>
          <w:lang w:val="pt-BR"/>
        </w:rPr>
        <w:t>26 de agosto de 2022</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color w:val="000000" w:themeColor="text1"/>
          <w:szCs w:val="20"/>
          <w:lang w:val="pt-BR"/>
        </w:rPr>
        <w:t>06/12/2022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000000" w:themeColor="text1"/>
          <w:szCs w:val="20"/>
          <w:lang w:val="pt-BR"/>
        </w:rPr>
        <w:t>09h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w:t>
      </w:r>
      <w:r>
        <w:rPr>
          <w:rFonts w:ascii="Verdana" w:hAnsi="Verdana"/>
          <w:szCs w:val="20"/>
        </w:rPr>
        <w:t xml:space="preserve">a conclusão com readequações, da obra inacabada do Módulo de Vivência do Instituto de Ciências Humanas e Filosofia - ICHF/UFF no Campus Universitário do Gragoatá, Niterói, RJ, </w:t>
      </w:r>
      <w:r>
        <w:rPr>
          <w:rFonts w:ascii="Verdana" w:hAnsi="Verdana" w:cs="Arial"/>
          <w:szCs w:val="20"/>
        </w:rPr>
        <w:t>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Localização da obra: Campus do Gragoatá, na Avenida Visconde do Rio Branco, s/n.º, bairro do Gragoatá, Niterói – RJ.</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highlight w:val="none"/>
        </w:rPr>
      </w:pPr>
      <w:r>
        <w:rPr>
          <w:rFonts w:ascii="Verdana" w:hAnsi="Verdana" w:cs="Arial"/>
          <w:b/>
          <w:bCs/>
          <w:szCs w:val="20"/>
        </w:rPr>
        <w:t>DOS R</w:t>
      </w:r>
      <w:r>
        <w:rPr>
          <w:rFonts w:ascii="Verdana" w:hAnsi="Verdana" w:cs="Arial"/>
          <w:b/>
          <w:bCs/>
          <w:szCs w:val="20"/>
          <w:highlight w:val="none"/>
        </w:rPr>
        <w:t>ECURSOS ORÇAMENTÁRIOS</w:t>
      </w:r>
    </w:p>
    <w:p>
      <w:pPr>
        <w:pStyle w:val="73"/>
        <w:keepNext w:val="0"/>
        <w:widowControl/>
        <w:numPr>
          <w:ilvl w:val="1"/>
          <w:numId w:val="3"/>
        </w:numPr>
        <w:spacing w:before="120" w:after="120"/>
        <w:ind w:left="709" w:hanging="283"/>
        <w:rPr>
          <w:rFonts w:ascii="Verdana" w:hAnsi="Verdana" w:cs="Arial"/>
          <w:szCs w:val="20"/>
          <w:highlight w:val="none"/>
        </w:rPr>
      </w:pPr>
      <w:r>
        <w:rPr>
          <w:rFonts w:ascii="Verdana" w:hAnsi="Verdana" w:cs="Arial"/>
          <w:color w:val="000000"/>
          <w:szCs w:val="20"/>
          <w:highlight w:val="none"/>
        </w:rPr>
        <w:t xml:space="preserve">As despesas para atender a esta licitação estão programadas em dotação orçamentária própria, prevista no orçamento da União para o exercício de </w:t>
      </w:r>
      <w:r>
        <w:rPr>
          <w:rFonts w:ascii="Verdana" w:hAnsi="Verdana" w:cs="Arial"/>
          <w:szCs w:val="20"/>
          <w:highlight w:val="none"/>
        </w:rPr>
        <w:t>20</w:t>
      </w:r>
      <w:r>
        <w:rPr>
          <w:rFonts w:hint="default" w:ascii="Verdana" w:hAnsi="Verdana" w:cs="Arial"/>
          <w:szCs w:val="20"/>
          <w:highlight w:val="none"/>
          <w:lang w:val="pt-BR"/>
        </w:rPr>
        <w:t>22</w:t>
      </w:r>
      <w:r>
        <w:rPr>
          <w:rFonts w:ascii="Verdana" w:hAnsi="Verdana" w:cs="Arial"/>
          <w:szCs w:val="20"/>
          <w:highlight w:val="none"/>
        </w:rPr>
        <w:t>,</w:t>
      </w:r>
      <w:r>
        <w:rPr>
          <w:rFonts w:ascii="Verdana" w:hAnsi="Verdana" w:cs="Arial"/>
          <w:color w:val="000000"/>
          <w:szCs w:val="20"/>
          <w:highlight w:val="none"/>
        </w:rPr>
        <w:t xml:space="preserve"> na classificação abaixo:</w:t>
      </w:r>
    </w:p>
    <w:p>
      <w:pPr>
        <w:pStyle w:val="73"/>
        <w:keepNext w:val="0"/>
        <w:widowControl/>
        <w:numPr>
          <w:ilvl w:val="2"/>
          <w:numId w:val="3"/>
        </w:numPr>
        <w:spacing w:before="120" w:after="120"/>
        <w:ind w:left="1418" w:hanging="284"/>
        <w:rPr>
          <w:rFonts w:ascii="Verdana" w:hAnsi="Verdana" w:cs="Arial"/>
          <w:sz w:val="18"/>
          <w:szCs w:val="18"/>
          <w:highlight w:val="none"/>
        </w:rPr>
      </w:pPr>
      <w:r>
        <w:rPr>
          <w:rFonts w:ascii="Verdana" w:hAnsi="Verdana" w:cs="Arial"/>
          <w:color w:val="000000"/>
          <w:sz w:val="18"/>
          <w:szCs w:val="18"/>
          <w:highlight w:val="none"/>
          <w:lang w:eastAsia="en-US"/>
        </w:rPr>
        <w:t>Gestão/Unidade:</w:t>
      </w:r>
      <w:r>
        <w:rPr>
          <w:rFonts w:hint="default" w:ascii="Verdana" w:hAnsi="Verdana" w:cs="Arial"/>
          <w:color w:val="000000"/>
          <w:sz w:val="18"/>
          <w:szCs w:val="18"/>
          <w:highlight w:val="none"/>
          <w:lang w:val="pt-BR" w:eastAsia="en-US"/>
        </w:rPr>
        <w:t xml:space="preserve"> 154027</w:t>
      </w:r>
    </w:p>
    <w:p>
      <w:pPr>
        <w:pStyle w:val="73"/>
        <w:keepNext w:val="0"/>
        <w:widowControl/>
        <w:numPr>
          <w:ilvl w:val="2"/>
          <w:numId w:val="3"/>
        </w:numPr>
        <w:spacing w:before="120" w:after="120"/>
        <w:ind w:left="1418" w:hanging="284"/>
        <w:rPr>
          <w:rFonts w:ascii="Verdana" w:hAnsi="Verdana" w:cs="Arial"/>
          <w:sz w:val="18"/>
          <w:szCs w:val="18"/>
          <w:highlight w:val="none"/>
        </w:rPr>
      </w:pPr>
      <w:r>
        <w:rPr>
          <w:rFonts w:ascii="Verdana" w:hAnsi="Verdana" w:cs="Arial"/>
          <w:color w:val="000000"/>
          <w:sz w:val="18"/>
          <w:szCs w:val="18"/>
          <w:highlight w:val="none"/>
          <w:lang w:eastAsia="en-US"/>
        </w:rPr>
        <w:t>Fonte:</w:t>
      </w:r>
      <w:r>
        <w:rPr>
          <w:rFonts w:hint="default" w:ascii="Verdana" w:hAnsi="Verdana" w:cs="Arial"/>
          <w:color w:val="000000"/>
          <w:sz w:val="18"/>
          <w:szCs w:val="18"/>
          <w:highlight w:val="none"/>
          <w:lang w:val="pt-BR" w:eastAsia="en-US"/>
        </w:rPr>
        <w:t xml:space="preserve"> 8100</w:t>
      </w:r>
    </w:p>
    <w:p>
      <w:pPr>
        <w:pStyle w:val="73"/>
        <w:keepNext w:val="0"/>
        <w:widowControl/>
        <w:numPr>
          <w:ilvl w:val="2"/>
          <w:numId w:val="3"/>
        </w:numPr>
        <w:spacing w:before="120" w:after="120"/>
        <w:ind w:left="1418" w:hanging="284"/>
        <w:rPr>
          <w:rFonts w:ascii="Verdana" w:hAnsi="Verdana" w:cs="Arial"/>
          <w:sz w:val="18"/>
          <w:szCs w:val="18"/>
          <w:highlight w:val="none"/>
        </w:rPr>
      </w:pPr>
      <w:r>
        <w:rPr>
          <w:rFonts w:ascii="Verdana" w:hAnsi="Verdana" w:cs="Arial"/>
          <w:color w:val="000000"/>
          <w:sz w:val="18"/>
          <w:szCs w:val="18"/>
          <w:highlight w:val="none"/>
          <w:lang w:eastAsia="en-US"/>
        </w:rPr>
        <w:t>Programa de Trabalho:</w:t>
      </w:r>
      <w:r>
        <w:rPr>
          <w:rFonts w:hint="default" w:ascii="Verdana" w:hAnsi="Verdana" w:cs="Arial"/>
          <w:color w:val="000000"/>
          <w:sz w:val="18"/>
          <w:szCs w:val="18"/>
          <w:highlight w:val="none"/>
          <w:lang w:val="pt-BR" w:eastAsia="en-US"/>
        </w:rPr>
        <w:t xml:space="preserve"> 169645</w:t>
      </w:r>
    </w:p>
    <w:p>
      <w:pPr>
        <w:pStyle w:val="73"/>
        <w:keepNext w:val="0"/>
        <w:widowControl/>
        <w:numPr>
          <w:ilvl w:val="2"/>
          <w:numId w:val="3"/>
        </w:numPr>
        <w:shd w:val="clear" w:color="auto" w:fill="auto"/>
        <w:spacing w:before="120" w:after="120"/>
        <w:ind w:left="785" w:firstLine="349"/>
        <w:rPr>
          <w:rFonts w:ascii="Verdana" w:hAnsi="Verdana" w:cs="Arial"/>
          <w:sz w:val="18"/>
          <w:szCs w:val="18"/>
          <w:highlight w:val="none"/>
        </w:rPr>
      </w:pPr>
      <w:r>
        <w:rPr>
          <w:rFonts w:ascii="Verdana" w:hAnsi="Verdana" w:cs="Arial"/>
          <w:color w:val="000000"/>
          <w:sz w:val="18"/>
          <w:szCs w:val="18"/>
          <w:highlight w:val="none"/>
          <w:lang w:eastAsia="en-US"/>
        </w:rPr>
        <w:t>Elemento de Despesa:</w:t>
      </w:r>
      <w:r>
        <w:rPr>
          <w:rFonts w:hint="default" w:ascii="Verdana" w:hAnsi="Verdana" w:cs="Arial"/>
          <w:color w:val="000000"/>
          <w:sz w:val="18"/>
          <w:szCs w:val="18"/>
          <w:highlight w:val="none"/>
          <w:lang w:val="pt-BR" w:eastAsia="en-US"/>
        </w:rPr>
        <w:t xml:space="preserve"> 339039</w:t>
      </w:r>
    </w:p>
    <w:p>
      <w:pPr>
        <w:pStyle w:val="73"/>
        <w:keepNext w:val="0"/>
        <w:widowControl/>
        <w:numPr>
          <w:ilvl w:val="2"/>
          <w:numId w:val="3"/>
        </w:numPr>
        <w:shd w:val="clear" w:color="auto" w:fill="auto"/>
        <w:spacing w:before="120" w:after="120"/>
        <w:ind w:left="785" w:firstLine="349"/>
        <w:rPr>
          <w:rFonts w:ascii="Verdana" w:hAnsi="Verdana" w:cs="Arial"/>
          <w:sz w:val="18"/>
          <w:szCs w:val="18"/>
          <w:highlight w:val="none"/>
        </w:rPr>
      </w:pPr>
      <w:r>
        <w:rPr>
          <w:rFonts w:ascii="Verdana" w:hAnsi="Verdana" w:cs="Arial"/>
          <w:color w:val="000000"/>
          <w:sz w:val="18"/>
          <w:szCs w:val="18"/>
          <w:highlight w:val="none"/>
          <w:lang w:eastAsia="en-US"/>
        </w:rPr>
        <w:t>PI:</w:t>
      </w:r>
      <w:r>
        <w:rPr>
          <w:rFonts w:hint="default" w:ascii="Verdana" w:hAnsi="Verdana" w:cs="Arial"/>
          <w:color w:val="000000"/>
          <w:sz w:val="18"/>
          <w:szCs w:val="18"/>
          <w:highlight w:val="none"/>
          <w:lang w:val="pt-BR" w:eastAsia="en-US"/>
        </w:rPr>
        <w:t xml:space="preserve"> M 20RK N 01 01</w:t>
      </w: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2"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2"/>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3"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3"/>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pPr>
        <w:pStyle w:val="64"/>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Prazo de execução dos serviços, de acordo com o contido no Termo de Referência; </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4" w:name="_Hlk103941167"/>
      <w:r>
        <w:rPr>
          <w:rFonts w:ascii="Verdana" w:hAnsi="Verdana"/>
          <w:sz w:val="18"/>
          <w:szCs w:val="18"/>
        </w:rPr>
        <w:t>A soma dos preços totais ajustados de cada item de serviço,</w:t>
      </w:r>
      <w:bookmarkEnd w:id="4"/>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 onde será demonstrado, inclusive os preços orçados pela UFF;</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5" w:name="_Hlk88838545"/>
      <w:r>
        <w:rPr>
          <w:rFonts w:ascii="Verdana" w:hAnsi="Verdana" w:cs="Arial"/>
          <w:b/>
          <w:szCs w:val="20"/>
        </w:rPr>
        <w:t xml:space="preserve"> HABILITAÇÃO JURÍDICA, REGULARIDADE FISCAL E QUALIFICAÇÃO ECÔNOMICA</w:t>
      </w:r>
      <w:bookmarkEnd w:id="5"/>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e 19.4 do Termo de Referência (Anexo I).</w:t>
      </w:r>
    </w:p>
    <w:p>
      <w:pPr>
        <w:pStyle w:val="73"/>
        <w:keepNext w:val="0"/>
        <w:widowControl/>
        <w:numPr>
          <w:ilvl w:val="1"/>
          <w:numId w:val="7"/>
        </w:numPr>
        <w:spacing w:before="120" w:after="120"/>
        <w:textAlignment w:val="auto"/>
        <w:rPr>
          <w:rFonts w:ascii="Verdana" w:hAnsi="Verdana" w:cs="Arial"/>
          <w:sz w:val="18"/>
          <w:szCs w:val="18"/>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7"/>
        </w:numPr>
        <w:spacing w:before="120" w:after="120"/>
        <w:textAlignment w:val="auto"/>
        <w:rPr>
          <w:rFonts w:ascii="Verdana" w:hAnsi="Verdana" w:cs="Arial"/>
          <w:sz w:val="18"/>
          <w:szCs w:val="18"/>
          <w:lang w:eastAsia="ar-SA"/>
        </w:rPr>
      </w:pPr>
      <w:bookmarkStart w:id="6"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6"/>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bookmarkStart w:id="7"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7"/>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1"/>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1"/>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1"/>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2"/>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2"/>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2"/>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0"/>
          <w:rFonts w:ascii="Verdana" w:hAnsi="Verdana" w:eastAsia="Times New Roman" w:cs="Arial"/>
          <w:szCs w:val="20"/>
        </w:rPr>
        <w:t>cpl@id.uff.br</w:t>
      </w:r>
      <w:r>
        <w:rPr>
          <w:rStyle w:val="10"/>
          <w:rFonts w:ascii="Verdana" w:hAnsi="Verdana" w:eastAsia="Times New Roman" w:cs="Arial"/>
          <w:szCs w:val="20"/>
        </w:rPr>
        <w:fldChar w:fldCharType="end"/>
      </w:r>
      <w:r>
        <w:rPr>
          <w:rFonts w:ascii="Verdana" w:hAnsi="Verdana" w:eastAsia="Times New Roman"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2"/>
        </w:numPr>
        <w:spacing w:before="120" w:after="120"/>
        <w:ind w:left="851" w:hanging="425"/>
        <w:rPr>
          <w:rFonts w:ascii="Verdana" w:hAnsi="Verdana" w:cs="Arial"/>
          <w:szCs w:val="20"/>
        </w:rPr>
      </w:pPr>
      <w:bookmarkStart w:id="8" w:name="_Hlk109901663"/>
      <w:r>
        <w:rPr>
          <w:rFonts w:ascii="Verdana" w:hAnsi="Verdana"/>
          <w:color w:val="000000"/>
          <w:shd w:val="clear" w:color="auto" w:fill="FFFFFF"/>
        </w:rPr>
        <w:t xml:space="preserve">O Edital está disponibilizado, na íntegra, no endereço eletrônico </w:t>
      </w:r>
      <w:r>
        <w:rPr>
          <w:rStyle w:val="10"/>
          <w:rFonts w:ascii="Verdana" w:hAnsi="Verdana"/>
        </w:rPr>
        <w:t>www.gov.br/compras</w:t>
      </w:r>
      <w:r>
        <w:rPr>
          <w:rFonts w:ascii="Verdana" w:hAnsi="Verdana"/>
          <w:color w:val="00000A"/>
          <w:shd w:val="clear" w:color="auto" w:fill="FFFFFF"/>
        </w:rPr>
        <w:t> ou </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&gt;.</w:t>
      </w:r>
      <w:bookmarkEnd w:id="8"/>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II-A – Especificação dos serviços</w:t>
      </w:r>
      <w:r>
        <w:rPr>
          <w:rFonts w:hint="default" w:ascii="Verdana" w:hAnsi="Verdana" w:cs="Arial"/>
          <w:color w:val="000000"/>
          <w:sz w:val="18"/>
          <w:szCs w:val="18"/>
          <w:lang w:val="pt-BR"/>
        </w:rPr>
        <w:t xml:space="preserve"> (Anexo 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III-A – Planilha Resumo do Orçamento</w:t>
      </w:r>
      <w:r>
        <w:rPr>
          <w:rFonts w:hint="default" w:ascii="Verdana" w:hAnsi="Verdana" w:cs="Arial"/>
          <w:color w:val="000000"/>
          <w:sz w:val="18"/>
          <w:szCs w:val="18"/>
          <w:lang w:val="pt-BR"/>
        </w:rPr>
        <w:t xml:space="preserve"> (Anexo XVI do TR)</w:t>
      </w:r>
      <w:r>
        <w:rPr>
          <w:rFonts w:ascii="Verdana" w:hAnsi="Verdana" w:cs="Arial"/>
          <w:color w:val="000000"/>
          <w:sz w:val="18"/>
          <w:szCs w:val="18"/>
        </w:rPr>
        <w:t xml:space="preserve">; </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w:t>
      </w:r>
      <w:r>
        <w:rPr>
          <w:rFonts w:hint="default" w:ascii="Verdana" w:hAnsi="Verdana" w:cs="Arial"/>
          <w:color w:val="000000"/>
          <w:sz w:val="18"/>
          <w:szCs w:val="18"/>
          <w:lang w:val="pt-BR"/>
        </w:rPr>
        <w:t xml:space="preserve"> (Anexo XV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w:t>
      </w:r>
      <w:r>
        <w:rPr>
          <w:rFonts w:hint="default" w:ascii="Verdana" w:hAnsi="Verdana" w:cs="Arial"/>
          <w:color w:val="000000"/>
          <w:sz w:val="18"/>
          <w:szCs w:val="18"/>
          <w:lang w:val="pt-BR"/>
        </w:rPr>
        <w:t xml:space="preserve"> (Anexo XI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w:t>
      </w:r>
      <w:r>
        <w:rPr>
          <w:rFonts w:hint="default" w:ascii="Verdana" w:hAnsi="Verdana" w:cs="Arial"/>
          <w:color w:val="000000"/>
          <w:sz w:val="18"/>
          <w:szCs w:val="18"/>
          <w:lang w:val="pt-BR"/>
        </w:rPr>
        <w:t xml:space="preserve"> (Anexo XIII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r>
        <w:rPr>
          <w:rFonts w:hint="default" w:ascii="Verdana" w:hAnsi="Verdana" w:cs="Arial"/>
          <w:color w:val="000000"/>
          <w:sz w:val="18"/>
          <w:szCs w:val="18"/>
          <w:lang w:val="pt-BR"/>
        </w:rPr>
        <w:t xml:space="preserve"> (Anexo XII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Modelo de Declaração de Responsabilidade;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 - Minuta de Termo de Contrato; 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XI – Projetos básico de:</w:t>
      </w:r>
    </w:p>
    <w:p>
      <w:pPr>
        <w:pStyle w:val="73"/>
        <w:keepNext w:val="0"/>
        <w:numPr>
          <w:ilvl w:val="3"/>
          <w:numId w:val="12"/>
        </w:numPr>
        <w:rPr>
          <w:rFonts w:ascii="Verdana" w:hAnsi="Verdana" w:cs="Arial"/>
          <w:sz w:val="18"/>
          <w:szCs w:val="18"/>
        </w:rPr>
      </w:pPr>
      <w:r>
        <w:rPr>
          <w:rFonts w:ascii="Verdana" w:hAnsi="Verdana" w:cs="Arial"/>
          <w:color w:val="000000"/>
          <w:sz w:val="18"/>
          <w:szCs w:val="18"/>
        </w:rPr>
        <w:t>– Arquitetura</w:t>
      </w:r>
      <w:r>
        <w:rPr>
          <w:rFonts w:hint="default" w:ascii="Verdana" w:hAnsi="Verdana" w:cs="Arial"/>
          <w:color w:val="000000"/>
          <w:sz w:val="18"/>
          <w:szCs w:val="18"/>
          <w:lang w:val="pt-BR"/>
        </w:rPr>
        <w:t xml:space="preserve"> (Anexo II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Estrutura</w:t>
      </w:r>
      <w:r>
        <w:rPr>
          <w:rFonts w:hint="default" w:ascii="Verdana" w:hAnsi="Verdana" w:cs="Arial"/>
          <w:color w:val="000000"/>
          <w:sz w:val="18"/>
          <w:szCs w:val="18"/>
          <w:lang w:val="pt-BR"/>
        </w:rPr>
        <w:t xml:space="preserve"> (Anexo III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Hidrossanitário</w:t>
      </w:r>
      <w:r>
        <w:rPr>
          <w:rFonts w:hint="default" w:ascii="Verdana" w:hAnsi="Verdana" w:cs="Arial"/>
          <w:color w:val="000000"/>
          <w:sz w:val="18"/>
          <w:szCs w:val="18"/>
          <w:lang w:val="pt-BR"/>
        </w:rPr>
        <w:t xml:space="preserve"> (Anexo IV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Elétrica</w:t>
      </w:r>
      <w:r>
        <w:rPr>
          <w:rFonts w:hint="default" w:ascii="Verdana" w:hAnsi="Verdana" w:cs="Arial"/>
          <w:color w:val="000000"/>
          <w:sz w:val="18"/>
          <w:szCs w:val="18"/>
          <w:lang w:val="pt-BR"/>
        </w:rPr>
        <w:t xml:space="preserve"> (Anexo V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Lógica</w:t>
      </w:r>
      <w:r>
        <w:rPr>
          <w:rFonts w:hint="default" w:ascii="Verdana" w:hAnsi="Verdana" w:cs="Arial"/>
          <w:color w:val="000000"/>
          <w:sz w:val="18"/>
          <w:szCs w:val="18"/>
          <w:lang w:val="pt-BR"/>
        </w:rPr>
        <w:t xml:space="preserve"> (Anexo VI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Iluminação</w:t>
      </w:r>
      <w:r>
        <w:rPr>
          <w:rFonts w:hint="default" w:ascii="Verdana" w:hAnsi="Verdana" w:cs="Arial"/>
          <w:color w:val="000000"/>
          <w:sz w:val="18"/>
          <w:szCs w:val="18"/>
          <w:lang w:val="pt-BR"/>
        </w:rPr>
        <w:t xml:space="preserve"> (Anexo VII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Climatização</w:t>
      </w:r>
      <w:r>
        <w:rPr>
          <w:rFonts w:hint="default" w:ascii="Verdana" w:hAnsi="Verdana" w:cs="Arial"/>
          <w:color w:val="000000"/>
          <w:sz w:val="18"/>
          <w:szCs w:val="18"/>
          <w:lang w:val="pt-BR"/>
        </w:rPr>
        <w:t xml:space="preserve"> (Anexo VIII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Combate a Incêndio e Pânico</w:t>
      </w:r>
      <w:r>
        <w:rPr>
          <w:rFonts w:hint="default" w:ascii="Verdana" w:hAnsi="Verdana" w:cs="Arial"/>
          <w:color w:val="000000"/>
          <w:sz w:val="18"/>
          <w:szCs w:val="18"/>
          <w:lang w:val="pt-BR"/>
        </w:rPr>
        <w:t xml:space="preserve"> (Anexo IX do TR)</w:t>
      </w:r>
      <w:r>
        <w:rPr>
          <w:rFonts w:ascii="Verdana" w:hAnsi="Verdana" w:cs="Arial"/>
          <w:color w:val="000000"/>
          <w:sz w:val="18"/>
          <w:szCs w:val="18"/>
        </w:rPr>
        <w:t>;</w:t>
      </w:r>
    </w:p>
    <w:p>
      <w:pPr>
        <w:pStyle w:val="73"/>
        <w:keepNext w:val="0"/>
        <w:numPr>
          <w:ilvl w:val="3"/>
          <w:numId w:val="12"/>
        </w:numPr>
        <w:rPr>
          <w:rFonts w:ascii="Verdana" w:hAnsi="Verdana" w:cs="Arial"/>
          <w:sz w:val="18"/>
          <w:szCs w:val="18"/>
        </w:rPr>
      </w:pPr>
      <w:r>
        <w:rPr>
          <w:rFonts w:ascii="Verdana" w:hAnsi="Verdana" w:cs="Arial"/>
          <w:color w:val="000000"/>
          <w:sz w:val="18"/>
          <w:szCs w:val="18"/>
        </w:rPr>
        <w:t>– Programação Visual</w:t>
      </w:r>
      <w:r>
        <w:rPr>
          <w:rFonts w:hint="default" w:ascii="Verdana" w:hAnsi="Verdana" w:cs="Arial"/>
          <w:color w:val="000000"/>
          <w:sz w:val="18"/>
          <w:szCs w:val="18"/>
          <w:lang w:val="pt-BR"/>
        </w:rPr>
        <w:t xml:space="preserve"> (Anexo X do TR)</w:t>
      </w:r>
      <w:r>
        <w:rPr>
          <w:rFonts w:ascii="Verdana" w:hAnsi="Verdana" w:cs="Arial"/>
          <w:color w:val="000000"/>
          <w:sz w:val="18"/>
          <w:szCs w:val="18"/>
        </w:rPr>
        <w:t>.</w:t>
      </w:r>
    </w:p>
    <w:p>
      <w:pPr>
        <w:pStyle w:val="73"/>
        <w:keepNext w:val="0"/>
        <w:numPr>
          <w:numId w:val="0"/>
        </w:numPr>
        <w:ind w:left="2127" w:leftChars="0"/>
        <w:rPr>
          <w:rFonts w:hint="default" w:ascii="Verdana" w:hAnsi="Verdana" w:cs="Arial"/>
          <w:sz w:val="18"/>
          <w:szCs w:val="18"/>
          <w:lang w:val="pt-BR"/>
        </w:rPr>
      </w:pPr>
      <w:r>
        <w:rPr>
          <w:rFonts w:hint="default" w:ascii="Verdana" w:hAnsi="Verdana" w:cs="Arial"/>
          <w:b/>
          <w:bCs/>
          <w:color w:val="000000"/>
          <w:sz w:val="21"/>
          <w:szCs w:val="21"/>
          <w:u w:val="single"/>
          <w:lang w:val="pt-BR"/>
        </w:rPr>
        <w:t>Os projetos estão disponíveis por meio do link</w:t>
      </w:r>
      <w:r>
        <w:rPr>
          <w:rFonts w:hint="default" w:ascii="Verdana" w:hAnsi="Verdana" w:cs="Arial"/>
          <w:color w:val="000000"/>
          <w:sz w:val="18"/>
          <w:szCs w:val="18"/>
          <w:lang w:val="pt-BR"/>
        </w:rPr>
        <w:t xml:space="preserve">: </w:t>
      </w:r>
      <w:r>
        <w:rPr>
          <w:rFonts w:hint="default" w:ascii="Verdana" w:hAnsi="Verdana"/>
          <w:color w:val="000000"/>
          <w:sz w:val="18"/>
          <w:szCs w:val="18"/>
          <w:lang w:val="pt-BR"/>
        </w:rPr>
        <w:t>https://drive.google.com/drive/folders/1T-SrJATVBBTL5RbtZ--2fiKbWG6yBbqn?usp=share_link</w:t>
      </w:r>
      <w:bookmarkStart w:id="9" w:name="_GoBack"/>
      <w:bookmarkEnd w:id="9"/>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10 de novembro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hint="default" w:ascii="Verdana" w:hAnsi="Verdana" w:cs="Arial"/>
          <w:sz w:val="16"/>
          <w:szCs w:val="16"/>
          <w:lang w:val="pt-BR"/>
        </w:rPr>
        <w:t xml:space="preserve">Coordenação </w:t>
      </w:r>
      <w:r>
        <w:rPr>
          <w:rFonts w:ascii="Verdana" w:hAnsi="Verdana" w:cs="Arial"/>
          <w:sz w:val="16"/>
          <w:szCs w:val="16"/>
        </w:rPr>
        <w:t>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Mangal">
    <w:altName w:val="Segoe Print"/>
    <w:panose1 w:val="000004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23069.187005/2022-62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77A2B"/>
    <w:multiLevelType w:val="multilevel"/>
    <w:tmpl w:val="02E77A2B"/>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2367722C"/>
    <w:multiLevelType w:val="multilevel"/>
    <w:tmpl w:val="2367722C"/>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85" w:hanging="360"/>
      </w:pPr>
      <w:rPr>
        <w:rFonts w:hint="default"/>
        <w:b w:val="0"/>
        <w:i w:val="0"/>
        <w:color w:val="auto"/>
      </w:rPr>
    </w:lvl>
    <w:lvl w:ilvl="2" w:tentative="0">
      <w:start w:val="1"/>
      <w:numFmt w:val="lowerLetter"/>
      <w:lvlText w:val="%3)"/>
      <w:lvlJc w:val="left"/>
      <w:pPr>
        <w:ind w:left="1353" w:hanging="360"/>
      </w:pPr>
      <w:rPr>
        <w:rFonts w:hint="default"/>
        <w:b w:val="0"/>
        <w:color w:val="auto"/>
      </w:rPr>
    </w:lvl>
    <w:lvl w:ilvl="3" w:tentative="0">
      <w:start w:val="1"/>
      <w:numFmt w:val="decimal"/>
      <w:lvlText w:val="%1.%2.%3.%4"/>
      <w:lvlJc w:val="left"/>
      <w:pPr>
        <w:ind w:left="2847" w:hanging="720"/>
      </w:pPr>
      <w:rPr>
        <w:rFonts w:hint="default"/>
        <w:color w:val="auto"/>
        <w:sz w:val="18"/>
        <w:szCs w:val="18"/>
      </w:rPr>
    </w:lvl>
    <w:lvl w:ilvl="4" w:tentative="0">
      <w:start w:val="1"/>
      <w:numFmt w:val="decimal"/>
      <w:lvlText w:val="%1.%2.%3.%4.%5"/>
      <w:lvlJc w:val="left"/>
      <w:pPr>
        <w:ind w:left="3064" w:hanging="1080"/>
      </w:pPr>
      <w:rPr>
        <w:rFonts w:hint="default"/>
        <w:color w:val="auto"/>
        <w:sz w:val="18"/>
        <w:szCs w:val="18"/>
      </w:rPr>
    </w:lvl>
    <w:lvl w:ilvl="5" w:tentative="0">
      <w:start w:val="1"/>
      <w:numFmt w:val="decimal"/>
      <w:lvlText w:val="%1.%2.%3.%4.%5.%6"/>
      <w:lvlJc w:val="left"/>
      <w:pPr>
        <w:ind w:left="3560" w:hanging="1080"/>
      </w:pPr>
      <w:rPr>
        <w:rFonts w:hint="default"/>
        <w:color w:val="auto"/>
        <w:sz w:val="16"/>
        <w:szCs w:val="16"/>
      </w:rPr>
    </w:lvl>
    <w:lvl w:ilvl="6" w:tentative="0">
      <w:start w:val="1"/>
      <w:numFmt w:val="decimal"/>
      <w:lvlText w:val="%1.%2.%3.%4.%5.%6.%7"/>
      <w:lvlJc w:val="left"/>
      <w:pPr>
        <w:ind w:left="4416" w:hanging="1440"/>
      </w:pPr>
      <w:rPr>
        <w:rFonts w:hint="default"/>
        <w:color w:val="auto"/>
      </w:rPr>
    </w:lvl>
    <w:lvl w:ilvl="7" w:tentative="0">
      <w:start w:val="1"/>
      <w:numFmt w:val="decimal"/>
      <w:lvlText w:val="%1.%2.%3.%4.%5.%6.%7.%8"/>
      <w:lvlJc w:val="left"/>
      <w:pPr>
        <w:ind w:left="4912" w:hanging="1440"/>
      </w:pPr>
      <w:rPr>
        <w:rFonts w:hint="default"/>
        <w:color w:val="auto"/>
      </w:rPr>
    </w:lvl>
    <w:lvl w:ilvl="8" w:tentative="0">
      <w:start w:val="1"/>
      <w:numFmt w:val="decimal"/>
      <w:lvlText w:val="%1.%2.%3.%4.%5.%6.%7.%8.%9"/>
      <w:lvlJc w:val="left"/>
      <w:pPr>
        <w:ind w:left="5768" w:hanging="1800"/>
      </w:pPr>
      <w:rPr>
        <w:rFonts w:hint="default"/>
        <w:color w:val="auto"/>
      </w:rPr>
    </w:lvl>
  </w:abstractNum>
  <w:abstractNum w:abstractNumId="5">
    <w:nsid w:val="43CF13EB"/>
    <w:multiLevelType w:val="multilevel"/>
    <w:tmpl w:val="43CF13EB"/>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9">
    <w:nsid w:val="6F99146E"/>
    <w:multiLevelType w:val="multilevel"/>
    <w:tmpl w:val="6F99146E"/>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0"/>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9"/>
  <w:hyphenationZone w:val="425"/>
  <w:characterSpacingControl w:val="doNotCompress"/>
  <w:compat>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00B4"/>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5981"/>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3A3A"/>
    <w:rsid w:val="00B1464B"/>
    <w:rsid w:val="00B15E6A"/>
    <w:rsid w:val="00B220FD"/>
    <w:rsid w:val="00B3359C"/>
    <w:rsid w:val="00B466F8"/>
    <w:rsid w:val="00B51137"/>
    <w:rsid w:val="00B52792"/>
    <w:rsid w:val="00B52DBF"/>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5F61"/>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3DC"/>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CE6382"/>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3129A7"/>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4E956406"/>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1BA531E"/>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9D80-AE0E-4FC5-8646-B7029223346D}">
  <ds:schemaRefs/>
</ds:datastoreItem>
</file>

<file path=customXml/itemProps2.xml><?xml version="1.0" encoding="utf-8"?>
<ds:datastoreItem xmlns:ds="http://schemas.openxmlformats.org/officeDocument/2006/customXml" ds:itemID="{D0FA922B-301D-4229-A9FF-8B2F047859B0}">
  <ds:schemaRefs/>
</ds:datastoreItem>
</file>

<file path=customXml/itemProps3.xml><?xml version="1.0" encoding="utf-8"?>
<ds:datastoreItem xmlns:ds="http://schemas.openxmlformats.org/officeDocument/2006/customXml" ds:itemID="{552F9D9B-A10A-4DD0-9B11-62F741C79D1E}">
  <ds:schemaRefs/>
</ds:datastoreItem>
</file>

<file path=customXml/itemProps4.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23</Pages>
  <Words>9859</Words>
  <Characters>55309</Characters>
  <Lines>464</Lines>
  <Paragraphs>131</Paragraphs>
  <TotalTime>5</TotalTime>
  <ScaleCrop>false</ScaleCrop>
  <LinksUpToDate>false</LinksUpToDate>
  <CharactersWithSpaces>64825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JULY</cp:lastModifiedBy>
  <cp:lastPrinted>2020-05-06T13:48:00Z</cp:lastPrinted>
  <dcterms:modified xsi:type="dcterms:W3CDTF">2022-11-23T11:31:13Z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1E3DDC83FC0044758A67C8436D5CB008</vt:lpwstr>
  </property>
</Properties>
</file>