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76" w:lineRule="auto"/>
        <w:rPr>
          <w:color w:val="000000"/>
          <w:sz w:val="22"/>
          <w:szCs w:val="22"/>
        </w:rPr>
      </w:pPr>
    </w:p>
    <w:tbl>
      <w:tblPr>
        <w:tblStyle w:val="80"/>
        <w:tblW w:w="98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943"/>
        <w:gridCol w:w="69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3" w:hRule="atLeast"/>
        </w:trPr>
        <w:tc>
          <w:tcPr>
            <w:tcW w:w="9889" w:type="dxa"/>
            <w:gridSpan w:val="2"/>
            <w:vAlign w:val="center"/>
          </w:tcPr>
          <w:p>
            <w:pPr>
              <w:tabs>
                <w:tab w:val="center" w:pos="4252"/>
                <w:tab w:val="right" w:pos="8504"/>
              </w:tabs>
              <w:spacing w:before="120" w:after="120"/>
              <w:ind w:left="624" w:hanging="567"/>
              <w:jc w:val="center"/>
              <w:rPr>
                <w:rFonts w:ascii="Verdana" w:hAnsi="Verdana" w:eastAsia="Verdana" w:cs="Verdana"/>
                <w:b/>
                <w:color w:val="FF0000"/>
                <w:sz w:val="32"/>
                <w:szCs w:val="32"/>
              </w:rPr>
            </w:pPr>
          </w:p>
          <w:p>
            <w:pPr>
              <w:tabs>
                <w:tab w:val="center" w:pos="4252"/>
                <w:tab w:val="right" w:pos="8504"/>
              </w:tabs>
              <w:spacing w:before="120" w:after="120"/>
              <w:ind w:left="624" w:hanging="567"/>
              <w:jc w:val="center"/>
              <w:rPr>
                <w:rFonts w:ascii="Verdana" w:hAnsi="Verdana" w:eastAsia="Verdana" w:cs="Verdana"/>
                <w:b/>
                <w:sz w:val="32"/>
                <w:szCs w:val="32"/>
              </w:rPr>
            </w:pPr>
            <w:r>
              <w:rPr>
                <w:rFonts w:ascii="Verdana" w:hAnsi="Verdana" w:eastAsia="Verdana" w:cs="Verdana"/>
                <w:b/>
                <w:color w:val="FF0000"/>
                <w:sz w:val="32"/>
                <w:szCs w:val="32"/>
              </w:rPr>
              <w:t xml:space="preserve"> </w:t>
            </w:r>
            <w:r>
              <w:rPr>
                <w:rFonts w:ascii="Verdana" w:hAnsi="Verdana" w:eastAsia="Verdana" w:cs="Verdana"/>
                <w:b/>
                <w:sz w:val="32"/>
                <w:szCs w:val="32"/>
              </w:rPr>
              <w:t xml:space="preserve">EDITAL DE LICITAÇÃO </w:t>
            </w:r>
          </w:p>
          <w:p>
            <w:pPr>
              <w:pStyle w:val="2"/>
              <w:keepLines w:val="0"/>
              <w:numPr>
                <w:ilvl w:val="0"/>
                <w:numId w:val="3"/>
              </w:numPr>
              <w:spacing w:before="100" w:after="100"/>
              <w:jc w:val="center"/>
              <w:rPr>
                <w:rFonts w:ascii="Cambria" w:hAnsi="Cambria" w:eastAsia="Cambria" w:cs="Cambria"/>
                <w:color w:val="365F91"/>
                <w:sz w:val="32"/>
                <w:szCs w:val="32"/>
              </w:rPr>
            </w:pPr>
            <w:bookmarkStart w:id="0" w:name="_heading=h.3mr65tq7blqg" w:colFirst="0" w:colLast="0"/>
            <w:bookmarkEnd w:id="0"/>
            <w:r>
              <w:rPr>
                <w:rFonts w:ascii="Verdana" w:hAnsi="Verdana" w:eastAsia="Verdana" w:cs="Verdana"/>
                <w:color w:val="365F91"/>
                <w:sz w:val="20"/>
                <w:szCs w:val="20"/>
              </w:rPr>
              <w:t xml:space="preserve">PREGÃO ELETRÔNICO Nº </w:t>
            </w:r>
            <w:r>
              <w:rPr>
                <w:rFonts w:ascii="Verdana" w:hAnsi="Verdana" w:eastAsia="Verdana" w:cs="Verdana"/>
                <w:color w:val="365F91"/>
                <w:sz w:val="20"/>
                <w:szCs w:val="20"/>
                <w:lang w:val="pt-BR"/>
              </w:rPr>
              <w:t>130/2022</w:t>
            </w:r>
            <w:r>
              <w:rPr>
                <w:rFonts w:ascii="Verdana" w:hAnsi="Verdana" w:eastAsia="Verdana" w:cs="Verdana"/>
                <w:color w:val="365F91"/>
                <w:sz w:val="20"/>
                <w:szCs w:val="20"/>
              </w:rPr>
              <w:t>/AD</w:t>
            </w:r>
            <w:r>
              <w:drawing>
                <wp:anchor distT="0" distB="0" distL="0" distR="0" simplePos="0" relativeHeight="251659264" behindDoc="0" locked="0" layoutInCell="1" allowOverlap="1">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6"/>
                          <a:srcRect/>
                          <a:stretch>
                            <a:fillRect/>
                          </a:stretch>
                        </pic:blipFill>
                        <pic:spPr>
                          <a:xfrm>
                            <a:off x="0" y="0"/>
                            <a:ext cx="1200150" cy="409575"/>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7"/>
                          <a:srcRect/>
                          <a:stretch>
                            <a:fillRect/>
                          </a:stretch>
                        </pic:blipFill>
                        <pic:spPr>
                          <a:xfrm>
                            <a:off x="0" y="0"/>
                            <a:ext cx="898525" cy="483870"/>
                          </a:xfrm>
                          <a:prstGeom prst="rect">
                            <a:avLst/>
                          </a:prstGeom>
                        </pic:spPr>
                      </pic:pic>
                    </a:graphicData>
                  </a:graphic>
                </wp:anchor>
              </w:drawing>
            </w:r>
          </w:p>
          <w:p>
            <w:pPr>
              <w:spacing w:before="100" w:after="100"/>
              <w:jc w:val="center"/>
              <w:rPr>
                <w:rFonts w:ascii="Verdana" w:hAnsi="Verdana" w:eastAsia="Verdana" w:cs="Verdana"/>
                <w:b/>
                <w:highlight w:val="cyan"/>
              </w:rPr>
            </w:pPr>
            <w:r>
              <w:rPr>
                <w:rFonts w:ascii="Verdana" w:hAnsi="Verdana" w:eastAsia="Verdana" w:cs="Verdana"/>
                <w:b/>
              </w:rPr>
              <w:t xml:space="preserve">SERVIÇOS CONTINUADOS COM DEDICAÇÃO </w:t>
            </w:r>
          </w:p>
          <w:p>
            <w:pPr>
              <w:spacing w:before="100" w:after="100"/>
              <w:jc w:val="center"/>
              <w:rPr>
                <w:rFonts w:ascii="Verdana" w:hAnsi="Verdana" w:eastAsia="Verdana" w:cs="Verdana"/>
                <w:b/>
                <w:sz w:val="16"/>
                <w:szCs w:val="16"/>
              </w:rPr>
            </w:pPr>
            <w:r>
              <w:rPr>
                <w:rFonts w:ascii="Verdana" w:hAnsi="Verdana" w:eastAsia="Verdana" w:cs="Verdana"/>
                <w:b/>
              </w:rPr>
              <w:t>PROCESSO Nº  23069.157348/2020-31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6" w:hRule="atLeast"/>
        </w:trPr>
        <w:tc>
          <w:tcPr>
            <w:tcW w:w="2943" w:type="dxa"/>
            <w:vAlign w:val="center"/>
          </w:tcPr>
          <w:p>
            <w:pPr>
              <w:spacing w:before="120" w:after="120"/>
              <w:ind w:left="624" w:hanging="567"/>
              <w:jc w:val="center"/>
            </w:pPr>
            <w:r>
              <w:rPr>
                <w:b/>
              </w:rPr>
              <w:t>OBJETO</w:t>
            </w:r>
          </w:p>
        </w:tc>
        <w:tc>
          <w:tcPr>
            <w:tcW w:w="6946" w:type="dxa"/>
            <w:vAlign w:val="bottom"/>
          </w:tcPr>
          <w:p>
            <w:pPr>
              <w:spacing w:before="120" w:after="120" w:line="276" w:lineRule="auto"/>
              <w:jc w:val="both"/>
              <w:rPr>
                <w:color w:val="000000"/>
              </w:rPr>
            </w:pPr>
            <w:r>
              <w:rPr>
                <w:color w:val="000000"/>
              </w:rPr>
              <w:t xml:space="preserve">O objeto da presente licitação é a escolha da proposta mais vantajosa para a </w:t>
            </w:r>
            <w:r>
              <w:rPr>
                <w:b/>
                <w:color w:val="000000"/>
              </w:rPr>
              <w:t>Contratação, de pessoa jurídica especializada, na área de apoio administrativo e atividades auxiliares para prestação de serviços técnicos continuados, mediante cessão de mão de obra, na área de atividades culturais – artes cênicas e visuais, apresentações musicais, apresentações teatrais, dança e cinema - de forma a suprir as necessidades do Centro de Artes UFF – CEART, e também do Instituto de Arte e Comunicação Social - IACS, considerando as suas atividades diárias</w:t>
            </w:r>
            <w:r>
              <w:rPr>
                <w:b/>
                <w:bCs/>
                <w:color w:val="000000"/>
              </w:rPr>
              <w:t>,</w:t>
            </w:r>
            <w:r>
              <w:rPr>
                <w:color w:val="000000"/>
              </w:rPr>
              <w:t xml:space="preserve"> conforme condições, quantidades e exigências estabelecidas neste Edital e seus anexos.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3" w:hRule="atLeast"/>
        </w:trPr>
        <w:tc>
          <w:tcPr>
            <w:tcW w:w="2943" w:type="dxa"/>
            <w:vAlign w:val="center"/>
          </w:tcPr>
          <w:p>
            <w:pPr>
              <w:spacing w:before="120" w:after="120"/>
              <w:ind w:left="624" w:hanging="567"/>
              <w:jc w:val="center"/>
              <w:rPr>
                <w:b/>
              </w:rPr>
            </w:pPr>
            <w:r>
              <w:rPr>
                <w:b/>
              </w:rPr>
              <w:t>RECEBIMENTO DAS PROPOSTAS</w:t>
            </w:r>
          </w:p>
        </w:tc>
        <w:tc>
          <w:tcPr>
            <w:tcW w:w="6946" w:type="dxa"/>
            <w:vAlign w:val="center"/>
          </w:tcPr>
          <w:p>
            <w:pPr>
              <w:keepNext/>
              <w:keepLines/>
              <w:spacing w:before="120" w:after="120"/>
              <w:ind w:hanging="19"/>
              <w:jc w:val="both"/>
              <w:rPr>
                <w:color w:val="000000"/>
                <w:szCs w:val="20"/>
              </w:rPr>
            </w:pPr>
            <w:r>
              <w:rPr>
                <w:color w:val="000000"/>
                <w:szCs w:val="20"/>
              </w:rPr>
              <w:t xml:space="preserve">A partir da data de divulgação do Edital no site </w:t>
            </w:r>
            <w:r>
              <w:fldChar w:fldCharType="begin"/>
            </w:r>
            <w:r>
              <w:instrText xml:space="preserve"> HYPERLINK "https://www.gov.br/compras/pt-br" \h </w:instrText>
            </w:r>
            <w:r>
              <w:fldChar w:fldCharType="separate"/>
            </w:r>
            <w:r>
              <w:rPr>
                <w:i/>
                <w:szCs w:val="20"/>
                <w:u w:val="single"/>
              </w:rPr>
              <w:t>www.gov.br/compras</w:t>
            </w:r>
            <w:r>
              <w:rPr>
                <w:i/>
                <w:szCs w:val="20"/>
                <w:u w:val="single"/>
              </w:rPr>
              <w:fldChar w:fldCharType="end"/>
            </w:r>
            <w:r>
              <w:rPr>
                <w:color w:val="000000"/>
                <w:szCs w:val="20"/>
              </w:rPr>
              <w:t xml:space="preserve"> até a data e horário de realização da sessão pública.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4" w:hRule="atLeast"/>
        </w:trPr>
        <w:tc>
          <w:tcPr>
            <w:tcW w:w="2943" w:type="dxa"/>
            <w:vAlign w:val="center"/>
          </w:tcPr>
          <w:p>
            <w:pPr>
              <w:spacing w:before="120" w:after="120"/>
              <w:ind w:left="624" w:hanging="567"/>
              <w:jc w:val="center"/>
              <w:rPr>
                <w:b/>
              </w:rPr>
            </w:pPr>
            <w:r>
              <w:rPr>
                <w:b/>
              </w:rPr>
              <w:t>DATA ABERTURA DAS PROPOSTAS</w:t>
            </w:r>
          </w:p>
        </w:tc>
        <w:tc>
          <w:tcPr>
            <w:tcW w:w="6946" w:type="dxa"/>
            <w:vAlign w:val="center"/>
          </w:tcPr>
          <w:p>
            <w:pPr>
              <w:spacing w:before="120" w:after="120"/>
              <w:ind w:hanging="25"/>
              <w:jc w:val="both"/>
              <w:rPr>
                <w:b/>
                <w:bCs/>
                <w:highlight w:val="yellow"/>
              </w:rPr>
            </w:pPr>
            <w:r>
              <w:t xml:space="preserve">Sessão Pública a ser realizada no endereço eletrônico informado no edital, às </w:t>
            </w:r>
            <w:r>
              <w:rPr>
                <w:b/>
                <w:bCs/>
              </w:rPr>
              <w:t>10h</w:t>
            </w:r>
            <w:r>
              <w:t xml:space="preserve"> do dia </w:t>
            </w:r>
            <w:r>
              <w:rPr>
                <w:rFonts w:hint="default"/>
                <w:b/>
                <w:bCs/>
                <w:lang w:val="pt-BR"/>
              </w:rPr>
              <w:t>25/11/2</w:t>
            </w:r>
            <w:r>
              <w:rPr>
                <w:b/>
                <w:bCs/>
              </w:rPr>
              <w:t>022</w:t>
            </w:r>
            <w: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2" w:hRule="atLeast"/>
        </w:trPr>
        <w:tc>
          <w:tcPr>
            <w:tcW w:w="2943" w:type="dxa"/>
            <w:vAlign w:val="center"/>
          </w:tcPr>
          <w:p>
            <w:pPr>
              <w:spacing w:before="120" w:after="120"/>
              <w:ind w:left="624" w:hanging="567"/>
              <w:jc w:val="center"/>
              <w:rPr>
                <w:b/>
              </w:rPr>
            </w:pPr>
            <w:r>
              <w:rPr>
                <w:b/>
              </w:rPr>
              <w:t>ENDEREÇO</w:t>
            </w:r>
          </w:p>
        </w:tc>
        <w:tc>
          <w:tcPr>
            <w:tcW w:w="6946" w:type="dxa"/>
            <w:vAlign w:val="center"/>
          </w:tcPr>
          <w:p>
            <w:pPr>
              <w:keepNext/>
              <w:keepLines/>
              <w:spacing w:before="120" w:after="120"/>
              <w:ind w:hanging="25"/>
              <w:jc w:val="both"/>
              <w:rPr>
                <w:color w:val="000000"/>
                <w:sz w:val="21"/>
                <w:szCs w:val="21"/>
              </w:rPr>
            </w:pPr>
            <w:r>
              <w:rPr>
                <w:color w:val="000000"/>
                <w:sz w:val="21"/>
                <w:szCs w:val="21"/>
              </w:rPr>
              <w:t>Universidade Federal Fluminense</w:t>
            </w:r>
          </w:p>
          <w:p>
            <w:pPr>
              <w:keepNext/>
              <w:keepLines/>
              <w:spacing w:before="120" w:after="120"/>
              <w:ind w:hanging="25"/>
              <w:jc w:val="both"/>
              <w:rPr>
                <w:color w:val="000000"/>
                <w:sz w:val="21"/>
                <w:szCs w:val="21"/>
              </w:rPr>
            </w:pPr>
            <w:r>
              <w:rPr>
                <w:color w:val="000000"/>
                <w:sz w:val="21"/>
                <w:szCs w:val="21"/>
              </w:rPr>
              <w:t>Pró-Reitoria de Administração</w:t>
            </w:r>
          </w:p>
          <w:p>
            <w:pPr>
              <w:keepNext/>
              <w:keepLines/>
              <w:spacing w:before="120" w:after="120"/>
              <w:ind w:hanging="25"/>
              <w:jc w:val="both"/>
              <w:rPr>
                <w:color w:val="000000"/>
                <w:sz w:val="21"/>
                <w:szCs w:val="21"/>
              </w:rPr>
            </w:pPr>
            <w:r>
              <w:rPr>
                <w:color w:val="000000"/>
                <w:sz w:val="21"/>
                <w:szCs w:val="21"/>
              </w:rPr>
              <w:t>Coordenação de Licitação</w:t>
            </w:r>
          </w:p>
          <w:p>
            <w:r>
              <w:t>UASG: 150182</w:t>
            </w:r>
          </w:p>
          <w:p>
            <w:pPr>
              <w:keepNext/>
              <w:keepLines/>
              <w:spacing w:before="120" w:after="120"/>
              <w:ind w:hanging="25"/>
              <w:jc w:val="both"/>
              <w:rPr>
                <w:color w:val="000000"/>
                <w:sz w:val="21"/>
                <w:szCs w:val="21"/>
              </w:rPr>
            </w:pPr>
            <w:r>
              <w:rPr>
                <w:color w:val="000000"/>
                <w:sz w:val="21"/>
                <w:szCs w:val="21"/>
              </w:rPr>
              <w:t>Rua Miguel de Frias n.º 09, Bairro Icaraí, Niterói - RJ</w:t>
            </w:r>
          </w:p>
          <w:p>
            <w:pPr>
              <w:keepNext/>
              <w:keepLines/>
              <w:spacing w:before="120" w:after="120"/>
              <w:ind w:hanging="25"/>
              <w:jc w:val="both"/>
              <w:rPr>
                <w:color w:val="000000"/>
                <w:sz w:val="21"/>
                <w:szCs w:val="21"/>
              </w:rPr>
            </w:pPr>
            <w:r>
              <w:rPr>
                <w:color w:val="000000"/>
                <w:sz w:val="21"/>
                <w:szCs w:val="21"/>
              </w:rPr>
              <w:t>CEP: 24.220-900</w:t>
            </w:r>
          </w:p>
          <w:p>
            <w:pPr>
              <w:spacing w:before="120" w:after="120"/>
              <w:ind w:hanging="25"/>
              <w:jc w:val="both"/>
              <w:rPr>
                <w:b/>
                <w:color w:val="0000FF"/>
              </w:rPr>
            </w:pPr>
            <w:r>
              <w:t>E-mail:</w:t>
            </w:r>
            <w:r>
              <w:rPr>
                <w:b/>
                <w:color w:val="0000FF"/>
              </w:rPr>
              <w:t xml:space="preserve"> </w:t>
            </w:r>
            <w:r>
              <w:fldChar w:fldCharType="begin"/>
            </w:r>
            <w:r>
              <w:instrText xml:space="preserve"> HYPERLINK "mailto:cpl@id.uff.br" \h </w:instrText>
            </w:r>
            <w:r>
              <w:fldChar w:fldCharType="separate"/>
            </w:r>
            <w:r>
              <w:rPr>
                <w:b/>
                <w:color w:val="0000FF"/>
                <w:u w:val="single"/>
              </w:rPr>
              <w:t>cpl@id.uff.br</w:t>
            </w:r>
            <w:r>
              <w:rPr>
                <w:b/>
                <w:color w:val="0000FF"/>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TIPO DE LICITAÇÃO</w:t>
            </w:r>
          </w:p>
        </w:tc>
        <w:tc>
          <w:tcPr>
            <w:tcW w:w="6946" w:type="dxa"/>
            <w:vAlign w:val="center"/>
          </w:tcPr>
          <w:p>
            <w:pPr>
              <w:keepNext/>
              <w:keepLines/>
              <w:spacing w:before="120" w:after="120"/>
              <w:ind w:hanging="25"/>
              <w:jc w:val="both"/>
              <w:rPr>
                <w:color w:val="000000"/>
                <w:sz w:val="21"/>
                <w:szCs w:val="21"/>
                <w:highlight w:val="yellow"/>
              </w:rPr>
            </w:pPr>
            <w:r>
              <w:rPr>
                <w:color w:val="000000"/>
                <w:sz w:val="21"/>
                <w:szCs w:val="21"/>
              </w:rPr>
              <w:t>Menor preço por item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ACESSO ELETRÔNICO AO EDITAL</w:t>
            </w:r>
          </w:p>
        </w:tc>
        <w:tc>
          <w:tcPr>
            <w:tcW w:w="6946" w:type="dxa"/>
            <w:vAlign w:val="center"/>
          </w:tcPr>
          <w:p>
            <w:pPr>
              <w:keepNext/>
              <w:keepLines/>
              <w:spacing w:before="120" w:after="120"/>
              <w:ind w:hanging="25"/>
              <w:jc w:val="both"/>
              <w:rPr>
                <w:i/>
                <w:color w:val="0000FF"/>
                <w:sz w:val="21"/>
                <w:szCs w:val="21"/>
              </w:rPr>
            </w:pPr>
            <w:r>
              <w:fldChar w:fldCharType="begin"/>
            </w:r>
            <w:r>
              <w:instrText xml:space="preserve"> HYPERLINK "https://www.gov.br/compras/pt-br" \h </w:instrText>
            </w:r>
            <w:r>
              <w:fldChar w:fldCharType="separate"/>
            </w:r>
            <w:r>
              <w:rPr>
                <w:rFonts w:ascii="Cambria" w:hAnsi="Cambria" w:eastAsia="Cambria" w:cs="Cambria"/>
                <w:b/>
                <w:i/>
                <w:color w:val="0000FF"/>
                <w:sz w:val="21"/>
                <w:szCs w:val="21"/>
                <w:u w:val="single"/>
              </w:rPr>
              <w:t>www.gov.br/compras</w:t>
            </w:r>
            <w:r>
              <w:rPr>
                <w:rFonts w:ascii="Cambria" w:hAnsi="Cambria" w:eastAsia="Cambria" w:cs="Cambria"/>
                <w:b/>
                <w:i/>
                <w:color w:val="0000FF"/>
                <w:sz w:val="21"/>
                <w:szCs w:val="21"/>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PREGOEIRO</w:t>
            </w:r>
          </w:p>
        </w:tc>
        <w:tc>
          <w:tcPr>
            <w:tcW w:w="6946" w:type="dxa"/>
            <w:vAlign w:val="center"/>
          </w:tcPr>
          <w:p>
            <w:pPr>
              <w:keepNext/>
              <w:keepLines/>
              <w:spacing w:before="120" w:after="120"/>
              <w:ind w:hanging="25"/>
              <w:jc w:val="both"/>
              <w:rPr>
                <w:color w:val="000000"/>
                <w:sz w:val="21"/>
                <w:szCs w:val="21"/>
              </w:rPr>
            </w:pPr>
            <w:r>
              <w:rPr>
                <w:color w:val="000000"/>
                <w:sz w:val="21"/>
                <w:szCs w:val="21"/>
              </w:rPr>
              <w:t>Juliana P. Borsoi Richa</w:t>
            </w:r>
          </w:p>
        </w:tc>
      </w:tr>
    </w:tbl>
    <w:p>
      <w:pPr>
        <w:spacing w:after="120" w:line="276" w:lineRule="auto"/>
        <w:ind w:right="-17"/>
        <w:jc w:val="both"/>
        <w:rPr>
          <w:b/>
          <w:color w:val="000000"/>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r>
        <w:drawing>
          <wp:anchor distT="0" distB="0" distL="114300" distR="114300" simplePos="0" relativeHeight="251661312" behindDoc="0" locked="0" layoutInCell="1" allowOverlap="1">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8"/>
                    <a:srcRect/>
                    <a:stretch>
                      <a:fillRect/>
                    </a:stretch>
                  </pic:blipFill>
                  <pic:spPr>
                    <a:xfrm>
                      <a:off x="0" y="0"/>
                      <a:ext cx="640080" cy="628650"/>
                    </a:xfrm>
                    <a:prstGeom prst="rect">
                      <a:avLst/>
                    </a:prstGeom>
                  </pic:spPr>
                </pic:pic>
              </a:graphicData>
            </a:graphic>
          </wp:anchor>
        </w:drawing>
      </w:r>
    </w:p>
    <w:p>
      <w:pPr>
        <w:spacing w:after="120" w:line="276" w:lineRule="auto"/>
        <w:ind w:right="-17"/>
        <w:jc w:val="both"/>
        <w:rPr>
          <w:rFonts w:ascii="Verdana" w:hAnsi="Verdana" w:eastAsia="Verdana" w:cs="Verdana"/>
          <w:color w:val="000000"/>
          <w:sz w:val="18"/>
          <w:szCs w:val="18"/>
        </w:rPr>
      </w:pPr>
      <w:r>
        <w:rPr>
          <w:rFonts w:ascii="Verdana" w:hAnsi="Verdana" w:eastAsia="Verdana" w:cs="Verdana"/>
          <w:color w:val="000000"/>
          <w:sz w:val="18"/>
          <w:szCs w:val="18"/>
        </w:rPr>
        <w:tab/>
      </w:r>
    </w:p>
    <w:p>
      <w:pPr>
        <w:rPr>
          <w:rFonts w:ascii="Verdana" w:hAnsi="Verdana" w:eastAsia="Verdana" w:cs="Verdana"/>
          <w:sz w:val="18"/>
          <w:szCs w:val="18"/>
        </w:rPr>
      </w:pPr>
    </w:p>
    <w:p>
      <w:pPr>
        <w:rPr>
          <w:rFonts w:ascii="Verdana" w:hAnsi="Verdana" w:eastAsia="Verdana" w:cs="Verdana"/>
          <w:sz w:val="18"/>
          <w:szCs w:val="18"/>
        </w:rPr>
      </w:pPr>
    </w:p>
    <w:p>
      <w:pPr>
        <w:tabs>
          <w:tab w:val="left" w:pos="6284"/>
        </w:tabs>
        <w:jc w:val="center"/>
        <w:rPr>
          <w:rFonts w:ascii="Verdana" w:hAnsi="Verdana" w:eastAsia="Verdana" w:cs="Verdana"/>
          <w:b/>
          <w:sz w:val="18"/>
          <w:szCs w:val="18"/>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val="0"/>
          <w:color w:val="000000"/>
          <w:sz w:val="22"/>
          <w:szCs w:val="22"/>
        </w:rPr>
      </w:pPr>
      <w:r>
        <w:rPr>
          <w:rFonts w:ascii="Calibri" w:hAnsi="Calibri" w:eastAsia="Calibri" w:cs="Calibri"/>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COORDENAÇÃO DE LICITAÇÃO</w:t>
      </w:r>
    </w:p>
    <w:p>
      <w:pPr>
        <w:jc w:val="center"/>
        <w:rPr>
          <w:rFonts w:ascii="Calibri" w:hAnsi="Calibri" w:eastAsia="Calibri" w:cs="Calibri"/>
          <w:b/>
          <w:sz w:val="22"/>
          <w:szCs w:val="22"/>
        </w:rPr>
      </w:pPr>
    </w:p>
    <w:p>
      <w:pPr>
        <w:jc w:val="center"/>
      </w:pPr>
    </w:p>
    <w:p>
      <w:pPr>
        <w:tabs>
          <w:tab w:val="left" w:pos="708"/>
          <w:tab w:val="center" w:pos="4252"/>
          <w:tab w:val="right" w:pos="8504"/>
        </w:tabs>
        <w:spacing w:before="100" w:after="100"/>
        <w:jc w:val="center"/>
      </w:pPr>
      <w:r>
        <w:rPr>
          <w:rFonts w:ascii="Verdana" w:hAnsi="Verdana" w:eastAsia="Verdana" w:cs="Verdana"/>
          <w:b/>
        </w:rPr>
        <w:t>EDITAL DE LICITAÇÃO</w:t>
      </w:r>
    </w:p>
    <w:p>
      <w:pPr>
        <w:spacing w:before="100" w:after="100"/>
        <w:jc w:val="center"/>
        <w:rPr>
          <w:rFonts w:ascii="Verdana" w:hAnsi="Verdana" w:eastAsia="Verdana" w:cs="Verdana"/>
          <w:b/>
          <w:highlight w:val="yellow"/>
        </w:rPr>
      </w:pPr>
      <w:r>
        <w:rPr>
          <w:rFonts w:ascii="Verdana" w:hAnsi="Verdana" w:eastAsia="Verdana" w:cs="Verdana"/>
          <w:b/>
        </w:rPr>
        <w:t xml:space="preserve">PREGÃO ELETRÔNICO Nº </w:t>
      </w:r>
      <w:r>
        <w:rPr>
          <w:rFonts w:ascii="Verdana" w:hAnsi="Verdana" w:eastAsia="Verdana" w:cs="Verdana"/>
          <w:b/>
          <w:lang w:val="pt-BR"/>
        </w:rPr>
        <w:t>130/2022</w:t>
      </w:r>
      <w:r>
        <w:rPr>
          <w:rFonts w:ascii="Verdana" w:hAnsi="Verdana" w:eastAsia="Verdana" w:cs="Verdana"/>
          <w:b/>
        </w:rPr>
        <w:t>/AD</w:t>
      </w:r>
    </w:p>
    <w:p>
      <w:pPr>
        <w:spacing w:before="100" w:after="100"/>
        <w:jc w:val="center"/>
        <w:rPr>
          <w:rFonts w:ascii="Verdana" w:hAnsi="Verdana" w:eastAsia="Verdana" w:cs="Verdana"/>
          <w:b/>
        </w:rPr>
      </w:pPr>
      <w:r>
        <w:rPr>
          <w:rFonts w:ascii="Verdana" w:hAnsi="Verdana" w:eastAsia="Verdana" w:cs="Verdana"/>
          <w:b/>
        </w:rPr>
        <w:t>SERVIÇOS CONTINUADOS COM DEDICAÇÃO EXCLUSIVA DE MÃO DE OBRA</w:t>
      </w:r>
    </w:p>
    <w:p>
      <w:pPr>
        <w:spacing w:before="100" w:after="100"/>
        <w:jc w:val="center"/>
        <w:rPr>
          <w:rFonts w:ascii="Verdana" w:hAnsi="Verdana" w:eastAsia="Verdana" w:cs="Verdana"/>
          <w:b/>
        </w:rPr>
      </w:pPr>
      <w:r>
        <w:rPr>
          <w:rFonts w:ascii="Verdana" w:hAnsi="Verdana" w:eastAsia="Verdana" w:cs="Verdana"/>
          <w:b/>
        </w:rPr>
        <w:t>PROCESSO Nº  23069.157348/2020-31</w:t>
      </w:r>
    </w:p>
    <w:p>
      <w:pPr>
        <w:spacing w:after="120" w:line="276" w:lineRule="auto"/>
        <w:ind w:right="-17"/>
        <w:jc w:val="both"/>
        <w:rPr>
          <w:b/>
          <w:color w:val="000000"/>
        </w:rPr>
      </w:pPr>
    </w:p>
    <w:p>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p>
      <w:pPr>
        <w:spacing w:line="276" w:lineRule="auto"/>
        <w:jc w:val="both"/>
        <w:rPr>
          <w:color w:val="000000"/>
        </w:rPr>
      </w:pPr>
    </w:p>
    <w:p>
      <w:pPr>
        <w:spacing w:line="276" w:lineRule="auto"/>
        <w:jc w:val="center"/>
        <w:rPr>
          <w:b/>
          <w:bCs/>
        </w:rPr>
      </w:pPr>
      <w:r>
        <w:rPr>
          <w:color w:val="000000"/>
        </w:rPr>
        <w:t xml:space="preserve">Data da sessão: </w:t>
      </w:r>
      <w:r>
        <w:rPr>
          <w:rFonts w:hint="default"/>
          <w:b/>
          <w:color w:val="000000"/>
          <w:lang w:val="pt-BR"/>
        </w:rPr>
        <w:t xml:space="preserve">25 </w:t>
      </w:r>
      <w:r>
        <w:rPr>
          <w:b/>
          <w:color w:val="000000"/>
        </w:rPr>
        <w:t xml:space="preserve">de </w:t>
      </w:r>
      <w:r>
        <w:rPr>
          <w:rFonts w:hint="default"/>
          <w:b/>
          <w:color w:val="000000"/>
          <w:lang w:val="pt-BR"/>
        </w:rPr>
        <w:t xml:space="preserve">novembro </w:t>
      </w:r>
      <w:r>
        <w:rPr>
          <w:b/>
          <w:color w:val="000000"/>
        </w:rPr>
        <w:t>de 2022</w:t>
      </w:r>
    </w:p>
    <w:p>
      <w:pPr>
        <w:spacing w:line="276" w:lineRule="auto"/>
        <w:jc w:val="center"/>
        <w:rPr>
          <w:b/>
        </w:rPr>
      </w:pPr>
      <w:r>
        <w:rPr>
          <w:color w:val="000000"/>
        </w:rPr>
        <w:t xml:space="preserve">Horário: </w:t>
      </w:r>
      <w:r>
        <w:rPr>
          <w:b/>
          <w:color w:val="000000"/>
        </w:rPr>
        <w:t>10h</w:t>
      </w:r>
    </w:p>
    <w:p>
      <w:pPr>
        <w:spacing w:after="120" w:line="276" w:lineRule="auto"/>
        <w:ind w:right="-15"/>
        <w:jc w:val="center"/>
        <w:rPr>
          <w:b/>
          <w:color w:val="0000FF"/>
          <w:u w:val="single"/>
        </w:rPr>
      </w:pPr>
      <w:r>
        <w:rPr>
          <w:color w:val="000000"/>
        </w:rPr>
        <w:t xml:space="preserve">Local: Portal de Compras do Governo Federal –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p>
    <w:p>
      <w:pPr>
        <w:spacing w:after="120" w:line="276" w:lineRule="auto"/>
        <w:ind w:right="-15"/>
        <w:jc w:val="center"/>
        <w:rPr>
          <w:b/>
          <w:color w:val="0000FF"/>
        </w:rPr>
      </w:pPr>
    </w:p>
    <w:p>
      <w:pPr>
        <w:keepNext/>
        <w:keepLines/>
        <w:numPr>
          <w:ilvl w:val="0"/>
          <w:numId w:val="4"/>
        </w:numPr>
        <w:spacing w:before="480" w:after="120" w:line="276" w:lineRule="auto"/>
        <w:ind w:right="-15"/>
        <w:jc w:val="both"/>
      </w:pPr>
      <w:r>
        <w:rPr>
          <w:b/>
          <w:color w:val="000000"/>
        </w:rPr>
        <w:t>DO OBJETO</w:t>
      </w:r>
    </w:p>
    <w:p>
      <w:pPr>
        <w:numPr>
          <w:ilvl w:val="1"/>
          <w:numId w:val="5"/>
        </w:numPr>
        <w:spacing w:before="120" w:after="120" w:line="276" w:lineRule="auto"/>
        <w:jc w:val="both"/>
        <w:rPr>
          <w:color w:val="000000"/>
        </w:rPr>
      </w:pPr>
      <w:r>
        <w:rPr>
          <w:color w:val="000000"/>
        </w:rPr>
        <w:t xml:space="preserve">O objeto da presente licitação é a escolha da proposta mais vantajosa para a </w:t>
      </w:r>
      <w:r>
        <w:rPr>
          <w:b/>
          <w:color w:val="000000"/>
        </w:rPr>
        <w:t>Contratação, de pessoa jurídica especializada, na área de apoio administrativo e atividades auxiliares para prestação de serviços técnicos continuados, mediante cessão de mão de obra, na área de atividades culturais – artes cênicas e visuais, apresentações musicais, apresentações teatrais, dança e cinema - de forma a suprir as necessidades do Centro de Artes UFF – CEART, e também do Instituto de Arte e Comunicação Social - IACS, considerando as suas atividades diárias</w:t>
      </w:r>
      <w:r>
        <w:rPr>
          <w:b/>
          <w:bCs/>
          <w:color w:val="000000"/>
        </w:rPr>
        <w:t>,</w:t>
      </w:r>
      <w:r>
        <w:rPr>
          <w:color w:val="000000"/>
        </w:rPr>
        <w:t xml:space="preserve"> conforme condições, quantidades e exigências estabelecidas neste Edital e seus anexos. </w:t>
      </w:r>
    </w:p>
    <w:p>
      <w:pPr>
        <w:numPr>
          <w:ilvl w:val="1"/>
          <w:numId w:val="5"/>
        </w:numPr>
        <w:tabs>
          <w:tab w:val="left" w:pos="709"/>
        </w:tabs>
        <w:spacing w:before="120" w:after="120" w:line="276" w:lineRule="auto"/>
        <w:jc w:val="both"/>
        <w:rPr>
          <w:rFonts w:eastAsia="SimSun" w:cs="Arial"/>
          <w:szCs w:val="20"/>
        </w:rPr>
      </w:pPr>
      <w:r>
        <w:rPr>
          <w:color w:val="000000"/>
        </w:rPr>
        <w:t>A licitação será</w:t>
      </w:r>
      <w:r>
        <w:t xml:space="preserve"> </w:t>
      </w:r>
      <w:r>
        <w:rPr>
          <w:rFonts w:eastAsia="SimSun" w:cs="Arial"/>
          <w:szCs w:val="20"/>
        </w:rPr>
        <w:t xml:space="preserve">será realizada </w:t>
      </w:r>
      <w:r>
        <w:t>em único item</w:t>
      </w:r>
      <w:r>
        <w:rPr>
          <w:rFonts w:eastAsia="SimSun" w:cs="Arial"/>
          <w:szCs w:val="20"/>
        </w:rPr>
        <w:t>.</w:t>
      </w:r>
    </w:p>
    <w:p>
      <w:pPr>
        <w:numPr>
          <w:ilvl w:val="1"/>
          <w:numId w:val="5"/>
        </w:numPr>
        <w:tabs>
          <w:tab w:val="left" w:pos="709"/>
        </w:tabs>
        <w:spacing w:before="120" w:after="120" w:line="276" w:lineRule="auto"/>
        <w:jc w:val="both"/>
        <w:rPr>
          <w:iCs/>
        </w:rPr>
      </w:pPr>
      <w:r>
        <w:rPr>
          <w:color w:val="000000"/>
        </w:rPr>
        <w:t xml:space="preserve">O critério de julgamento adotado será </w:t>
      </w:r>
      <w:r>
        <w:t>o menor preço do item</w:t>
      </w:r>
      <w:r>
        <w:rPr>
          <w:iCs/>
        </w:rPr>
        <w:t>, observadas as exigências contidas neste Edital e seus Anexos quanto às especificações do objeto.</w:t>
      </w:r>
    </w:p>
    <w:p>
      <w:pPr>
        <w:spacing w:line="276" w:lineRule="auto"/>
        <w:ind w:left="567" w:firstLine="283"/>
        <w:jc w:val="both"/>
        <w:rPr>
          <w:iCs/>
          <w:u w:val="single"/>
        </w:rPr>
      </w:pPr>
    </w:p>
    <w:p>
      <w:pPr>
        <w:keepNext/>
        <w:keepLines/>
        <w:numPr>
          <w:ilvl w:val="0"/>
          <w:numId w:val="4"/>
        </w:numPr>
        <w:spacing w:before="480" w:after="120" w:line="276" w:lineRule="auto"/>
        <w:ind w:right="-15"/>
        <w:jc w:val="both"/>
        <w:rPr>
          <w:b/>
          <w:iCs/>
        </w:rPr>
      </w:pPr>
      <w:r>
        <w:rPr>
          <w:b/>
          <w:iCs/>
        </w:rPr>
        <w:t>DOS RECURSOS ORÇAMENTÁRIOS</w:t>
      </w:r>
    </w:p>
    <w:p>
      <w:pPr>
        <w:numPr>
          <w:ilvl w:val="1"/>
          <w:numId w:val="6"/>
        </w:numPr>
        <w:spacing w:before="120" w:after="120" w:line="276" w:lineRule="auto"/>
        <w:jc w:val="both"/>
      </w:pPr>
      <w:r>
        <w:t>As despesas para atender a esta licitação serão indicadas quando da homologação do procedimento licitatório, conforme despacho PLOR/PLAN SEI nº 0970762</w:t>
      </w:r>
      <w:r>
        <w:rPr>
          <w:rFonts w:ascii="Calibri" w:hAnsi="Calibri" w:eastAsia="SimSun" w:cs="Calibri"/>
          <w:b/>
          <w:bCs/>
          <w:color w:val="000000"/>
          <w:sz w:val="21"/>
          <w:szCs w:val="21"/>
        </w:rPr>
        <w:t> </w:t>
      </w:r>
      <w:r>
        <w:rPr>
          <w:rFonts w:ascii="Calibri" w:hAnsi="Calibri" w:eastAsia="SimSun" w:cs="Calibri"/>
          <w:color w:val="000000"/>
          <w:sz w:val="21"/>
          <w:szCs w:val="21"/>
        </w:rPr>
        <w:t>(</w:t>
      </w:r>
      <w:r>
        <w:t>https://sei.uff.br/sei/controlador.php?acao=procedimento_trabalhar&amp;id_procedimento=264980&amp;id_documento=1059845).</w:t>
      </w:r>
    </w:p>
    <w:p>
      <w:pPr>
        <w:keepNext/>
        <w:keepLines/>
        <w:numPr>
          <w:ilvl w:val="0"/>
          <w:numId w:val="4"/>
        </w:numPr>
        <w:spacing w:before="480" w:after="120" w:line="276" w:lineRule="auto"/>
        <w:ind w:right="-15"/>
        <w:jc w:val="both"/>
        <w:rPr>
          <w:b/>
        </w:rPr>
      </w:pPr>
      <w:r>
        <w:rPr>
          <w:b/>
        </w:rPr>
        <w:t>DO CREDENCIAMENTO</w:t>
      </w:r>
    </w:p>
    <w:p>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color w:val="000080"/>
          <w:u w:val="single"/>
        </w:rPr>
        <w:t>www.gov.br/compras</w:t>
      </w:r>
      <w:r>
        <w:rPr>
          <w:color w:val="000080"/>
          <w:u w:val="single"/>
        </w:rPr>
        <w:fldChar w:fldCharType="end"/>
      </w:r>
      <w:r>
        <w:rPr>
          <w:color w:val="000000"/>
        </w:rPr>
        <w:t>, por meio de certificado digital conferido pela Infraestrutura de Chaves Públicas Brasileira – ICP - Brasil.</w:t>
      </w:r>
    </w:p>
    <w:p>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pPr>
        <w:keepNext/>
        <w:keepLines/>
        <w:numPr>
          <w:ilvl w:val="0"/>
          <w:numId w:val="7"/>
        </w:numPr>
        <w:spacing w:before="480" w:after="120" w:line="276" w:lineRule="auto"/>
        <w:ind w:right="-15"/>
        <w:jc w:val="both"/>
        <w:rPr>
          <w:b/>
          <w:color w:val="000000"/>
        </w:rPr>
      </w:pPr>
      <w:r>
        <w:rPr>
          <w:b/>
          <w:color w:val="000000"/>
        </w:rPr>
        <w:t xml:space="preserve"> DA PARTICIPAÇÃO NO PREGÃO.</w:t>
      </w:r>
    </w:p>
    <w:p>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pacing w:before="120" w:after="120" w:line="276" w:lineRule="auto"/>
        <w:jc w:val="both"/>
        <w:rPr>
          <w:color w:val="000000"/>
        </w:rPr>
      </w:pPr>
      <w:r>
        <w:rPr>
          <w:color w:val="000000"/>
        </w:rPr>
        <w:t>Os licitantes deverão utilizar o certificado digital para acesso ao Sistema</w:t>
      </w:r>
    </w:p>
    <w:p>
      <w:pPr>
        <w:numPr>
          <w:ilvl w:val="1"/>
          <w:numId w:val="8"/>
        </w:numPr>
        <w:spacing w:before="120" w:after="120" w:line="276" w:lineRule="auto"/>
        <w:jc w:val="both"/>
        <w:rPr>
          <w:color w:val="000000"/>
        </w:rPr>
      </w:pPr>
      <w:r>
        <w:rPr>
          <w:color w:val="000000"/>
        </w:rPr>
        <w:t>Não poderão participar desta licitação os interessados:</w:t>
      </w:r>
    </w:p>
    <w:p>
      <w:pPr>
        <w:numPr>
          <w:ilvl w:val="2"/>
          <w:numId w:val="9"/>
        </w:numP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pPr>
        <w:numPr>
          <w:ilvl w:val="2"/>
          <w:numId w:val="9"/>
        </w:numPr>
        <w:shd w:val="clear" w:color="auto" w:fill="FFFFFF"/>
        <w:spacing w:before="120" w:after="120" w:line="276" w:lineRule="auto"/>
        <w:jc w:val="both"/>
        <w:rPr>
          <w:color w:val="000000"/>
        </w:rPr>
      </w:pPr>
      <w:r>
        <w:rPr>
          <w:color w:val="000000"/>
        </w:rPr>
        <w:t>que não atendam às condições deste Edital e seu(s) anexo(s);</w:t>
      </w:r>
    </w:p>
    <w:p>
      <w:pPr>
        <w:numPr>
          <w:ilvl w:val="2"/>
          <w:numId w:val="9"/>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pPr>
        <w:numPr>
          <w:ilvl w:val="2"/>
          <w:numId w:val="9"/>
        </w:numPr>
        <w:shd w:val="clear" w:color="auto" w:fill="FFFFFF"/>
        <w:spacing w:before="120" w:after="120" w:line="276" w:lineRule="auto"/>
        <w:jc w:val="both"/>
        <w:rPr>
          <w:color w:val="000000"/>
        </w:rPr>
      </w:pPr>
      <w:r>
        <w:rPr>
          <w:color w:val="000000"/>
        </w:rPr>
        <w:t>que se enquadrem nas vedações previstas no artigo 9º da Lei nº 8.666, de 1993;</w:t>
      </w:r>
    </w:p>
    <w:p>
      <w:pPr>
        <w:keepNext/>
        <w:widowControl w:val="0"/>
        <w:numPr>
          <w:ilvl w:val="2"/>
          <w:numId w:val="9"/>
        </w:numP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pPr>
        <w:numPr>
          <w:ilvl w:val="2"/>
          <w:numId w:val="9"/>
        </w:numPr>
        <w:spacing w:line="276" w:lineRule="auto"/>
        <w:rPr>
          <w:color w:val="000000"/>
        </w:rPr>
      </w:pPr>
      <w:r>
        <w:rPr>
          <w:color w:val="000000"/>
        </w:rPr>
        <w:t>entidades empresariais que estejam reunidas em consórcio;</w:t>
      </w:r>
    </w:p>
    <w:p>
      <w:pPr>
        <w:spacing w:line="276" w:lineRule="auto"/>
      </w:pPr>
    </w:p>
    <w:p>
      <w:pPr>
        <w:numPr>
          <w:ilvl w:val="2"/>
          <w:numId w:val="9"/>
        </w:numP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pPr>
        <w:numPr>
          <w:ilvl w:val="2"/>
          <w:numId w:val="9"/>
        </w:numPr>
        <w:tabs>
          <w:tab w:val="left" w:pos="1440"/>
        </w:tabs>
        <w:spacing w:before="120" w:after="120" w:line="276" w:lineRule="auto"/>
        <w:jc w:val="both"/>
        <w:rPr>
          <w:iCs/>
        </w:rPr>
      </w:pPr>
      <w:r>
        <w:rPr>
          <w:iCs/>
        </w:rPr>
        <w:t>instituições sem fins lucrativos (parágrafo único do art. 12 da Instrução Normativa SEGES/MP nº 05/2017);</w:t>
      </w:r>
    </w:p>
    <w:p>
      <w:pPr>
        <w:numPr>
          <w:ilvl w:val="3"/>
          <w:numId w:val="9"/>
        </w:numPr>
        <w:tabs>
          <w:tab w:val="left" w:pos="1440"/>
        </w:tabs>
        <w:spacing w:before="120" w:after="120" w:line="276" w:lineRule="auto"/>
        <w:jc w:val="both"/>
        <w:rPr>
          <w:iCs/>
        </w:rPr>
      </w:pPr>
      <w:r>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pPr>
        <w:numPr>
          <w:ilvl w:val="0"/>
          <w:numId w:val="10"/>
        </w:numP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numPr>
          <w:ilvl w:val="0"/>
          <w:numId w:val="10"/>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numPr>
          <w:ilvl w:val="2"/>
          <w:numId w:val="2"/>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pPr>
        <w:numPr>
          <w:ilvl w:val="2"/>
          <w:numId w:val="8"/>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numPr>
          <w:ilvl w:val="3"/>
          <w:numId w:val="8"/>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8"/>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numPr>
          <w:ilvl w:val="2"/>
          <w:numId w:val="8"/>
        </w:numPr>
        <w:tabs>
          <w:tab w:val="left" w:pos="1440"/>
        </w:tabs>
        <w:spacing w:line="276" w:lineRule="auto"/>
        <w:jc w:val="both"/>
        <w:rPr>
          <w:color w:val="000000"/>
        </w:rPr>
      </w:pPr>
      <w:r>
        <w:rPr>
          <w:color w:val="000000"/>
        </w:rPr>
        <w:t>que está ciente e concorda com as condições contidas no Edital e seus anexos;</w:t>
      </w:r>
    </w:p>
    <w:p>
      <w:pPr>
        <w:numPr>
          <w:ilvl w:val="2"/>
          <w:numId w:val="8"/>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numPr>
          <w:ilvl w:val="2"/>
          <w:numId w:val="8"/>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numPr>
          <w:ilvl w:val="2"/>
          <w:numId w:val="8"/>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numPr>
          <w:ilvl w:val="2"/>
          <w:numId w:val="8"/>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numPr>
          <w:ilvl w:val="2"/>
          <w:numId w:val="8"/>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8"/>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pPr>
        <w:spacing w:before="120" w:after="120" w:line="276" w:lineRule="auto"/>
        <w:ind w:left="425"/>
        <w:jc w:val="both"/>
      </w:pPr>
    </w:p>
    <w:p>
      <w:pPr>
        <w:keepNext/>
        <w:keepLines/>
        <w:spacing w:before="120" w:after="120" w:line="276" w:lineRule="auto"/>
        <w:ind w:left="425" w:right="-15" w:hanging="360"/>
        <w:jc w:val="both"/>
        <w:rPr>
          <w:b/>
          <w:color w:val="000000"/>
        </w:rPr>
      </w:pPr>
      <w:r>
        <w:rPr>
          <w:b/>
          <w:color w:val="000000"/>
        </w:rPr>
        <w:t>5.</w:t>
      </w:r>
      <w:r>
        <w:rPr>
          <w:b/>
          <w:color w:val="000000"/>
        </w:rPr>
        <w:tab/>
      </w:r>
      <w:r>
        <w:rPr>
          <w:b/>
          <w:color w:val="000000"/>
        </w:rPr>
        <w:t xml:space="preserve"> DA APRESENTAÇÃO DA PROPOSTA E DOS DOCUMENTOS DE HABILITAÇÃO</w:t>
      </w:r>
    </w:p>
    <w:p>
      <w:pPr>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spacing w:before="120" w:after="120" w:line="276" w:lineRule="auto"/>
        <w:ind w:left="425"/>
        <w:jc w:val="both"/>
      </w:pPr>
      <w:r>
        <w:t>5.2.</w:t>
      </w:r>
      <w:r>
        <w:tab/>
      </w:r>
      <w:r>
        <w:t>O envio da proposta, acompanhada dos documentos de habilitação exigidos neste Edital, ocorrerá por meio de chave de acesso e senha.</w:t>
      </w:r>
    </w:p>
    <w:p>
      <w:pPr>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pPr>
    </w:p>
    <w:p>
      <w:pPr>
        <w:keepNext/>
        <w:keepLines/>
        <w:numPr>
          <w:ilvl w:val="0"/>
          <w:numId w:val="11"/>
        </w:numPr>
        <w:spacing w:before="480" w:after="120" w:line="276" w:lineRule="auto"/>
        <w:ind w:left="425" w:right="-15" w:firstLine="66"/>
        <w:jc w:val="both"/>
        <w:rPr>
          <w:color w:val="000000"/>
        </w:rPr>
      </w:pPr>
      <w:r>
        <w:rPr>
          <w:b/>
          <w:color w:val="000000"/>
        </w:rPr>
        <w:t>DO PREENCHIMENTO DA PROPOSTA</w:t>
      </w:r>
      <w:r>
        <w:t xml:space="preserve">  </w:t>
      </w:r>
    </w:p>
    <w:p>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pPr>
        <w:numPr>
          <w:ilvl w:val="2"/>
          <w:numId w:val="11"/>
        </w:numP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pPr>
        <w:numPr>
          <w:ilvl w:val="2"/>
          <w:numId w:val="11"/>
        </w:numP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pPr>
        <w:numPr>
          <w:ilvl w:val="3"/>
          <w:numId w:val="11"/>
        </w:numP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numPr>
          <w:ilvl w:val="3"/>
          <w:numId w:val="11"/>
        </w:numP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pPr>
        <w:numPr>
          <w:ilvl w:val="1"/>
          <w:numId w:val="11"/>
        </w:numPr>
        <w:spacing w:before="120" w:after="120" w:line="276" w:lineRule="auto"/>
        <w:ind w:left="425" w:firstLine="0"/>
        <w:jc w:val="both"/>
      </w:pPr>
      <w:r>
        <w:t>Todas as especificações do objeto contidas na proposta vinculam a Contratada.</w:t>
      </w:r>
    </w:p>
    <w:p>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numPr>
          <w:ilvl w:val="2"/>
          <w:numId w:val="11"/>
        </w:numP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11"/>
        </w:numP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11"/>
        </w:numPr>
        <w:spacing w:before="120" w:after="120" w:line="276" w:lineRule="auto"/>
        <w:jc w:val="both"/>
      </w:pPr>
      <w:r>
        <w:t>cotação de percentual menor que o adequado: o percentual será mantido durante toda a execução contratual;</w:t>
      </w:r>
    </w:p>
    <w:p>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12"/>
        </w:numPr>
        <w:spacing w:before="480" w:after="120" w:line="276" w:lineRule="auto"/>
        <w:ind w:right="-15"/>
        <w:jc w:val="both"/>
        <w:rPr>
          <w:b/>
          <w:color w:val="000000"/>
        </w:rPr>
      </w:pPr>
      <w:r>
        <w:rPr>
          <w:b/>
          <w:color w:val="000000"/>
        </w:rPr>
        <w:t xml:space="preserve"> DA ABERTURA DA SESSÃO, CLASSIFICAÇÃO DAS PROPOSTAS E FORMULAÇÃO DE LANCES</w:t>
      </w:r>
    </w:p>
    <w:p>
      <w:pPr>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pPr>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pPr>
        <w:numPr>
          <w:ilvl w:val="1"/>
          <w:numId w:val="13"/>
        </w:numPr>
        <w:spacing w:before="120" w:after="120" w:line="276" w:lineRule="auto"/>
        <w:jc w:val="both"/>
      </w:pPr>
      <w:r>
        <w:t>Os licitantes poderão oferecer lances sucessivos, observando o horário fixado para abertura da sessão e as regras estabelecidas no Edital.</w:t>
      </w:r>
    </w:p>
    <w:p>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pPr>
        <w:numPr>
          <w:ilvl w:val="1"/>
          <w:numId w:val="13"/>
        </w:numPr>
        <w:spacing w:before="120" w:after="120" w:line="276" w:lineRule="auto"/>
        <w:jc w:val="both"/>
        <w:rPr>
          <w:rFonts w:hint="default"/>
          <w:lang w:val="pt-BR"/>
        </w:rPr>
      </w:pPr>
      <w:r>
        <w:rPr>
          <w:rFonts w:hint="default"/>
          <w:b/>
          <w:bCs/>
        </w:rPr>
        <w:t xml:space="preserve">O intervalo mínimo de diferença entre os lances, que incidirá tanto em relação aos lances intermediários quanto em relação à proposta que cobrir a melhor oferta deverá ser de </w:t>
      </w:r>
      <w:r>
        <w:rPr>
          <w:rFonts w:hint="default"/>
          <w:b/>
          <w:bCs/>
          <w:lang w:val="pt-BR"/>
        </w:rPr>
        <w:t>0,5%</w:t>
      </w:r>
      <w:r>
        <w:rPr>
          <w:rFonts w:hint="default"/>
          <w:lang w:val="pt-BR"/>
        </w:rPr>
        <w:t>.</w:t>
      </w:r>
    </w:p>
    <w:p>
      <w:pPr>
        <w:numPr>
          <w:ilvl w:val="1"/>
          <w:numId w:val="13"/>
        </w:numPr>
        <w:spacing w:before="120" w:after="120" w:line="276" w:lineRule="auto"/>
        <w:jc w:val="both"/>
        <w:rPr>
          <w:rFonts w:hint="default" w:ascii="Calibri" w:hAnsi="Calibri" w:cs="Calibri"/>
          <w:i w:val="0"/>
          <w:iCs w:val="0"/>
          <w:caps w:val="0"/>
          <w:color w:val="000000"/>
          <w:spacing w:val="0"/>
          <w:sz w:val="27"/>
          <w:szCs w:val="27"/>
        </w:rPr>
      </w:pPr>
      <w:r>
        <w:rPr>
          <w:rFonts w:ascii="Times New Roman" w:hAnsi="Times New Roman" w:cs="Times New Roman"/>
          <w:i w:val="0"/>
          <w:iCs w:val="0"/>
          <w:caps w:val="0"/>
          <w:color w:val="auto"/>
          <w:spacing w:val="0"/>
          <w:sz w:val="14"/>
          <w:szCs w:val="14"/>
        </w:rPr>
        <w:t>       </w:t>
      </w:r>
      <w:r>
        <w:rPr>
          <w:rFonts w:hint="default"/>
        </w:rPr>
        <w:t xml:space="preserve">  Será adotado para o envio de lances no pregão eletrônico o modo de disputa </w:t>
      </w:r>
      <w:r>
        <w:rPr>
          <w:rFonts w:hint="default"/>
          <w:b/>
          <w:bCs/>
        </w:rPr>
        <w:t>“aberto”,</w:t>
      </w:r>
      <w:r>
        <w:rPr>
          <w:rFonts w:hint="default"/>
        </w:rPr>
        <w:t xml:space="preserve"> em que os licitantes apresentarão lances públicos e sucessivos, com prorrogações.</w:t>
      </w:r>
    </w:p>
    <w:p>
      <w:pPr>
        <w:numPr>
          <w:ilvl w:val="1"/>
          <w:numId w:val="13"/>
        </w:numPr>
        <w:spacing w:before="120" w:after="120" w:line="276" w:lineRule="auto"/>
        <w:jc w:val="both"/>
        <w:rPr>
          <w:rFonts w:hint="default"/>
        </w:rPr>
      </w:pPr>
      <w:r>
        <w:rPr>
          <w:rFonts w:hint="default"/>
        </w:rPr>
        <w:t>A etapa de lances da sessão pública terá duração de dez minutos e, após isso, será prorrogada automaticamente pelo sistema quando houver lance ofertado nos últimos dois minutos do período de duração da sessão pública.</w:t>
      </w:r>
    </w:p>
    <w:p>
      <w:pPr>
        <w:numPr>
          <w:ilvl w:val="1"/>
          <w:numId w:val="13"/>
        </w:numPr>
        <w:spacing w:before="120" w:after="120" w:line="276" w:lineRule="auto"/>
        <w:jc w:val="both"/>
        <w:rPr>
          <w:rFonts w:hint="default"/>
        </w:rPr>
      </w:pPr>
      <w:r>
        <w:rPr>
          <w:rFonts w:hint="default"/>
        </w:rP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13"/>
        </w:numPr>
        <w:spacing w:before="120" w:after="120" w:line="276" w:lineRule="auto"/>
        <w:jc w:val="both"/>
        <w:rPr>
          <w:rFonts w:hint="default"/>
        </w:rPr>
      </w:pPr>
      <w:r>
        <w:rPr>
          <w:rFonts w:hint="default"/>
        </w:rPr>
        <w:t>Não havendo novos lances na forma estabelecida nos itens anteriores, a sessão pública encerrar-se-á automaticamente.</w:t>
      </w:r>
    </w:p>
    <w:p>
      <w:pPr>
        <w:numPr>
          <w:ilvl w:val="1"/>
          <w:numId w:val="13"/>
        </w:numPr>
        <w:spacing w:before="120" w:after="120" w:line="276" w:lineRule="auto"/>
        <w:jc w:val="both"/>
        <w:rPr>
          <w:rFonts w:hint="default"/>
        </w:rPr>
      </w:pPr>
      <w:r>
        <w:rPr>
          <w:rFonts w:hint="default"/>
        </w:rP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13"/>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3"/>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3"/>
        </w:numPr>
        <w:spacing w:before="120" w:after="120" w:line="276" w:lineRule="auto"/>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3"/>
        </w:numPr>
        <w:spacing w:before="120" w:after="120" w:line="276" w:lineRule="auto"/>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3"/>
        </w:numPr>
        <w:spacing w:before="120" w:after="120" w:line="276" w:lineRule="auto"/>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pPr>
        <w:numPr>
          <w:ilvl w:val="1"/>
          <w:numId w:val="14"/>
        </w:numPr>
        <w:spacing w:before="120" w:after="120" w:line="276" w:lineRule="auto"/>
        <w:jc w:val="both"/>
      </w:pPr>
      <w:r>
        <w:rPr>
          <w:color w:val="000000"/>
        </w:rPr>
        <w:t>Caso o licitante não apresente lances, concorrerá com o valor de sua proposta.</w:t>
      </w:r>
    </w:p>
    <w:p>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4"/>
        </w:numP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pPr>
        <w:numPr>
          <w:ilvl w:val="2"/>
          <w:numId w:val="14"/>
        </w:numP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numPr>
          <w:ilvl w:val="3"/>
          <w:numId w:val="14"/>
        </w:numPr>
        <w:tabs>
          <w:tab w:val="left" w:pos="-12"/>
        </w:tabs>
        <w:spacing w:before="120" w:after="120" w:line="276" w:lineRule="auto"/>
        <w:jc w:val="both"/>
        <w:rPr>
          <w:color w:val="000000"/>
        </w:rPr>
      </w:pPr>
      <w:r>
        <w:rPr>
          <w:color w:val="000000"/>
        </w:rPr>
        <w:t xml:space="preserve">prestados por empresas brasileiras; </w:t>
      </w:r>
    </w:p>
    <w:p>
      <w:pPr>
        <w:numPr>
          <w:ilvl w:val="3"/>
          <w:numId w:val="14"/>
        </w:numPr>
        <w:tabs>
          <w:tab w:val="left" w:pos="-12"/>
        </w:tabs>
        <w:spacing w:before="120" w:after="120" w:line="276" w:lineRule="auto"/>
        <w:jc w:val="both"/>
        <w:rPr>
          <w:color w:val="000000"/>
        </w:rPr>
      </w:pPr>
      <w:r>
        <w:rPr>
          <w:color w:val="000000"/>
        </w:rPr>
        <w:t>prestados por empresas que invistam em pesquisa e no desenvolvimento de tecnologia no País;</w:t>
      </w:r>
    </w:p>
    <w:p>
      <w:pPr>
        <w:numPr>
          <w:ilvl w:val="3"/>
          <w:numId w:val="14"/>
        </w:numP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4"/>
        </w:numP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pPr>
        <w:numPr>
          <w:ilvl w:val="1"/>
          <w:numId w:val="14"/>
        </w:numP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4"/>
        </w:numPr>
        <w:tabs>
          <w:tab w:val="left" w:pos="-12"/>
        </w:tabs>
        <w:spacing w:before="120" w:after="120" w:line="276" w:lineRule="auto"/>
        <w:jc w:val="both"/>
        <w:rPr>
          <w:color w:val="000000"/>
        </w:rPr>
      </w:pPr>
      <w:r>
        <w:rPr>
          <w:color w:val="000000"/>
        </w:rPr>
        <w:t>A negociação será realizada por meio do sistema, podendo ser acompanhada pelos demais licitantes.</w:t>
      </w:r>
    </w:p>
    <w:p>
      <w:pPr>
        <w:numPr>
          <w:ilvl w:val="2"/>
          <w:numId w:val="14"/>
        </w:numP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pPr>
        <w:numPr>
          <w:ilvl w:val="3"/>
          <w:numId w:val="14"/>
        </w:numPr>
        <w:tabs>
          <w:tab w:val="left" w:pos="-12"/>
        </w:tabs>
        <w:spacing w:before="120" w:after="120" w:line="276" w:lineRule="auto"/>
        <w:jc w:val="both"/>
        <w:rPr>
          <w:color w:val="000000"/>
        </w:rPr>
      </w:pPr>
      <w:r>
        <w:rPr>
          <w:b/>
          <w:bCs/>
          <w:color w:val="000000"/>
        </w:rPr>
        <w:t>A desclassificação da licitante sem que lhe seja conferida a oportunidade para sanear os seus documentos de habilitação e/ou proposta, resulta em objetivo dissociado do interesse público (Acordão n.º 1211/2021 – Plenário do TCU).</w:t>
      </w:r>
    </w:p>
    <w:p>
      <w:pPr>
        <w:numPr>
          <w:ilvl w:val="3"/>
          <w:numId w:val="14"/>
        </w:numPr>
        <w:tabs>
          <w:tab w:val="left" w:pos="-12"/>
        </w:tabs>
        <w:spacing w:before="120" w:after="120" w:line="276" w:lineRule="auto"/>
        <w:jc w:val="both"/>
        <w:rPr>
          <w:color w:val="000000"/>
        </w:rPr>
      </w:pPr>
      <w:r>
        <w:rPr>
          <w:b/>
          <w:bCs/>
          <w:color w:val="000000"/>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numPr>
          <w:ilvl w:val="1"/>
          <w:numId w:val="14"/>
        </w:numPr>
        <w:tabs>
          <w:tab w:val="left" w:pos="-12"/>
        </w:tabs>
        <w:spacing w:before="120" w:after="120" w:line="276" w:lineRule="auto"/>
        <w:jc w:val="both"/>
        <w:rPr>
          <w:color w:val="000000"/>
        </w:rPr>
      </w:pPr>
      <w:r>
        <w:rPr>
          <w:color w:val="000000"/>
        </w:rPr>
        <w:t>Após a negociação do preço, o Pregoeiro iniciará a fase de aceitação e julgamento da proposta.</w:t>
      </w:r>
    </w:p>
    <w:p>
      <w:pPr>
        <w:keepNext/>
        <w:keepLines/>
        <w:numPr>
          <w:ilvl w:val="0"/>
          <w:numId w:val="12"/>
        </w:numPr>
        <w:spacing w:before="480" w:after="120" w:line="276" w:lineRule="auto"/>
        <w:ind w:right="-15"/>
        <w:jc w:val="both"/>
        <w:rPr>
          <w:b/>
          <w:color w:val="000000"/>
        </w:rPr>
      </w:pPr>
      <w:r>
        <w:rPr>
          <w:b/>
          <w:color w:val="000000"/>
        </w:rPr>
        <w:t>DA ACEITABILIDADE DA PROPOSTA VENCEDORA.</w:t>
      </w:r>
    </w:p>
    <w:p>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pPr>
        <w:numPr>
          <w:ilvl w:val="2"/>
          <w:numId w:val="16"/>
        </w:numPr>
        <w:spacing w:before="120" w:line="276" w:lineRule="auto"/>
        <w:ind w:right="-15"/>
        <w:jc w:val="both"/>
        <w:rPr>
          <w:color w:val="000000"/>
        </w:rPr>
      </w:pPr>
      <w:r>
        <w:rPr>
          <w:color w:val="000000"/>
        </w:rPr>
        <w:t>não estiver em conformidade com os requisitos estabelecidos neste edital;</w:t>
      </w:r>
    </w:p>
    <w:p>
      <w:pPr>
        <w:numPr>
          <w:ilvl w:val="2"/>
          <w:numId w:val="16"/>
        </w:numPr>
        <w:spacing w:line="276" w:lineRule="auto"/>
        <w:ind w:right="-15"/>
        <w:jc w:val="both"/>
        <w:rPr>
          <w:color w:val="000000"/>
        </w:rPr>
      </w:pPr>
      <w:r>
        <w:rPr>
          <w:color w:val="000000"/>
        </w:rPr>
        <w:t>contenha vício insanável ou ilegalidade;</w:t>
      </w:r>
    </w:p>
    <w:p>
      <w:pPr>
        <w:numPr>
          <w:ilvl w:val="2"/>
          <w:numId w:val="16"/>
        </w:numPr>
        <w:spacing w:line="276" w:lineRule="auto"/>
        <w:ind w:right="-15"/>
        <w:jc w:val="both"/>
        <w:rPr>
          <w:color w:val="000000"/>
        </w:rPr>
      </w:pPr>
      <w:r>
        <w:rPr>
          <w:color w:val="000000"/>
        </w:rPr>
        <w:t>não apresente as especificações técnicas exigidas pelo Termo de Referência;</w:t>
      </w:r>
    </w:p>
    <w:p>
      <w:pPr>
        <w:numPr>
          <w:ilvl w:val="2"/>
          <w:numId w:val="16"/>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6"/>
        </w:numP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pPr>
        <w:numPr>
          <w:ilvl w:val="4"/>
          <w:numId w:val="16"/>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6"/>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numPr>
          <w:ilvl w:val="3"/>
          <w:numId w:val="16"/>
        </w:numP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pPr>
        <w:numPr>
          <w:ilvl w:val="4"/>
          <w:numId w:val="16"/>
        </w:numPr>
        <w:spacing w:after="120" w:line="276" w:lineRule="auto"/>
        <w:jc w:val="both"/>
        <w:rPr>
          <w:iCs/>
        </w:rPr>
      </w:pPr>
      <w:r>
        <w:rPr>
          <w:b/>
        </w:rPr>
        <w:t>CCT 2022/2023  - RJ000597/2022;</w:t>
      </w:r>
    </w:p>
    <w:p>
      <w:pPr>
        <w:numPr>
          <w:ilvl w:val="4"/>
          <w:numId w:val="16"/>
        </w:numP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pPr>
        <w:numPr>
          <w:ilvl w:val="2"/>
          <w:numId w:val="17"/>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numPr>
          <w:ilvl w:val="2"/>
          <w:numId w:val="17"/>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numPr>
          <w:ilvl w:val="2"/>
          <w:numId w:val="17"/>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numPr>
          <w:ilvl w:val="2"/>
          <w:numId w:val="17"/>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numPr>
          <w:ilvl w:val="2"/>
          <w:numId w:val="17"/>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numPr>
          <w:ilvl w:val="2"/>
          <w:numId w:val="17"/>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r>
        <w:fldChar w:fldCharType="begin"/>
      </w:r>
      <w:r>
        <w:instrText xml:space="preserve"> HYPERLINK "http://www.gov.br/compras" \h </w:instrText>
      </w:r>
      <w:r>
        <w:fldChar w:fldCharType="separate"/>
      </w:r>
      <w:r>
        <w:rPr>
          <w:b/>
          <w:iCs/>
          <w:u w:val="single"/>
        </w:rPr>
        <w:t>www.gov.br/compras</w:t>
      </w:r>
      <w:r>
        <w:rPr>
          <w:b/>
          <w:iCs/>
          <w:u w:val="single"/>
        </w:rPr>
        <w:fldChar w:fldCharType="end"/>
      </w:r>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eastAsia="SimSun" w:cs="Arial"/>
          <w:b/>
          <w:bCs/>
          <w:color w:val="000000"/>
          <w:szCs w:val="20"/>
          <w:shd w:val="clear" w:color="auto" w:fill="FFFFFF"/>
        </w:rPr>
        <w:t xml:space="preserve"> ou também por meio do e-mail </w:t>
      </w:r>
      <w:r>
        <w:fldChar w:fldCharType="begin"/>
      </w:r>
      <w:r>
        <w:instrText xml:space="preserve"> HYPERLINK "mailto:cpl@id.uff.br" </w:instrText>
      </w:r>
      <w:r>
        <w:fldChar w:fldCharType="separate"/>
      </w:r>
      <w:r>
        <w:rPr>
          <w:rStyle w:val="14"/>
          <w:rFonts w:eastAsia="SimSun" w:cs="Arial"/>
          <w:b/>
          <w:bCs/>
          <w:color w:val="1155CC"/>
          <w:szCs w:val="20"/>
          <w:shd w:val="clear" w:color="auto" w:fill="FFFFFF"/>
        </w:rPr>
        <w:t>cpl@id.uff.b</w:t>
      </w:r>
      <w:r>
        <w:rPr>
          <w:rStyle w:val="14"/>
          <w:rFonts w:eastAsia="SimSun" w:cs="Arial"/>
          <w:color w:val="1155CC"/>
          <w:szCs w:val="20"/>
          <w:shd w:val="clear" w:color="auto" w:fill="FFFFFF"/>
        </w:rPr>
        <w:t>r</w:t>
      </w:r>
      <w:r>
        <w:rPr>
          <w:rStyle w:val="14"/>
          <w:rFonts w:eastAsia="SimSun" w:cs="Arial"/>
          <w:color w:val="1155CC"/>
          <w:szCs w:val="20"/>
          <w:shd w:val="clear" w:color="auto" w:fill="FFFFFF"/>
        </w:rPr>
        <w:fldChar w:fldCharType="end"/>
      </w:r>
      <w:r>
        <w:rPr>
          <w:rFonts w:ascii="SimSun" w:hAnsi="SimSun" w:eastAsia="SimSun" w:cs="SimSun"/>
          <w:sz w:val="24"/>
        </w:rPr>
        <w:t xml:space="preserve"> </w:t>
      </w:r>
      <w:r>
        <w:rPr>
          <w:color w:val="000000"/>
        </w:rPr>
        <w:t>pelo licitante, antes de findo o prazo.</w:t>
      </w:r>
    </w:p>
    <w:p>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numPr>
          <w:ilvl w:val="1"/>
          <w:numId w:val="21"/>
        </w:numPr>
        <w:spacing w:before="120" w:after="120" w:line="276" w:lineRule="auto"/>
        <w:ind w:right="-1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AMOSTRA: o pregoeiro poderá solicitar Amostra dos Materiais a serem utilizados na execução do Contrato, de forma a garantir a qualidade dos mesmos. Caso julgue necessário, a solicitação será feita por Chat com o prazo e endereço para recebimento.</w:t>
      </w:r>
    </w:p>
    <w:p>
      <w:pPr>
        <w:spacing w:before="120" w:after="120" w:line="276" w:lineRule="auto"/>
        <w:ind w:left="1036" w:right="-15"/>
        <w:jc w:val="both"/>
        <w:rPr>
          <w:color w:val="000000"/>
        </w:rPr>
      </w:pPr>
    </w:p>
    <w:p>
      <w:pPr>
        <w:keepNext/>
        <w:keepLines/>
        <w:numPr>
          <w:ilvl w:val="0"/>
          <w:numId w:val="22"/>
        </w:numPr>
        <w:spacing w:before="480" w:after="120" w:line="276" w:lineRule="auto"/>
        <w:ind w:right="-15"/>
        <w:jc w:val="both"/>
        <w:rPr>
          <w:b/>
          <w:color w:val="000000"/>
        </w:rPr>
      </w:pPr>
      <w:r>
        <w:rPr>
          <w:b/>
          <w:color w:val="000000"/>
        </w:rPr>
        <w:t xml:space="preserve">DA HABILITAÇÃO </w:t>
      </w:r>
    </w:p>
    <w:p>
      <w:pPr>
        <w:numPr>
          <w:ilvl w:val="1"/>
          <w:numId w:val="23"/>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spacing w:before="120" w:after="120" w:line="276" w:lineRule="auto"/>
        <w:ind w:left="720" w:firstLine="720"/>
        <w:jc w:val="both"/>
        <w:rPr>
          <w:color w:val="000000"/>
        </w:rPr>
      </w:pPr>
      <w:r>
        <w:t xml:space="preserve">    a</w:t>
      </w:r>
      <w:r>
        <w:rPr>
          <w:color w:val="000000"/>
        </w:rPr>
        <w:t>) SICAF;</w:t>
      </w:r>
    </w:p>
    <w:p>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r>
        <w:fldChar w:fldCharType="begin"/>
      </w:r>
      <w:r>
        <w:instrText xml:space="preserve"> HYPERLINK "http://www.portaldatransparencia.gov.br/ceis" \h </w:instrText>
      </w:r>
      <w:r>
        <w:fldChar w:fldCharType="separate"/>
      </w:r>
      <w:r>
        <w:rPr>
          <w:b/>
          <w:color w:val="0000FF"/>
          <w:u w:val="single"/>
        </w:rPr>
        <w:t>www.portaldatransparencia.gov.br/ceis</w:t>
      </w:r>
      <w:r>
        <w:rPr>
          <w:b/>
          <w:color w:val="0000FF"/>
          <w:u w:val="single"/>
        </w:rPr>
        <w:fldChar w:fldCharType="end"/>
      </w:r>
      <w:r>
        <w:rPr>
          <w:b/>
          <w:color w:val="0000FF"/>
        </w:rPr>
        <w:t>);</w:t>
      </w:r>
    </w:p>
    <w:p>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r>
        <w:fldChar w:fldCharType="begin"/>
      </w:r>
      <w:r>
        <w:instrText xml:space="preserve"> HYPERLINK "http://www.cnj.jus.br/improbidade_adm/consultar_requerido.php" \h </w:instrText>
      </w:r>
      <w:r>
        <w:fldChar w:fldCharType="separate"/>
      </w:r>
      <w:r>
        <w:rPr>
          <w:b/>
          <w:color w:val="0000FF"/>
          <w:u w:val="single"/>
        </w:rPr>
        <w:t>www.cnj.jus.br/improbidade_adm/consultar_requerido.php</w:t>
      </w:r>
      <w:r>
        <w:rPr>
          <w:b/>
          <w:color w:val="0000FF"/>
          <w:u w:val="single"/>
        </w:rPr>
        <w:fldChar w:fldCharType="end"/>
      </w:r>
      <w:r>
        <w:rPr>
          <w:b/>
          <w:color w:val="0000FF"/>
        </w:rPr>
        <w:t>);</w:t>
      </w:r>
    </w:p>
    <w:p>
      <w:pPr>
        <w:ind w:left="1134" w:hanging="1134"/>
      </w:pPr>
      <w:r>
        <w:t xml:space="preserve">                    d) Lista de Inidôneos e o Cadastro Integrado de Condenações por Ilícitos Administrativos            - CADICON, mantidos pelo Tribunal de Contas da União - TCU;</w:t>
      </w:r>
    </w:p>
    <w:p>
      <w:pPr>
        <w:numPr>
          <w:ilvl w:val="2"/>
          <w:numId w:val="23"/>
        </w:numP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r>
        <w:fldChar w:fldCharType="begin"/>
      </w:r>
      <w:r>
        <w:instrText xml:space="preserve"> HYPERLINK "https://certidoesapf.apps.tcu.gov.br/" \h </w:instrText>
      </w:r>
      <w:r>
        <w:fldChar w:fldCharType="separate"/>
      </w:r>
      <w:r>
        <w:rPr>
          <w:b/>
          <w:color w:val="0000FF"/>
          <w:u w:val="single"/>
        </w:rPr>
        <w:t>https://certidoesapf.apps.tcu.gov.br/</w:t>
      </w:r>
      <w:r>
        <w:rPr>
          <w:b/>
          <w:color w:val="0000FF"/>
          <w:u w:val="single"/>
        </w:rPr>
        <w:fldChar w:fldCharType="end"/>
      </w:r>
      <w:r>
        <w:rPr>
          <w:b/>
          <w:color w:val="0000FF"/>
        </w:rPr>
        <w:t>)</w:t>
      </w:r>
      <w:r>
        <w:rPr>
          <w:color w:val="000000"/>
        </w:rPr>
        <w:t>.</w:t>
      </w:r>
    </w:p>
    <w:p>
      <w:pPr>
        <w:numPr>
          <w:ilvl w:val="2"/>
          <w:numId w:val="23"/>
        </w:numP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23"/>
        </w:numP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23"/>
        </w:numPr>
        <w:spacing w:before="120" w:after="120" w:line="276" w:lineRule="auto"/>
        <w:jc w:val="both"/>
        <w:rPr>
          <w:color w:val="000000"/>
        </w:rPr>
      </w:pPr>
      <w:r>
        <w:rPr>
          <w:color w:val="000000"/>
        </w:rPr>
        <w:t>A tentativa de burla será verificada por meio dos vínculos societários, linhas de fornecimento similares, dentre outros.</w:t>
      </w:r>
    </w:p>
    <w:p>
      <w:pPr>
        <w:numPr>
          <w:ilvl w:val="4"/>
          <w:numId w:val="23"/>
        </w:numPr>
        <w:spacing w:before="120" w:after="120" w:line="276" w:lineRule="auto"/>
        <w:jc w:val="both"/>
        <w:rPr>
          <w:color w:val="000000"/>
        </w:rPr>
      </w:pPr>
      <w:r>
        <w:rPr>
          <w:color w:val="000000"/>
        </w:rPr>
        <w:t>O licitante será convocado para manifestação previamente à sua desclassificação.</w:t>
      </w:r>
    </w:p>
    <w:p>
      <w:pPr>
        <w:numPr>
          <w:ilvl w:val="2"/>
          <w:numId w:val="23"/>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pPr>
        <w:numPr>
          <w:ilvl w:val="2"/>
          <w:numId w:val="23"/>
        </w:numP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23"/>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23"/>
        </w:numP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numPr>
          <w:ilvl w:val="1"/>
          <w:numId w:val="24"/>
        </w:numPr>
        <w:spacing w:before="120" w:after="120" w:line="276" w:lineRule="auto"/>
        <w:ind w:left="785"/>
        <w:jc w:val="both"/>
        <w:rPr>
          <w:b/>
          <w:color w:val="000000"/>
        </w:rPr>
      </w:pPr>
      <w:r>
        <w:rPr>
          <w:b/>
          <w:color w:val="000000"/>
        </w:rPr>
        <w:t xml:space="preserve">Habilitação jurídica: </w:t>
      </w:r>
    </w:p>
    <w:p>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24"/>
        </w:numPr>
        <w:spacing w:before="120" w:line="276" w:lineRule="auto"/>
        <w:ind w:left="1134" w:firstLine="0"/>
        <w:jc w:val="both"/>
        <w:rPr>
          <w:color w:val="000000"/>
        </w:rPr>
      </w:pPr>
      <w:r>
        <w:rPr>
          <w:color w:val="000000"/>
        </w:rPr>
        <w:t>Os documentos acima deverão estar acompanhados de todas as alterações ou da consolidação respectiva.</w:t>
      </w:r>
    </w:p>
    <w:p>
      <w:pPr>
        <w:spacing w:after="120" w:line="276" w:lineRule="auto"/>
        <w:ind w:left="1134" w:hanging="720"/>
        <w:jc w:val="both"/>
        <w:rPr>
          <w:color w:val="000000"/>
        </w:rPr>
      </w:pPr>
    </w:p>
    <w:p>
      <w:pPr>
        <w:numPr>
          <w:ilvl w:val="1"/>
          <w:numId w:val="24"/>
        </w:numPr>
        <w:spacing w:before="120" w:after="120" w:line="276" w:lineRule="auto"/>
        <w:ind w:left="425" w:firstLine="0"/>
        <w:jc w:val="both"/>
        <w:rPr>
          <w:b/>
          <w:color w:val="000000"/>
        </w:rPr>
      </w:pPr>
      <w:r>
        <w:rPr>
          <w:b/>
          <w:color w:val="000000"/>
        </w:rPr>
        <w:t xml:space="preserve">  Regularidade fiscal e trabalhista:</w:t>
      </w:r>
    </w:p>
    <w:p>
      <w:pPr>
        <w:numPr>
          <w:ilvl w:val="2"/>
          <w:numId w:val="24"/>
        </w:numPr>
        <w:tabs>
          <w:tab w:val="left" w:pos="1440"/>
        </w:tabs>
        <w:spacing w:before="120" w:after="120" w:line="276" w:lineRule="auto"/>
        <w:ind w:left="1134" w:firstLine="0"/>
        <w:jc w:val="both"/>
      </w:pPr>
      <w:r>
        <w:t>prova de inscrição no Cadastro Nacional de Pessoas Jurídicas;</w:t>
      </w:r>
    </w:p>
    <w:p>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24"/>
        </w:numPr>
        <w:spacing w:before="120" w:after="120" w:line="276" w:lineRule="auto"/>
        <w:ind w:left="425" w:firstLine="0"/>
        <w:jc w:val="both"/>
        <w:rPr>
          <w:b/>
          <w:color w:val="000000"/>
        </w:rPr>
      </w:pPr>
      <w:r>
        <w:rPr>
          <w:b/>
          <w:color w:val="000000"/>
        </w:rPr>
        <w:t xml:space="preserve"> Qualificação Econômico-Financeira: </w:t>
      </w:r>
    </w:p>
    <w:p>
      <w:pPr>
        <w:tabs>
          <w:tab w:val="left" w:pos="1440"/>
        </w:tabs>
        <w:spacing w:before="120" w:line="276" w:lineRule="auto"/>
        <w:ind w:left="1854" w:hanging="720"/>
        <w:jc w:val="both"/>
        <w:rPr>
          <w:color w:val="000000"/>
          <w:highlight w:val="yellow"/>
        </w:rPr>
      </w:pPr>
    </w:p>
    <w:p>
      <w:pPr>
        <w:numPr>
          <w:ilvl w:val="2"/>
          <w:numId w:val="24"/>
        </w:numP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pPr>
        <w:tabs>
          <w:tab w:val="left" w:pos="1440"/>
        </w:tabs>
        <w:spacing w:line="276" w:lineRule="auto"/>
        <w:ind w:left="1854" w:hanging="720"/>
        <w:jc w:val="both"/>
        <w:rPr>
          <w:color w:val="000000"/>
        </w:rPr>
      </w:pPr>
      <w:bookmarkStart w:id="6" w:name="_heading=h.3dy6vkm" w:colFirst="0" w:colLast="0"/>
      <w:bookmarkEnd w:id="6"/>
    </w:p>
    <w:p>
      <w:pPr>
        <w:numPr>
          <w:ilvl w:val="3"/>
          <w:numId w:val="24"/>
        </w:numP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81"/>
        <w:tblW w:w="6487" w:type="dxa"/>
        <w:tblInd w:w="1134" w:type="dxa"/>
        <w:tblLayout w:type="fixed"/>
        <w:tblCellMar>
          <w:top w:w="0" w:type="dxa"/>
          <w:left w:w="108" w:type="dxa"/>
          <w:bottom w:w="0" w:type="dxa"/>
          <w:right w:w="108" w:type="dxa"/>
        </w:tblCellMar>
      </w:tblPr>
      <w:tblGrid>
        <w:gridCol w:w="2235"/>
        <w:gridCol w:w="4252"/>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LG =</w:t>
            </w:r>
          </w:p>
        </w:tc>
        <w:tc>
          <w:tcPr>
            <w:tcW w:w="4252" w:type="dxa"/>
            <w:tcBorders>
              <w:bottom w:val="single" w:color="000000" w:sz="4" w:space="0"/>
            </w:tcBorders>
            <w:vAlign w:val="bottom"/>
          </w:tcPr>
          <w:p>
            <w:pPr>
              <w:tabs>
                <w:tab w:val="left" w:pos="1440"/>
              </w:tabs>
              <w:spacing w:line="276" w:lineRule="auto"/>
              <w:jc w:val="both"/>
              <w:rPr>
                <w:color w:val="000000"/>
              </w:rPr>
            </w:pPr>
            <w:r>
              <w:rPr>
                <w:color w:val="000000"/>
              </w:rPr>
              <w:t>Ativo Circulante + Realizável a Longo Prazo</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color w:val="000000"/>
              </w:rPr>
            </w:pPr>
          </w:p>
        </w:tc>
        <w:tc>
          <w:tcPr>
            <w:tcW w:w="4252"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2"/>
        <w:tblW w:w="6629" w:type="dxa"/>
        <w:tblInd w:w="1134" w:type="dxa"/>
        <w:tblLayout w:type="fixed"/>
        <w:tblCellMar>
          <w:top w:w="0" w:type="dxa"/>
          <w:left w:w="108" w:type="dxa"/>
          <w:bottom w:w="0" w:type="dxa"/>
          <w:right w:w="108" w:type="dxa"/>
        </w:tblCellMar>
      </w:tblPr>
      <w:tblGrid>
        <w:gridCol w:w="2235"/>
        <w:gridCol w:w="4394"/>
      </w:tblGrid>
      <w:tr>
        <w:tc>
          <w:tcPr>
            <w:tcW w:w="2235" w:type="dxa"/>
            <w:vMerge w:val="restart"/>
            <w:vAlign w:val="center"/>
          </w:tcPr>
          <w:p>
            <w:pPr>
              <w:tabs>
                <w:tab w:val="left" w:pos="1440"/>
              </w:tabs>
              <w:spacing w:line="276" w:lineRule="auto"/>
              <w:jc w:val="both"/>
              <w:rPr>
                <w:color w:val="000000"/>
              </w:rPr>
            </w:pPr>
            <w:r>
              <w:rPr>
                <w:color w:val="000000"/>
              </w:rPr>
              <w:t>SG =</w:t>
            </w:r>
          </w:p>
        </w:tc>
        <w:tc>
          <w:tcPr>
            <w:tcW w:w="4394" w:type="dxa"/>
            <w:tcBorders>
              <w:bottom w:val="single" w:color="000000" w:sz="4" w:space="0"/>
            </w:tcBorders>
            <w:vAlign w:val="bottom"/>
          </w:tcPr>
          <w:p>
            <w:pPr>
              <w:tabs>
                <w:tab w:val="left" w:pos="1440"/>
              </w:tabs>
              <w:spacing w:line="276" w:lineRule="auto"/>
              <w:jc w:val="both"/>
              <w:rPr>
                <w:color w:val="000000"/>
              </w:rPr>
            </w:pPr>
            <w:r>
              <w:rPr>
                <w:color w:val="000000"/>
              </w:rPr>
              <w:t>Ativo Total</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color w:val="000000"/>
              </w:rPr>
            </w:pPr>
          </w:p>
        </w:tc>
        <w:tc>
          <w:tcPr>
            <w:tcW w:w="4394"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3"/>
        <w:tblW w:w="4786" w:type="dxa"/>
        <w:tblInd w:w="1134" w:type="dxa"/>
        <w:tblLayout w:type="fixed"/>
        <w:tblCellMar>
          <w:top w:w="0" w:type="dxa"/>
          <w:left w:w="108" w:type="dxa"/>
          <w:bottom w:w="0" w:type="dxa"/>
          <w:right w:w="108" w:type="dxa"/>
        </w:tblCellMar>
      </w:tblPr>
      <w:tblGrid>
        <w:gridCol w:w="2235"/>
        <w:gridCol w:w="2551"/>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LC =</w:t>
            </w:r>
          </w:p>
        </w:tc>
        <w:tc>
          <w:tcPr>
            <w:tcW w:w="2551" w:type="dxa"/>
            <w:tcBorders>
              <w:bottom w:val="single" w:color="000000" w:sz="4" w:space="0"/>
            </w:tcBorders>
            <w:vAlign w:val="bottom"/>
          </w:tcPr>
          <w:p>
            <w:pPr>
              <w:tabs>
                <w:tab w:val="left" w:pos="1440"/>
              </w:tabs>
              <w:spacing w:line="276" w:lineRule="auto"/>
              <w:jc w:val="both"/>
              <w:rPr>
                <w:color w:val="000000"/>
              </w:rPr>
            </w:pPr>
            <w:r>
              <w:rPr>
                <w:color w:val="000000"/>
              </w:rPr>
              <w:t>Ativo Circulante</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color w:val="000000"/>
              </w:rPr>
            </w:pPr>
          </w:p>
        </w:tc>
        <w:tc>
          <w:tcPr>
            <w:tcW w:w="2551" w:type="dxa"/>
            <w:tcBorders>
              <w:top w:val="single" w:color="000000" w:sz="4" w:space="0"/>
            </w:tcBorders>
          </w:tcPr>
          <w:p>
            <w:pPr>
              <w:tabs>
                <w:tab w:val="left" w:pos="1440"/>
              </w:tabs>
              <w:spacing w:line="276" w:lineRule="auto"/>
              <w:jc w:val="both"/>
              <w:rPr>
                <w:color w:val="000000"/>
              </w:rPr>
            </w:pPr>
            <w:r>
              <w:rPr>
                <w:color w:val="000000"/>
              </w:rPr>
              <w:t>Passivo Circulante</w:t>
            </w:r>
          </w:p>
        </w:tc>
      </w:tr>
    </w:tbl>
    <w:p>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numPr>
          <w:ilvl w:val="3"/>
          <w:numId w:val="24"/>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numPr>
          <w:ilvl w:val="3"/>
          <w:numId w:val="24"/>
        </w:numPr>
        <w:spacing w:line="276" w:lineRule="auto"/>
        <w:ind w:left="1701" w:firstLine="0"/>
        <w:jc w:val="both"/>
      </w:pPr>
      <w:r>
        <w:rPr>
          <w:rFonts w:cs="Arial"/>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pPr>
        <w:spacing w:line="276" w:lineRule="auto"/>
        <w:jc w:val="both"/>
      </w:pPr>
    </w:p>
    <w:p>
      <w:pPr>
        <w:numPr>
          <w:ilvl w:val="1"/>
          <w:numId w:val="24"/>
        </w:numPr>
        <w:spacing w:before="120" w:after="120" w:line="276" w:lineRule="auto"/>
        <w:ind w:left="425" w:firstLine="0"/>
        <w:jc w:val="both"/>
        <w:rPr>
          <w:b/>
          <w:color w:val="000000"/>
        </w:rPr>
      </w:pPr>
      <w:r>
        <w:rPr>
          <w:b/>
          <w:color w:val="000000"/>
        </w:rPr>
        <w:t xml:space="preserve"> Qualificação Técnica: </w:t>
      </w:r>
    </w:p>
    <w:p>
      <w:pPr>
        <w:numPr>
          <w:ilvl w:val="2"/>
          <w:numId w:val="24"/>
        </w:numP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24"/>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pPr>
        <w:numPr>
          <w:ilvl w:val="4"/>
          <w:numId w:val="24"/>
        </w:numPr>
        <w:spacing w:line="276" w:lineRule="auto"/>
        <w:jc w:val="both"/>
        <w:rPr>
          <w:b/>
          <w:bCs/>
          <w:color w:val="000000"/>
        </w:rPr>
      </w:pPr>
      <w:bookmarkStart w:id="8" w:name="_heading=h.4d34og8" w:colFirst="0" w:colLast="0"/>
      <w:bookmarkEnd w:id="8"/>
      <w:r>
        <w:rPr>
          <w:b/>
          <w:bCs/>
          <w:color w:val="000000"/>
        </w:rPr>
        <w:t>O licitante deverá apresentar,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mão de obra de qualquer categoria ou já executou contrato(s), com um mínimo de 50%  (cinquenta por cento) do número de postos de trabalho a serem contratados, ou seja, 26 postos.</w:t>
      </w:r>
    </w:p>
    <w:p>
      <w:pPr>
        <w:numPr>
          <w:ilvl w:val="3"/>
          <w:numId w:val="24"/>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24"/>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por período não inferior </w:t>
      </w:r>
      <w:r>
        <w:rPr>
          <w:b/>
          <w:bCs/>
          <w:color w:val="000000"/>
        </w:rPr>
        <w:t>a 2 (dois) anos,</w:t>
      </w:r>
      <w:r>
        <w:rPr>
          <w:color w:val="000000"/>
        </w:rPr>
        <w:t xml:space="preserve"> referentes a períodos sucessivos não contínuos, não havendo obrigatoriedade de os dois anos serem ininterruptos.</w:t>
      </w:r>
    </w:p>
    <w:p>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numPr>
          <w:ilvl w:val="2"/>
          <w:numId w:val="24"/>
        </w:numPr>
        <w:tabs>
          <w:tab w:val="left" w:pos="1440"/>
        </w:tabs>
        <w:spacing w:before="120" w:after="120" w:line="276" w:lineRule="auto"/>
        <w:ind w:left="1134" w:firstLine="0"/>
        <w:jc w:val="both"/>
        <w:rPr>
          <w:rFonts w:cs="Arial"/>
          <w:iCs/>
          <w:szCs w:val="20"/>
        </w:rPr>
      </w:pPr>
      <w:r>
        <w:rPr>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pPr>
        <w:numPr>
          <w:ilvl w:val="3"/>
          <w:numId w:val="24"/>
        </w:numP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p>
      <w:pPr>
        <w:numPr>
          <w:ilvl w:val="1"/>
          <w:numId w:val="24"/>
        </w:numPr>
        <w:spacing w:before="120" w:after="120" w:line="276" w:lineRule="auto"/>
        <w:jc w:val="both"/>
        <w:rPr>
          <w:b/>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rFonts w:eastAsia="SimSun" w:cs="Arial"/>
          <w:b/>
          <w:bCs/>
          <w:color w:val="000000"/>
          <w:szCs w:val="20"/>
        </w:rPr>
        <w:t>entretanto, por força do Acórdão TCU 1</w:t>
      </w:r>
      <w:r>
        <w:rPr>
          <w:rFonts w:eastAsia="SimSun" w:cs="Arial"/>
          <w:b/>
          <w:bCs/>
          <w:color w:val="000000"/>
          <w:szCs w:val="20"/>
          <w:lang w:val="pt-BR"/>
        </w:rPr>
        <w:t>130/2022</w:t>
      </w:r>
      <w:r>
        <w:rPr>
          <w:rFonts w:eastAsia="SimSun" w:cs="Arial"/>
          <w:b/>
          <w:bCs/>
          <w:color w:val="000000"/>
          <w:szCs w:val="20"/>
        </w:rPr>
        <w:t>-Plenário, não estará dispensado da apresentação do balanço patrimonial e das demonstrações contábeis do último exercício</w:t>
      </w:r>
      <w:r>
        <w:t>.</w:t>
      </w:r>
    </w:p>
    <w:p>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pPr>
        <w:keepNext/>
        <w:keepLines/>
        <w:numPr>
          <w:ilvl w:val="0"/>
          <w:numId w:val="25"/>
        </w:numPr>
        <w:spacing w:before="480" w:after="120" w:line="276" w:lineRule="auto"/>
        <w:ind w:right="-15"/>
        <w:jc w:val="both"/>
        <w:rPr>
          <w:b/>
          <w:color w:val="000000"/>
        </w:rPr>
      </w:pPr>
      <w:r>
        <w:rPr>
          <w:b/>
          <w:color w:val="000000"/>
        </w:rPr>
        <w:t>DO ENCAMINHAMENTO DA PROPOSTA VENCEDORA</w:t>
      </w:r>
    </w:p>
    <w:p>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pPr>
        <w:numPr>
          <w:ilvl w:val="2"/>
          <w:numId w:val="25"/>
        </w:numP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pPr>
        <w:numPr>
          <w:ilvl w:val="2"/>
          <w:numId w:val="25"/>
        </w:numP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pPr>
        <w:numPr>
          <w:ilvl w:val="2"/>
          <w:numId w:val="25"/>
        </w:numPr>
        <w:spacing w:after="120" w:line="276" w:lineRule="auto"/>
        <w:ind w:left="1134" w:firstLine="0"/>
        <w:jc w:val="both"/>
        <w:rPr>
          <w:iCs/>
        </w:rPr>
      </w:pPr>
      <w:r>
        <w:rPr>
          <w:iCs/>
        </w:rPr>
        <w:t>conter a indicação do banco, número da conta e agência do licitante vencedor, para fins de pagamento.</w:t>
      </w:r>
    </w:p>
    <w:p>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pPr>
        <w:numPr>
          <w:ilvl w:val="2"/>
          <w:numId w:val="25"/>
        </w:numPr>
        <w:spacing w:before="120" w:after="120" w:line="276" w:lineRule="auto"/>
        <w:ind w:left="1134" w:firstLine="0"/>
        <w:jc w:val="both"/>
        <w:rPr>
          <w:iCs/>
        </w:rPr>
      </w:pPr>
      <w:r>
        <w:rPr>
          <w:iCs/>
        </w:rPr>
        <w:t>Todas as especificações do objeto contidas na proposta vinculam a Contratada.</w:t>
      </w:r>
    </w:p>
    <w:p>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25"/>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25"/>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keepNext/>
        <w:keepLines/>
        <w:numPr>
          <w:ilvl w:val="0"/>
          <w:numId w:val="25"/>
        </w:numPr>
        <w:spacing w:before="480" w:after="120" w:line="276" w:lineRule="auto"/>
        <w:ind w:right="-15"/>
        <w:jc w:val="both"/>
        <w:rPr>
          <w:b/>
          <w:color w:val="000000"/>
        </w:rPr>
      </w:pPr>
      <w:r>
        <w:rPr>
          <w:b/>
          <w:color w:val="000000"/>
        </w:rPr>
        <w:t>DOS RECURSOS</w:t>
      </w:r>
    </w:p>
    <w:p>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25"/>
        </w:numPr>
        <w:spacing w:before="480" w:after="120" w:line="276" w:lineRule="auto"/>
        <w:ind w:right="-15"/>
        <w:jc w:val="both"/>
        <w:rPr>
          <w:b/>
          <w:color w:val="000000"/>
        </w:rPr>
      </w:pPr>
      <w:r>
        <w:rPr>
          <w:b/>
          <w:color w:val="000000"/>
        </w:rPr>
        <w:t>DA REABERTURA DA SESSÃO PÚBLICA</w:t>
      </w:r>
    </w:p>
    <w:p>
      <w:pPr>
        <w:numPr>
          <w:ilvl w:val="1"/>
          <w:numId w:val="25"/>
        </w:numPr>
        <w:tabs>
          <w:tab w:val="left" w:pos="567"/>
        </w:tabs>
        <w:spacing w:before="120" w:after="120" w:line="276" w:lineRule="auto"/>
        <w:jc w:val="both"/>
        <w:rPr>
          <w:color w:val="000000"/>
        </w:rPr>
      </w:pPr>
      <w:r>
        <w:rPr>
          <w:color w:val="000000"/>
        </w:rPr>
        <w:t>A sessão pública poderá ser reaberta:</w:t>
      </w:r>
    </w:p>
    <w:p>
      <w:pPr>
        <w:numPr>
          <w:ilvl w:val="2"/>
          <w:numId w:val="25"/>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25"/>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25"/>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numPr>
          <w:ilvl w:val="2"/>
          <w:numId w:val="25"/>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numPr>
          <w:ilvl w:val="2"/>
          <w:numId w:val="25"/>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keepNext/>
        <w:keepLines/>
        <w:numPr>
          <w:ilvl w:val="0"/>
          <w:numId w:val="25"/>
        </w:numPr>
        <w:spacing w:before="480" w:after="120" w:line="276" w:lineRule="auto"/>
        <w:ind w:right="-15"/>
        <w:jc w:val="both"/>
        <w:rPr>
          <w:b/>
          <w:color w:val="000000"/>
        </w:rPr>
      </w:pPr>
      <w:r>
        <w:rPr>
          <w:b/>
          <w:color w:val="000000"/>
        </w:rPr>
        <w:t>DA ADJUDICAÇÃO E HOMOLOGAÇÃO</w:t>
      </w:r>
    </w:p>
    <w:p>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25"/>
        </w:numPr>
        <w:spacing w:before="480" w:after="120" w:line="276" w:lineRule="auto"/>
        <w:ind w:right="-15"/>
        <w:jc w:val="both"/>
        <w:rPr>
          <w:b/>
          <w:color w:val="000000"/>
        </w:rPr>
      </w:pPr>
      <w:r>
        <w:rPr>
          <w:b/>
          <w:color w:val="000000"/>
        </w:rPr>
        <w:t>DA GARANTIA DE EXECUÇÃO</w:t>
      </w:r>
    </w:p>
    <w:p>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keepNext/>
        <w:keepLines/>
        <w:numPr>
          <w:ilvl w:val="0"/>
          <w:numId w:val="26"/>
        </w:numPr>
        <w:spacing w:before="480" w:after="120" w:line="276" w:lineRule="auto"/>
        <w:ind w:right="-15"/>
        <w:jc w:val="both"/>
        <w:rPr>
          <w:b/>
          <w:color w:val="000000"/>
        </w:rPr>
      </w:pPr>
      <w:r>
        <w:rPr>
          <w:b/>
          <w:color w:val="000000"/>
        </w:rPr>
        <w:t>DO TERMO DE CONTRATO</w:t>
      </w:r>
    </w:p>
    <w:p>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26"/>
        </w:numPr>
        <w:spacing w:before="480" w:after="120" w:line="276" w:lineRule="auto"/>
        <w:ind w:right="-15"/>
        <w:jc w:val="both"/>
        <w:rPr>
          <w:b/>
          <w:color w:val="000000"/>
        </w:rPr>
      </w:pPr>
      <w:r>
        <w:rPr>
          <w:b/>
          <w:color w:val="000000"/>
          <w:highlight w:val="white"/>
        </w:rPr>
        <w:t>DO REAJUSTAMENTO EM SENTIDO GERAL</w:t>
      </w:r>
    </w:p>
    <w:p>
      <w:pPr>
        <w:keepNext/>
        <w:keepLines/>
        <w:numPr>
          <w:ilvl w:val="1"/>
          <w:numId w:val="26"/>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keepNext/>
        <w:keepLines/>
        <w:numPr>
          <w:ilvl w:val="0"/>
          <w:numId w:val="26"/>
        </w:numPr>
        <w:spacing w:before="360" w:after="120" w:line="276" w:lineRule="auto"/>
        <w:ind w:right="-15"/>
        <w:jc w:val="both"/>
        <w:rPr>
          <w:b/>
          <w:color w:val="000000"/>
        </w:rPr>
      </w:pPr>
      <w:r>
        <w:rPr>
          <w:b/>
          <w:color w:val="000000"/>
        </w:rPr>
        <w:t>DA ACEITAÇÃO DO OBJETO E DA FISCALIZAÇÃO</w:t>
      </w:r>
    </w:p>
    <w:p>
      <w:pPr>
        <w:numPr>
          <w:ilvl w:val="1"/>
          <w:numId w:val="26"/>
        </w:numPr>
        <w:spacing w:before="120" w:after="120" w:line="276" w:lineRule="auto"/>
        <w:ind w:left="425" w:firstLine="0"/>
        <w:jc w:val="both"/>
      </w:pPr>
      <w:r>
        <w:t>Os critérios de aceitação do objeto e de fiscalização estão previstos no Termo de Referência.</w:t>
      </w:r>
    </w:p>
    <w:p>
      <w:pPr>
        <w:keepNext/>
        <w:keepLines/>
        <w:numPr>
          <w:ilvl w:val="0"/>
          <w:numId w:val="26"/>
        </w:numPr>
        <w:spacing w:before="480" w:after="120" w:line="276" w:lineRule="auto"/>
        <w:ind w:right="-15"/>
        <w:jc w:val="both"/>
        <w:rPr>
          <w:b/>
          <w:color w:val="000000"/>
        </w:rPr>
      </w:pPr>
      <w:r>
        <w:rPr>
          <w:b/>
          <w:color w:val="000000"/>
        </w:rPr>
        <w:t>DAS OBRIGAÇÕES DA CONTRATANTE E DA CONTRATADA</w:t>
      </w:r>
    </w:p>
    <w:p>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26"/>
        </w:numPr>
        <w:spacing w:before="480" w:after="120" w:line="276" w:lineRule="auto"/>
        <w:ind w:right="-15"/>
        <w:jc w:val="both"/>
        <w:rPr>
          <w:b/>
          <w:color w:val="000000"/>
        </w:rPr>
      </w:pPr>
      <w:r>
        <w:rPr>
          <w:b/>
          <w:color w:val="000000"/>
        </w:rPr>
        <w:t>DO PAGAMENTO</w:t>
      </w:r>
    </w:p>
    <w:p>
      <w:pPr>
        <w:numPr>
          <w:ilvl w:val="1"/>
          <w:numId w:val="26"/>
        </w:numPr>
        <w:spacing w:before="120" w:after="120" w:line="276" w:lineRule="auto"/>
        <w:jc w:val="both"/>
        <w:rPr>
          <w:color w:val="000000"/>
        </w:rPr>
      </w:pPr>
      <w:r>
        <w:rPr>
          <w:color w:val="000000"/>
        </w:rPr>
        <w:t>As regras acerca do pagamento são as estabelecidas no Termo de Referência, anexo a este Edital.</w:t>
      </w:r>
    </w:p>
    <w:p>
      <w:pPr>
        <w:keepNext/>
        <w:keepLines/>
        <w:numPr>
          <w:ilvl w:val="0"/>
          <w:numId w:val="26"/>
        </w:numPr>
        <w:spacing w:before="480" w:after="120" w:line="276" w:lineRule="auto"/>
        <w:ind w:right="-15"/>
        <w:jc w:val="both"/>
        <w:rPr>
          <w:b/>
          <w:i/>
        </w:rPr>
      </w:pPr>
      <w:r>
        <w:rPr>
          <w:b/>
          <w:i/>
        </w:rPr>
        <w:t>DA CONTA-DEPÓSITO VINCULADA</w:t>
      </w:r>
      <w:r>
        <w:rPr>
          <w:b/>
          <w:i/>
          <w:highlight w:val="white"/>
        </w:rPr>
        <w:t>― BLOQUEADA PARA MOVIMENTAÇÃO</w:t>
      </w:r>
    </w:p>
    <w:p>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pPr>
        <w:keepNext/>
        <w:keepLines/>
        <w:numPr>
          <w:ilvl w:val="0"/>
          <w:numId w:val="27"/>
        </w:numPr>
        <w:spacing w:before="480" w:after="120" w:line="276" w:lineRule="auto"/>
        <w:ind w:right="-15"/>
        <w:jc w:val="both"/>
        <w:rPr>
          <w:b/>
          <w:color w:val="000000"/>
        </w:rPr>
      </w:pPr>
      <w:r>
        <w:rPr>
          <w:b/>
          <w:color w:val="000000"/>
        </w:rPr>
        <w:t>DAS SANÇÕES ADMINISTRATIVAS.</w:t>
      </w:r>
    </w:p>
    <w:p>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27"/>
        </w:numPr>
        <w:spacing w:before="120" w:after="120" w:line="276" w:lineRule="auto"/>
        <w:jc w:val="both"/>
        <w:rPr>
          <w:color w:val="000000"/>
        </w:rPr>
      </w:pPr>
      <w:r>
        <w:rPr>
          <w:color w:val="000000"/>
        </w:rPr>
        <w:t>não assinar a ata de registro de preços, quando cabível;</w:t>
      </w:r>
    </w:p>
    <w:p>
      <w:pPr>
        <w:numPr>
          <w:ilvl w:val="2"/>
          <w:numId w:val="27"/>
        </w:numPr>
        <w:spacing w:before="120" w:after="120" w:line="276" w:lineRule="auto"/>
        <w:jc w:val="both"/>
        <w:rPr>
          <w:color w:val="000000"/>
        </w:rPr>
      </w:pPr>
      <w:r>
        <w:rPr>
          <w:color w:val="000000"/>
        </w:rPr>
        <w:t>apresentar documentação falsa;</w:t>
      </w:r>
    </w:p>
    <w:p>
      <w:pPr>
        <w:numPr>
          <w:ilvl w:val="2"/>
          <w:numId w:val="27"/>
        </w:numPr>
        <w:spacing w:before="120" w:after="120" w:line="276" w:lineRule="auto"/>
        <w:jc w:val="both"/>
        <w:rPr>
          <w:color w:val="000000"/>
        </w:rPr>
      </w:pPr>
      <w:r>
        <w:rPr>
          <w:color w:val="000000"/>
        </w:rPr>
        <w:t>deixar de entregar os documentos exigidos no certame;</w:t>
      </w:r>
    </w:p>
    <w:p>
      <w:pPr>
        <w:numPr>
          <w:ilvl w:val="2"/>
          <w:numId w:val="27"/>
        </w:numPr>
        <w:spacing w:before="120" w:after="120" w:line="276" w:lineRule="auto"/>
        <w:jc w:val="both"/>
        <w:rPr>
          <w:color w:val="000000"/>
        </w:rPr>
      </w:pPr>
      <w:r>
        <w:rPr>
          <w:color w:val="000000"/>
        </w:rPr>
        <w:t>ensejar o retardamento da execução do objeto;</w:t>
      </w:r>
    </w:p>
    <w:p>
      <w:pPr>
        <w:numPr>
          <w:ilvl w:val="2"/>
          <w:numId w:val="27"/>
        </w:numPr>
        <w:spacing w:before="120" w:after="120" w:line="276" w:lineRule="auto"/>
        <w:jc w:val="both"/>
        <w:rPr>
          <w:color w:val="000000"/>
        </w:rPr>
      </w:pPr>
      <w:r>
        <w:rPr>
          <w:color w:val="000000"/>
        </w:rPr>
        <w:t>não mantiver a proposta;</w:t>
      </w:r>
    </w:p>
    <w:p>
      <w:pPr>
        <w:numPr>
          <w:ilvl w:val="2"/>
          <w:numId w:val="27"/>
        </w:numPr>
        <w:spacing w:before="120" w:after="120" w:line="276" w:lineRule="auto"/>
        <w:jc w:val="both"/>
        <w:rPr>
          <w:color w:val="000000"/>
        </w:rPr>
      </w:pPr>
      <w:r>
        <w:rPr>
          <w:color w:val="000000"/>
        </w:rPr>
        <w:t>cometer fraude fiscal;</w:t>
      </w:r>
    </w:p>
    <w:p>
      <w:pPr>
        <w:numPr>
          <w:ilvl w:val="2"/>
          <w:numId w:val="27"/>
        </w:numPr>
        <w:spacing w:before="120" w:after="120" w:line="276" w:lineRule="auto"/>
        <w:jc w:val="both"/>
        <w:rPr>
          <w:color w:val="000000"/>
        </w:rPr>
      </w:pPr>
      <w:r>
        <w:rPr>
          <w:color w:val="000000"/>
        </w:rPr>
        <w:t>comportar-se de modo inidôneo;</w:t>
      </w:r>
    </w:p>
    <w:p>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pPr>
        <w:numPr>
          <w:ilvl w:val="2"/>
          <w:numId w:val="2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7"/>
        </w:numPr>
        <w:spacing w:before="120" w:after="120" w:line="276" w:lineRule="auto"/>
        <w:ind w:left="425" w:firstLine="0"/>
        <w:jc w:val="both"/>
        <w:rPr>
          <w:color w:val="000000"/>
        </w:rPr>
      </w:pPr>
      <w:r>
        <w:rPr>
          <w:color w:val="000000"/>
        </w:rPr>
        <w:t>As penalidades serão obrigatoriamente registradas no SICAF.</w:t>
      </w:r>
    </w:p>
    <w:p>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keepNext/>
        <w:keepLines/>
        <w:numPr>
          <w:ilvl w:val="0"/>
          <w:numId w:val="27"/>
        </w:numPr>
        <w:spacing w:before="480" w:after="120" w:line="276" w:lineRule="auto"/>
        <w:ind w:right="-15"/>
        <w:jc w:val="both"/>
        <w:rPr>
          <w:b/>
          <w:color w:val="000000"/>
        </w:rPr>
      </w:pPr>
      <w:r>
        <w:rPr>
          <w:b/>
          <w:color w:val="000000"/>
        </w:rPr>
        <w:t>DA IMPUGNAÇÃO AO EDITAL E DO PEDIDO DE ESCLARECIMENTO</w:t>
      </w:r>
    </w:p>
    <w:p>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27"/>
        </w:numPr>
        <w:tabs>
          <w:tab w:val="left" w:pos="284"/>
        </w:tabs>
        <w:spacing w:before="120" w:after="120" w:line="276" w:lineRule="auto"/>
        <w:ind w:left="425" w:firstLine="0"/>
        <w:jc w:val="both"/>
        <w:rPr>
          <w:rFonts w:cs="Arial"/>
          <w:b/>
          <w:color w:val="000000"/>
          <w:szCs w:val="20"/>
          <w:u w:val="single"/>
        </w:rPr>
      </w:pPr>
      <w:r>
        <w:rPr>
          <w:rFonts w:cs="Arial"/>
          <w:b/>
          <w:color w:val="000000"/>
          <w:szCs w:val="20"/>
          <w:u w:val="single"/>
        </w:rPr>
        <w:t>A impugnação poderá ser realizada por forma eletrônica, pelo e-mail cpl@id.uff.br.</w:t>
      </w:r>
    </w:p>
    <w:p>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27"/>
        </w:numPr>
        <w:spacing w:before="480" w:after="120" w:line="276" w:lineRule="auto"/>
        <w:ind w:right="-15"/>
        <w:jc w:val="both"/>
        <w:rPr>
          <w:b/>
          <w:color w:val="000000"/>
        </w:rPr>
      </w:pPr>
      <w:r>
        <w:rPr>
          <w:b/>
          <w:color w:val="000000"/>
        </w:rPr>
        <w:t>DAS DISPOSIÇÕES GERAIS</w:t>
      </w:r>
    </w:p>
    <w:p>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27"/>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pPr>
        <w:numPr>
          <w:ilvl w:val="2"/>
          <w:numId w:val="27"/>
        </w:numPr>
        <w:spacing w:before="120" w:after="120" w:line="276" w:lineRule="auto"/>
        <w:jc w:val="both"/>
        <w:rPr>
          <w:rFonts w:cs="Arial"/>
          <w:bCs/>
          <w:szCs w:val="20"/>
        </w:rPr>
      </w:pPr>
      <w:r>
        <w:rPr>
          <w:rFonts w:cs="Arial"/>
          <w:b/>
          <w:szCs w:val="20"/>
        </w:rPr>
        <w:t>Anexo I</w:t>
      </w:r>
      <w:r>
        <w:rPr>
          <w:rFonts w:cs="Arial"/>
          <w:szCs w:val="20"/>
        </w:rPr>
        <w:t xml:space="preserve"> - Termo de Referência;</w:t>
      </w:r>
    </w:p>
    <w:p>
      <w:pPr>
        <w:numPr>
          <w:ilvl w:val="2"/>
          <w:numId w:val="27"/>
        </w:numPr>
        <w:spacing w:before="120" w:after="120" w:line="276" w:lineRule="auto"/>
        <w:jc w:val="both"/>
        <w:rPr>
          <w:rFonts w:cs="Arial"/>
          <w:szCs w:val="20"/>
        </w:rPr>
      </w:pPr>
      <w:r>
        <w:rPr>
          <w:rFonts w:cs="Arial"/>
          <w:b/>
          <w:szCs w:val="20"/>
        </w:rPr>
        <w:t xml:space="preserve">Anexo II, III e IV - </w:t>
      </w:r>
      <w:r>
        <w:rPr>
          <w:rFonts w:cs="Arial"/>
          <w:bCs/>
          <w:szCs w:val="20"/>
        </w:rPr>
        <w:t>Planilhas de Formação de Custos;</w:t>
      </w:r>
    </w:p>
    <w:p>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p>
    <w:p>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p>
    <w:p>
      <w:pPr>
        <w:numPr>
          <w:ilvl w:val="2"/>
          <w:numId w:val="27"/>
        </w:numPr>
        <w:spacing w:before="120" w:after="120" w:line="276" w:lineRule="auto"/>
        <w:jc w:val="both"/>
        <w:rPr>
          <w:rFonts w:cs="Arial"/>
          <w:szCs w:val="20"/>
        </w:rPr>
      </w:pPr>
      <w:r>
        <w:rPr>
          <w:rFonts w:cs="Arial"/>
          <w:b/>
          <w:szCs w:val="20"/>
        </w:rPr>
        <w:t>Anexo VII</w:t>
      </w:r>
      <w:r>
        <w:rPr>
          <w:rFonts w:cs="Arial"/>
          <w:szCs w:val="20"/>
        </w:rPr>
        <w:t xml:space="preserve"> - Minuta do Termo de Contrato;</w:t>
      </w:r>
    </w:p>
    <w:p>
      <w:pPr>
        <w:numPr>
          <w:ilvl w:val="2"/>
          <w:numId w:val="27"/>
        </w:numPr>
        <w:spacing w:before="120" w:after="120" w:line="276" w:lineRule="auto"/>
        <w:jc w:val="both"/>
        <w:rPr>
          <w:rFonts w:cs="Arial"/>
          <w:szCs w:val="20"/>
        </w:rPr>
      </w:pPr>
      <w:r>
        <w:rPr>
          <w:rFonts w:cs="Arial"/>
          <w:b/>
          <w:szCs w:val="20"/>
        </w:rPr>
        <w:t xml:space="preserve">Anexo VIII </w:t>
      </w:r>
      <w:r>
        <w:rPr>
          <w:rFonts w:cs="Arial"/>
          <w:szCs w:val="20"/>
        </w:rPr>
        <w:t>- Instrumento de Medição de Resultados (IMR);</w:t>
      </w:r>
    </w:p>
    <w:p>
      <w:pPr>
        <w:numPr>
          <w:ilvl w:val="2"/>
          <w:numId w:val="27"/>
        </w:numPr>
        <w:spacing w:before="120" w:after="120" w:line="276" w:lineRule="auto"/>
        <w:jc w:val="both"/>
        <w:rPr>
          <w:rFonts w:cs="Arial"/>
          <w:szCs w:val="20"/>
        </w:rPr>
      </w:pPr>
      <w:r>
        <w:rPr>
          <w:rFonts w:cs="Arial"/>
          <w:b/>
          <w:szCs w:val="20"/>
        </w:rPr>
        <w:t xml:space="preserve">Anexo IX - </w:t>
      </w:r>
      <w:r>
        <w:rPr>
          <w:rFonts w:cs="Arial"/>
          <w:szCs w:val="20"/>
        </w:rPr>
        <w:t>CCT RJ 000597/2022;</w:t>
      </w:r>
    </w:p>
    <w:p>
      <w:pPr>
        <w:numPr>
          <w:ilvl w:val="2"/>
          <w:numId w:val="27"/>
        </w:numPr>
        <w:spacing w:before="120" w:after="120" w:line="276" w:lineRule="auto"/>
        <w:jc w:val="both"/>
        <w:rPr>
          <w:rFonts w:cs="Arial"/>
          <w:szCs w:val="20"/>
        </w:rPr>
      </w:pPr>
      <w:r>
        <w:rPr>
          <w:rFonts w:cs="Arial"/>
          <w:b/>
          <w:bCs/>
          <w:szCs w:val="20"/>
        </w:rPr>
        <w:t>Anexo X</w:t>
      </w:r>
      <w:r>
        <w:rPr>
          <w:rFonts w:cs="Arial"/>
          <w:szCs w:val="20"/>
        </w:rPr>
        <w:t xml:space="preserve"> - Memória de Cálculo da Planilha de Custos e Formação de Preço;</w:t>
      </w:r>
    </w:p>
    <w:p>
      <w:pPr>
        <w:numPr>
          <w:ilvl w:val="2"/>
          <w:numId w:val="27"/>
        </w:numPr>
        <w:spacing w:before="120" w:after="120" w:line="276" w:lineRule="auto"/>
        <w:jc w:val="both"/>
        <w:rPr>
          <w:rFonts w:cs="Arial"/>
          <w:szCs w:val="20"/>
        </w:rPr>
      </w:pPr>
      <w:r>
        <w:rPr>
          <w:rFonts w:cs="Arial"/>
          <w:b/>
          <w:bCs/>
          <w:szCs w:val="20"/>
        </w:rPr>
        <w:t>Anexo XI</w:t>
      </w:r>
      <w:r>
        <w:rPr>
          <w:rFonts w:cs="Arial"/>
          <w:szCs w:val="20"/>
        </w:rPr>
        <w:t xml:space="preserve"> - Modelo Termo de Cooperação Técnica.</w:t>
      </w:r>
    </w:p>
    <w:p>
      <w:pPr>
        <w:spacing w:before="120" w:after="120" w:line="276" w:lineRule="auto"/>
        <w:jc w:val="center"/>
        <w:rPr>
          <w:color w:val="000000"/>
        </w:rPr>
      </w:pPr>
    </w:p>
    <w:p>
      <w:pPr>
        <w:spacing w:before="120" w:after="120" w:line="276" w:lineRule="auto"/>
        <w:jc w:val="center"/>
        <w:rPr>
          <w:color w:val="000000"/>
        </w:rPr>
      </w:pPr>
      <w:r>
        <w:rPr>
          <w:color w:val="000000"/>
        </w:rPr>
        <w:t xml:space="preserve">Niterói, </w:t>
      </w:r>
      <w:r>
        <w:rPr>
          <w:rFonts w:hint="default"/>
          <w:color w:val="000000"/>
          <w:lang w:val="pt-BR"/>
        </w:rPr>
        <w:t xml:space="preserve">08 </w:t>
      </w:r>
      <w:r>
        <w:rPr>
          <w:color w:val="000000"/>
        </w:rPr>
        <w:t xml:space="preserve">de </w:t>
      </w:r>
      <w:r>
        <w:rPr>
          <w:rFonts w:hint="default"/>
          <w:color w:val="000000"/>
          <w:lang w:val="pt-BR"/>
        </w:rPr>
        <w:t xml:space="preserve">novembro </w:t>
      </w:r>
      <w:bookmarkStart w:id="12" w:name="_GoBack"/>
      <w:bookmarkEnd w:id="12"/>
      <w:r>
        <w:rPr>
          <w:color w:val="000000"/>
        </w:rPr>
        <w:t>de 2022.</w:t>
      </w:r>
    </w:p>
    <w:p>
      <w:pPr>
        <w:spacing w:before="120" w:after="120" w:line="276" w:lineRule="auto"/>
        <w:ind w:left="720" w:hanging="720"/>
        <w:jc w:val="center"/>
      </w:pPr>
    </w:p>
    <w:p>
      <w:pPr>
        <w:spacing w:before="120" w:after="120" w:line="276" w:lineRule="auto"/>
        <w:jc w:val="center"/>
      </w:pPr>
    </w:p>
    <w:p>
      <w:pPr>
        <w:spacing w:before="120" w:after="120" w:line="276" w:lineRule="auto"/>
        <w:jc w:val="center"/>
        <w:rPr>
          <w:color w:val="000000"/>
        </w:rPr>
      </w:pPr>
      <w:r>
        <w:rPr>
          <w:color w:val="000000"/>
        </w:rPr>
        <w:t>CLI/PROAD/UFF</w:t>
      </w:r>
    </w:p>
    <w:sectPr>
      <w:headerReference r:id="rId3" w:type="default"/>
      <w:footerReference r:id="rId4" w:type="default"/>
      <w:pgSz w:w="11906" w:h="16838"/>
      <w:pgMar w:top="1418" w:right="1134"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Ecofont_Spranq_eco_Sans">
    <w:altName w:val="Times New Roman"/>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rPr>
        <w:rFonts w:ascii="Times New Roman" w:hAnsi="Times New Roman" w:eastAsia="Times New Roman" w:cs="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color w:val="000000"/>
      </w:rPr>
    </w:pPr>
    <w:bookmarkStart w:id="11" w:name="_heading=h.3znysh7" w:colFirst="0" w:colLast="0"/>
    <w:bookmarkEnd w:id="11"/>
    <w:r>
      <w:rPr>
        <w:rFonts w:ascii="Verdana" w:hAnsi="Verdana" w:eastAsia="Verdana" w:cs="Verdana"/>
        <w:color w:val="000000"/>
        <w:sz w:val="16"/>
        <w:szCs w:val="16"/>
      </w:rPr>
      <w:t>Processo n.º  23069.157348/2020-31</w:t>
    </w:r>
  </w:p>
  <w:p>
    <w:pPr>
      <w:tabs>
        <w:tab w:val="center" w:pos="4252"/>
        <w:tab w:val="right" w:pos="8504"/>
      </w:tabs>
      <w:rPr>
        <w:rFonts w:ascii="Verdana" w:hAnsi="Verdana" w:eastAsia="Verdana" w:cs="Verdana"/>
        <w:sz w:val="16"/>
        <w:szCs w:val="16"/>
      </w:rPr>
    </w:pPr>
  </w:p>
  <w:p>
    <w:pPr>
      <w:tabs>
        <w:tab w:val="center" w:pos="4252"/>
        <w:tab w:val="right" w:pos="8504"/>
      </w:tabs>
      <w:jc w:val="right"/>
      <w:rPr>
        <w:rFonts w:ascii="Verdana" w:hAnsi="Verdana" w:eastAsia="Verdana" w:cs="Verdana"/>
        <w:color w:val="000000"/>
        <w:sz w:val="16"/>
        <w:szCs w:val="16"/>
      </w:rPr>
    </w:pPr>
  </w:p>
  <w:p>
    <w:pPr>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61541"/>
    <w:multiLevelType w:val="multilevel"/>
    <w:tmpl w:val="00A61541"/>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0286043D"/>
    <w:multiLevelType w:val="multilevel"/>
    <w:tmpl w:val="0286043D"/>
    <w:lvl w:ilvl="0" w:tentative="0">
      <w:start w:val="8"/>
      <w:numFmt w:val="decimal"/>
      <w:lvlText w:val="%1"/>
      <w:lvlJc w:val="left"/>
      <w:pPr>
        <w:ind w:left="540" w:hanging="540"/>
      </w:pPr>
    </w:lvl>
    <w:lvl w:ilvl="1" w:tentative="0">
      <w:start w:val="6"/>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
    <w:nsid w:val="0523419A"/>
    <w:multiLevelType w:val="multilevel"/>
    <w:tmpl w:val="0523419A"/>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3">
    <w:nsid w:val="0AB56447"/>
    <w:multiLevelType w:val="multilevel"/>
    <w:tmpl w:val="0AB56447"/>
    <w:lvl w:ilvl="0" w:tentative="0">
      <w:start w:val="21"/>
      <w:numFmt w:val="decimal"/>
      <w:lvlText w:val="%1"/>
      <w:lvlJc w:val="left"/>
      <w:pPr>
        <w:ind w:left="375" w:hanging="375"/>
      </w:p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D390840"/>
    <w:multiLevelType w:val="multilevel"/>
    <w:tmpl w:val="0D390840"/>
    <w:lvl w:ilvl="0" w:tentative="0">
      <w:start w:val="1"/>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0E017A58"/>
    <w:multiLevelType w:val="multilevel"/>
    <w:tmpl w:val="0E017A58"/>
    <w:lvl w:ilvl="0" w:tentative="0">
      <w:start w:val="7"/>
      <w:numFmt w:val="decimal"/>
      <w:lvlText w:val="%1"/>
      <w:lvlJc w:val="left"/>
      <w:pPr>
        <w:ind w:left="360" w:hanging="360"/>
      </w:pPr>
    </w:lvl>
    <w:lvl w:ilvl="1" w:tentative="0">
      <w:start w:val="1"/>
      <w:numFmt w:val="decimal"/>
      <w:lvlText w:val="%1.%2"/>
      <w:lvlJc w:val="left"/>
      <w:pPr>
        <w:ind w:left="785" w:hanging="360"/>
      </w:pPr>
      <w:rPr>
        <w:rFonts w:hint="default"/>
        <w:sz w:val="20"/>
        <w:szCs w:val="20"/>
      </w:r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6">
    <w:nsid w:val="11B742B1"/>
    <w:multiLevelType w:val="multilevel"/>
    <w:tmpl w:val="11B742B1"/>
    <w:lvl w:ilvl="0" w:tentative="0">
      <w:start w:val="1"/>
      <w:numFmt w:val="decimal"/>
      <w:lvlText w:val="%1."/>
      <w:lvlJc w:val="left"/>
      <w:pPr>
        <w:ind w:left="360" w:hanging="360"/>
      </w:pPr>
      <w:rPr>
        <w:rFonts w:ascii="Arial" w:hAnsi="Arial" w:eastAsia="Arial" w:cs="Arial"/>
        <w:b/>
      </w:rPr>
    </w:lvl>
    <w:lvl w:ilvl="1" w:tentative="0">
      <w:start w:val="13"/>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1B6060CF"/>
    <w:multiLevelType w:val="multilevel"/>
    <w:tmpl w:val="1B6060CF"/>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8">
    <w:nsid w:val="24D07EBA"/>
    <w:multiLevelType w:val="multilevel"/>
    <w:tmpl w:val="24D07EBA"/>
    <w:lvl w:ilvl="0" w:tentative="0">
      <w:start w:val="4"/>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2EEE1BE3"/>
    <w:multiLevelType w:val="multilevel"/>
    <w:tmpl w:val="2EEE1BE3"/>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b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0">
    <w:nsid w:val="31153A8C"/>
    <w:multiLevelType w:val="multilevel"/>
    <w:tmpl w:val="31153A8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1">
    <w:nsid w:val="34573D8B"/>
    <w:multiLevelType w:val="multilevel"/>
    <w:tmpl w:val="34573D8B"/>
    <w:lvl w:ilvl="0" w:tentative="0">
      <w:start w:val="6"/>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38DA3220"/>
    <w:multiLevelType w:val="multilevel"/>
    <w:tmpl w:val="38DA3220"/>
    <w:lvl w:ilvl="0" w:tentative="0">
      <w:start w:val="10"/>
      <w:numFmt w:val="decimal"/>
      <w:lvlText w:val="%1"/>
      <w:lvlJc w:val="left"/>
      <w:pPr>
        <w:ind w:left="360" w:hanging="360"/>
      </w:pPr>
    </w:lvl>
    <w:lvl w:ilvl="1" w:tentative="0">
      <w:start w:val="1"/>
      <w:numFmt w:val="decimal"/>
      <w:lvlText w:val="%1.%2"/>
      <w:lvlJc w:val="left"/>
      <w:pPr>
        <w:ind w:left="785" w:hanging="360"/>
      </w:pPr>
      <w:rPr>
        <w:b w:val="0"/>
        <w:color w:val="00000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39390FA0"/>
    <w:multiLevelType w:val="multilevel"/>
    <w:tmpl w:val="39390FA0"/>
    <w:lvl w:ilvl="0" w:tentative="0">
      <w:start w:val="6"/>
      <w:numFmt w:val="decimal"/>
      <w:lvlText w:val="%1."/>
      <w:lvlJc w:val="left"/>
      <w:pPr>
        <w:ind w:left="360" w:hanging="360"/>
      </w:pPr>
      <w:rPr>
        <w:rFonts w:ascii="Arial" w:hAnsi="Arial" w:eastAsia="Arial" w:cs="Arial"/>
        <w:b/>
      </w:rPr>
    </w:lvl>
    <w:lvl w:ilvl="1" w:tentative="0">
      <w:start w:val="9"/>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3F3E6BAA"/>
    <w:multiLevelType w:val="multilevel"/>
    <w:tmpl w:val="3F3E6BAA"/>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5">
    <w:nsid w:val="47A26325"/>
    <w:multiLevelType w:val="multilevel"/>
    <w:tmpl w:val="47A26325"/>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16">
    <w:nsid w:val="48204390"/>
    <w:multiLevelType w:val="multilevel"/>
    <w:tmpl w:val="48204390"/>
    <w:lvl w:ilvl="0" w:tentative="0">
      <w:start w:val="9"/>
      <w:numFmt w:val="decimal"/>
      <w:lvlText w:val="%1"/>
      <w:lvlJc w:val="left"/>
      <w:pPr>
        <w:ind w:left="360" w:hanging="360"/>
      </w:pPr>
    </w:lvl>
    <w:lvl w:ilvl="1" w:tentative="0">
      <w:start w:val="8"/>
      <w:numFmt w:val="decimal"/>
      <w:lvlText w:val="%1.%2"/>
      <w:lvlJc w:val="left"/>
      <w:pPr>
        <w:ind w:left="927" w:hanging="360"/>
      </w:pPr>
      <w:rPr>
        <w:b w:val="0"/>
      </w:rPr>
    </w:lvl>
    <w:lvl w:ilvl="2" w:tentative="0">
      <w:start w:val="1"/>
      <w:numFmt w:val="decimal"/>
      <w:lvlText w:val="%1.%2.%3"/>
      <w:lvlJc w:val="left"/>
      <w:pPr>
        <w:ind w:left="2280" w:hanging="720"/>
      </w:pPr>
      <w:rPr>
        <w:b w:val="0"/>
        <w:i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7">
    <w:nsid w:val="4FFA6BD6"/>
    <w:multiLevelType w:val="multilevel"/>
    <w:tmpl w:val="4FFA6BD6"/>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color w:val="000000"/>
      </w:rPr>
    </w:lvl>
    <w:lvl w:ilvl="3" w:tentative="0">
      <w:start w:val="1"/>
      <w:numFmt w:val="decimal"/>
      <w:lvlText w:val="%1.%2.%3.%4"/>
      <w:lvlJc w:val="left"/>
      <w:pPr>
        <w:ind w:left="2208" w:hanging="720"/>
      </w:pPr>
      <w:rPr>
        <w:i w:val="0"/>
        <w:color w:val="000000"/>
      </w:rPr>
    </w:lvl>
    <w:lvl w:ilvl="4" w:tentative="0">
      <w:start w:val="1"/>
      <w:numFmt w:val="decimal"/>
      <w:lvlText w:val="%1.%2.%3.%4.%5"/>
      <w:lvlJc w:val="left"/>
      <w:pPr>
        <w:ind w:left="3064" w:hanging="1080"/>
      </w:pPr>
      <w:rPr>
        <w:color w:val="00000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8">
    <w:nsid w:val="504C48B7"/>
    <w:multiLevelType w:val="multilevel"/>
    <w:tmpl w:val="504C48B7"/>
    <w:lvl w:ilvl="0" w:tentative="0">
      <w:start w:val="2"/>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55F67492"/>
    <w:multiLevelType w:val="multilevel"/>
    <w:tmpl w:val="55F67492"/>
    <w:lvl w:ilvl="0" w:tentative="0">
      <w:start w:val="8"/>
      <w:numFmt w:val="decimal"/>
      <w:lvlText w:val="%1"/>
      <w:lvlJc w:val="left"/>
      <w:pPr>
        <w:ind w:left="540" w:hanging="540"/>
      </w:pPr>
    </w:lvl>
    <w:lvl w:ilvl="1" w:tentative="0">
      <w:start w:val="10"/>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0">
    <w:nsid w:val="587005BD"/>
    <w:multiLevelType w:val="multilevel"/>
    <w:tmpl w:val="587005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F2A140C"/>
    <w:multiLevelType w:val="multilevel"/>
    <w:tmpl w:val="5F2A140C"/>
    <w:lvl w:ilvl="0" w:tentative="0">
      <w:start w:val="7"/>
      <w:numFmt w:val="decimal"/>
      <w:lvlText w:val="%1"/>
      <w:lvlJc w:val="left"/>
      <w:pPr>
        <w:ind w:left="360" w:hanging="360"/>
      </w:pPr>
    </w:lvl>
    <w:lvl w:ilvl="1" w:tentative="0">
      <w:start w:val="1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5F742B83"/>
    <w:multiLevelType w:val="multilevel"/>
    <w:tmpl w:val="5F742B83"/>
    <w:lvl w:ilvl="0" w:tentative="0">
      <w:start w:val="3"/>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683E68EF"/>
    <w:multiLevelType w:val="multilevel"/>
    <w:tmpl w:val="683E68EF"/>
    <w:lvl w:ilvl="0" w:tentative="0">
      <w:start w:val="7"/>
      <w:numFmt w:val="decimal"/>
      <w:pStyle w:val="19"/>
      <w:lvlText w:val="%1"/>
      <w:lvlJc w:val="left"/>
      <w:pPr>
        <w:ind w:left="360" w:hanging="360"/>
      </w:pPr>
    </w:lvl>
    <w:lvl w:ilvl="1" w:tentative="0">
      <w:start w:val="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4">
    <w:nsid w:val="72F1526A"/>
    <w:multiLevelType w:val="multilevel"/>
    <w:tmpl w:val="72F1526A"/>
    <w:lvl w:ilvl="0" w:tentative="0">
      <w:start w:val="15"/>
      <w:numFmt w:val="decimal"/>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5">
    <w:nsid w:val="7A402EA0"/>
    <w:multiLevelType w:val="multilevel"/>
    <w:tmpl w:val="7A402EA0"/>
    <w:lvl w:ilvl="0" w:tentative="0">
      <w:start w:val="8"/>
      <w:numFmt w:val="decimal"/>
      <w:lvlText w:val="%1"/>
      <w:lvlJc w:val="left"/>
      <w:pPr>
        <w:ind w:left="540" w:hanging="540"/>
      </w:pPr>
    </w:lvl>
    <w:lvl w:ilvl="1" w:tentative="0">
      <w:start w:val="1"/>
      <w:numFmt w:val="decimal"/>
      <w:lvlText w:val="%1.%2"/>
      <w:lvlJc w:val="left"/>
      <w:pPr>
        <w:ind w:left="1036" w:hanging="540"/>
      </w:pPr>
      <w:rPr>
        <w:i w:val="0"/>
      </w:rPr>
    </w:lvl>
    <w:lvl w:ilvl="2" w:tentative="0">
      <w:start w:val="2"/>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6">
    <w:nsid w:val="7AB12D31"/>
    <w:multiLevelType w:val="multilevel"/>
    <w:tmpl w:val="7AB12D31"/>
    <w:lvl w:ilvl="0" w:tentative="0">
      <w:start w:val="4"/>
      <w:numFmt w:val="decimal"/>
      <w:pStyle w:val="46"/>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F87"/>
    <w:rsid w:val="000654EC"/>
    <w:rsid w:val="00065D28"/>
    <w:rsid w:val="000E64A7"/>
    <w:rsid w:val="00107E3A"/>
    <w:rsid w:val="00121CC0"/>
    <w:rsid w:val="00144EC8"/>
    <w:rsid w:val="00157E2A"/>
    <w:rsid w:val="00172A27"/>
    <w:rsid w:val="001B7F5C"/>
    <w:rsid w:val="001F1907"/>
    <w:rsid w:val="001F4651"/>
    <w:rsid w:val="00295B40"/>
    <w:rsid w:val="002F1BE7"/>
    <w:rsid w:val="002F3638"/>
    <w:rsid w:val="002F41F5"/>
    <w:rsid w:val="00323388"/>
    <w:rsid w:val="00330A79"/>
    <w:rsid w:val="00333CF1"/>
    <w:rsid w:val="00345159"/>
    <w:rsid w:val="00351A99"/>
    <w:rsid w:val="003914EC"/>
    <w:rsid w:val="003D31DE"/>
    <w:rsid w:val="003F03C3"/>
    <w:rsid w:val="003F085B"/>
    <w:rsid w:val="00411FA6"/>
    <w:rsid w:val="00412CC4"/>
    <w:rsid w:val="004155BF"/>
    <w:rsid w:val="004412B8"/>
    <w:rsid w:val="00446772"/>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153FB"/>
    <w:rsid w:val="0085508E"/>
    <w:rsid w:val="008735B5"/>
    <w:rsid w:val="008902C9"/>
    <w:rsid w:val="008B2E01"/>
    <w:rsid w:val="008B59E8"/>
    <w:rsid w:val="008E0B50"/>
    <w:rsid w:val="008E1241"/>
    <w:rsid w:val="008E7D00"/>
    <w:rsid w:val="00903AB7"/>
    <w:rsid w:val="00903D42"/>
    <w:rsid w:val="0090702E"/>
    <w:rsid w:val="00911132"/>
    <w:rsid w:val="00970234"/>
    <w:rsid w:val="00995DF5"/>
    <w:rsid w:val="009A7C4E"/>
    <w:rsid w:val="009F127C"/>
    <w:rsid w:val="00A02594"/>
    <w:rsid w:val="00A0327F"/>
    <w:rsid w:val="00A236C6"/>
    <w:rsid w:val="00A43225"/>
    <w:rsid w:val="00A55176"/>
    <w:rsid w:val="00A744F0"/>
    <w:rsid w:val="00A815E8"/>
    <w:rsid w:val="00AB598B"/>
    <w:rsid w:val="00B3624A"/>
    <w:rsid w:val="00B551A5"/>
    <w:rsid w:val="00B82FE9"/>
    <w:rsid w:val="00B94AE4"/>
    <w:rsid w:val="00B9759E"/>
    <w:rsid w:val="00BB66FB"/>
    <w:rsid w:val="00C20F21"/>
    <w:rsid w:val="00C24371"/>
    <w:rsid w:val="00C31100"/>
    <w:rsid w:val="00C53C4B"/>
    <w:rsid w:val="00C67903"/>
    <w:rsid w:val="00C7213D"/>
    <w:rsid w:val="00C85C14"/>
    <w:rsid w:val="00CB3E5E"/>
    <w:rsid w:val="00D942FE"/>
    <w:rsid w:val="00DA5FD5"/>
    <w:rsid w:val="00DC5D21"/>
    <w:rsid w:val="00E30BF0"/>
    <w:rsid w:val="00E52159"/>
    <w:rsid w:val="00E60313"/>
    <w:rsid w:val="00E70BD4"/>
    <w:rsid w:val="00F03BEB"/>
    <w:rsid w:val="00F6688F"/>
    <w:rsid w:val="00F93597"/>
    <w:rsid w:val="014E0E49"/>
    <w:rsid w:val="03F05F2B"/>
    <w:rsid w:val="06DA7E21"/>
    <w:rsid w:val="0EDA4D70"/>
    <w:rsid w:val="138B0DAB"/>
    <w:rsid w:val="16FD19A6"/>
    <w:rsid w:val="19690377"/>
    <w:rsid w:val="1C3E48F7"/>
    <w:rsid w:val="20BB3510"/>
    <w:rsid w:val="22926CC3"/>
    <w:rsid w:val="22A67A1A"/>
    <w:rsid w:val="2ABA24CE"/>
    <w:rsid w:val="2FD8197B"/>
    <w:rsid w:val="36E459A5"/>
    <w:rsid w:val="39167583"/>
    <w:rsid w:val="39606F4B"/>
    <w:rsid w:val="3C174D7E"/>
    <w:rsid w:val="415066C2"/>
    <w:rsid w:val="41A85BEC"/>
    <w:rsid w:val="452B028C"/>
    <w:rsid w:val="45B45C50"/>
    <w:rsid w:val="45C23D0B"/>
    <w:rsid w:val="522B0850"/>
    <w:rsid w:val="542847F3"/>
    <w:rsid w:val="548612CF"/>
    <w:rsid w:val="56350E89"/>
    <w:rsid w:val="56C62BBE"/>
    <w:rsid w:val="61886BF3"/>
    <w:rsid w:val="629145F0"/>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Arial" w:cs="Tahoma"/>
      <w:szCs w:val="24"/>
      <w:lang w:val="pt-BR" w:eastAsia="pt-BR" w:bidi="ar-SA"/>
    </w:rPr>
  </w:style>
  <w:style w:type="paragraph" w:styleId="2">
    <w:name w:val="heading 1"/>
    <w:basedOn w:val="1"/>
    <w:next w:val="1"/>
    <w:link w:val="4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0"/>
    <w:semiHidden/>
    <w:unhideWhenUsed/>
    <w:qFormat/>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Cs w:val="20"/>
    </w:rPr>
  </w:style>
  <w:style w:type="paragraph" w:styleId="8">
    <w:name w:val="heading 9"/>
    <w:basedOn w:val="1"/>
    <w:next w:val="1"/>
    <w:link w:val="7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annotation reference"/>
    <w:basedOn w:val="9"/>
    <w:unhideWhenUsed/>
    <w:qFormat/>
    <w:uiPriority w:val="99"/>
    <w:rPr>
      <w:sz w:val="16"/>
      <w:szCs w:val="16"/>
    </w:rPr>
  </w:style>
  <w:style w:type="character" w:styleId="13">
    <w:name w:val="Emphasis"/>
    <w:basedOn w:val="9"/>
    <w:qFormat/>
    <w:uiPriority w:val="20"/>
    <w:rPr>
      <w:i/>
      <w:iCs/>
    </w:rPr>
  </w:style>
  <w:style w:type="character" w:styleId="14">
    <w:name w:val="Hyperlink"/>
    <w:qFormat/>
    <w:uiPriority w:val="0"/>
    <w:rPr>
      <w:color w:val="000080"/>
      <w:u w:val="single"/>
    </w:rPr>
  </w:style>
  <w:style w:type="paragraph" w:styleId="15">
    <w:name w:val="Body Text"/>
    <w:basedOn w:val="1"/>
    <w:link w:val="65"/>
    <w:unhideWhenUsed/>
    <w:qFormat/>
    <w:uiPriority w:val="99"/>
    <w:pPr>
      <w:spacing w:before="100" w:beforeAutospacing="1" w:after="100" w:afterAutospacing="1"/>
    </w:pPr>
    <w:rPr>
      <w:rFonts w:ascii="Times New Roman" w:hAnsi="Times New Roman" w:cs="Times New Roman"/>
      <w:sz w:val="24"/>
    </w:rPr>
  </w:style>
  <w:style w:type="paragraph" w:styleId="16">
    <w:name w:val="annotation text"/>
    <w:basedOn w:val="1"/>
    <w:link w:val="43"/>
    <w:unhideWhenUsed/>
    <w:qFormat/>
    <w:uiPriority w:val="99"/>
    <w:rPr>
      <w:szCs w:val="20"/>
    </w:rPr>
  </w:style>
  <w:style w:type="paragraph" w:styleId="17">
    <w:name w:val="Body Text Indent 2"/>
    <w:basedOn w:val="1"/>
    <w:link w:val="74"/>
    <w:unhideWhenUsed/>
    <w:qFormat/>
    <w:uiPriority w:val="99"/>
    <w:pPr>
      <w:spacing w:after="120" w:line="480" w:lineRule="auto"/>
      <w:ind w:left="283"/>
    </w:pPr>
    <w:rPr>
      <w:rFonts w:asciiTheme="minorHAnsi" w:hAnsiTheme="minorHAnsi" w:eastAsiaTheme="minorHAnsi" w:cstheme="minorBidi"/>
      <w:sz w:val="22"/>
      <w:szCs w:val="22"/>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List Bullet 5"/>
    <w:basedOn w:val="1"/>
    <w:qFormat/>
    <w:uiPriority w:val="0"/>
    <w:pPr>
      <w:numPr>
        <w:ilvl w:val="0"/>
        <w:numId w:val="1"/>
      </w:numPr>
      <w:contextualSpacing/>
    </w:pPr>
  </w:style>
  <w:style w:type="paragraph" w:styleId="20">
    <w:name w:val="Normal (Web)"/>
    <w:basedOn w:val="1"/>
    <w:qFormat/>
    <w:uiPriority w:val="99"/>
    <w:pPr>
      <w:spacing w:before="100" w:beforeAutospacing="1" w:after="100" w:afterAutospacing="1"/>
    </w:pPr>
    <w:rPr>
      <w:rFonts w:ascii="Times New Roman" w:hAnsi="Times New Roman" w:cs="Times New Roman"/>
    </w:rPr>
  </w:style>
  <w:style w:type="paragraph" w:styleId="21">
    <w:name w:val="header"/>
    <w:basedOn w:val="1"/>
    <w:link w:val="38"/>
    <w:qFormat/>
    <w:uiPriority w:val="99"/>
    <w:pPr>
      <w:tabs>
        <w:tab w:val="center" w:pos="4252"/>
        <w:tab w:val="right" w:pos="8504"/>
      </w:tabs>
    </w:pPr>
  </w:style>
  <w:style w:type="paragraph" w:styleId="22">
    <w:name w:val="annotation subject"/>
    <w:basedOn w:val="16"/>
    <w:next w:val="16"/>
    <w:link w:val="44"/>
    <w:semiHidden/>
    <w:unhideWhenUsed/>
    <w:qFormat/>
    <w:uiPriority w:val="0"/>
    <w:rPr>
      <w:b/>
      <w:bCs/>
    </w:rPr>
  </w:style>
  <w:style w:type="paragraph" w:styleId="23">
    <w:name w:val="footer"/>
    <w:basedOn w:val="1"/>
    <w:link w:val="39"/>
    <w:qFormat/>
    <w:uiPriority w:val="99"/>
    <w:pPr>
      <w:tabs>
        <w:tab w:val="center" w:pos="4252"/>
        <w:tab w:val="right" w:pos="8504"/>
      </w:tabs>
    </w:pPr>
  </w:style>
  <w:style w:type="paragraph" w:styleId="24">
    <w:name w:val="Balloon Text"/>
    <w:basedOn w:val="1"/>
    <w:link w:val="29"/>
    <w:qFormat/>
    <w:uiPriority w:val="99"/>
    <w:rPr>
      <w:rFonts w:ascii="Tahoma" w:hAnsi="Tahoma"/>
      <w:sz w:val="16"/>
      <w:szCs w:val="16"/>
    </w:rPr>
  </w:style>
  <w:style w:type="paragraph" w:styleId="2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6">
    <w:name w:val="Table Grid"/>
    <w:basedOn w:val="10"/>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Table Normal"/>
    <w:qFormat/>
    <w:uiPriority w:val="0"/>
    <w:tblPr>
      <w:tblCellMar>
        <w:top w:w="0" w:type="dxa"/>
        <w:left w:w="0" w:type="dxa"/>
        <w:bottom w:w="0" w:type="dxa"/>
        <w:right w:w="0" w:type="dxa"/>
      </w:tblCellMar>
    </w:tblPr>
  </w:style>
  <w:style w:type="paragraph" w:styleId="28">
    <w:name w:val="List Paragraph"/>
    <w:basedOn w:val="1"/>
    <w:qFormat/>
    <w:uiPriority w:val="34"/>
    <w:pPr>
      <w:ind w:left="720"/>
      <w:contextualSpacing/>
    </w:pPr>
  </w:style>
  <w:style w:type="character" w:customStyle="1" w:styleId="29">
    <w:name w:val="Texto de balão Carácter"/>
    <w:link w:val="24"/>
    <w:qFormat/>
    <w:uiPriority w:val="99"/>
    <w:rPr>
      <w:rFonts w:ascii="Tahoma" w:hAnsi="Tahoma" w:cs="Tahoma"/>
      <w:sz w:val="16"/>
      <w:szCs w:val="16"/>
    </w:rPr>
  </w:style>
  <w:style w:type="character" w:customStyle="1" w:styleId="30">
    <w:name w:val="Cabeçalho 2 Carácter"/>
    <w:link w:val="3"/>
    <w:qFormat/>
    <w:uiPriority w:val="0"/>
    <w:rPr>
      <w:b/>
      <w:color w:val="000000"/>
      <w:sz w:val="24"/>
    </w:rPr>
  </w:style>
  <w:style w:type="paragraph" w:customStyle="1" w:styleId="31">
    <w:name w:val="Nível 2"/>
    <w:basedOn w:val="1"/>
    <w:next w:val="1"/>
    <w:qFormat/>
    <w:uiPriority w:val="0"/>
    <w:pPr>
      <w:spacing w:after="120"/>
      <w:jc w:val="both"/>
    </w:pPr>
    <w:rPr>
      <w:rFonts w:cs="Times New Roman"/>
      <w:b/>
      <w:szCs w:val="20"/>
    </w:rPr>
  </w:style>
  <w:style w:type="character" w:customStyle="1" w:styleId="32">
    <w:name w:val="normal__char1"/>
    <w:qFormat/>
    <w:uiPriority w:val="0"/>
    <w:rPr>
      <w:rFonts w:hint="default" w:ascii="Arial" w:hAnsi="Arial" w:cs="Arial"/>
      <w:sz w:val="24"/>
      <w:szCs w:val="24"/>
      <w:u w:val="none"/>
    </w:rPr>
  </w:style>
  <w:style w:type="character" w:customStyle="1" w:styleId="33">
    <w:name w:val="apple-style-span"/>
    <w:basedOn w:val="9"/>
    <w:qFormat/>
    <w:uiPriority w:val="0"/>
  </w:style>
  <w:style w:type="paragraph" w:styleId="34">
    <w:name w:val="Quote"/>
    <w:basedOn w:val="1"/>
    <w:next w:val="1"/>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5">
    <w:name w:val="Citação Carácter"/>
    <w:link w:val="34"/>
    <w:qFormat/>
    <w:uiPriority w:val="0"/>
    <w:rPr>
      <w:rFonts w:ascii="Arial" w:hAnsi="Arial" w:eastAsia="Calibri" w:cs="Tahoma"/>
      <w:i/>
      <w:iCs/>
      <w:color w:val="000000"/>
      <w:szCs w:val="24"/>
      <w:shd w:val="clear" w:color="auto" w:fill="FFFFCC"/>
      <w:lang w:eastAsia="en-US"/>
    </w:rPr>
  </w:style>
  <w:style w:type="paragraph" w:customStyle="1" w:styleId="36">
    <w:name w:val="citação 2"/>
    <w:basedOn w:val="34"/>
    <w:link w:val="37"/>
    <w:qFormat/>
    <w:uiPriority w:val="0"/>
    <w:rPr>
      <w:szCs w:val="20"/>
    </w:rPr>
  </w:style>
  <w:style w:type="character" w:customStyle="1" w:styleId="37">
    <w:name w:val="citação 2 Char"/>
    <w:basedOn w:val="35"/>
    <w:link w:val="36"/>
    <w:qFormat/>
    <w:uiPriority w:val="0"/>
    <w:rPr>
      <w:rFonts w:ascii="Arial" w:hAnsi="Arial" w:eastAsia="Calibri" w:cs="Tahoma"/>
      <w:color w:val="000000"/>
      <w:szCs w:val="24"/>
      <w:shd w:val="clear" w:color="auto" w:fill="FFFFCC"/>
      <w:lang w:eastAsia="en-US"/>
    </w:rPr>
  </w:style>
  <w:style w:type="character" w:customStyle="1" w:styleId="38">
    <w:name w:val="Cabeçalho Carácter"/>
    <w:link w:val="21"/>
    <w:qFormat/>
    <w:uiPriority w:val="99"/>
    <w:rPr>
      <w:rFonts w:ascii="Ecofont_Spranq_eco_Sans" w:hAnsi="Ecofont_Spranq_eco_Sans" w:cs="Tahoma"/>
      <w:sz w:val="24"/>
      <w:szCs w:val="24"/>
    </w:rPr>
  </w:style>
  <w:style w:type="character" w:customStyle="1" w:styleId="39">
    <w:name w:val="Rodapé Carácter"/>
    <w:link w:val="23"/>
    <w:qFormat/>
    <w:uiPriority w:val="99"/>
    <w:rPr>
      <w:rFonts w:ascii="Ecofont_Spranq_eco_Sans" w:hAnsi="Ecofont_Spranq_eco_Sans" w:cs="Tahoma"/>
      <w:sz w:val="24"/>
      <w:szCs w:val="24"/>
    </w:rPr>
  </w:style>
  <w:style w:type="paragraph" w:customStyle="1" w:styleId="40">
    <w:name w:val="em_0020ementa"/>
    <w:basedOn w:val="1"/>
    <w:qFormat/>
    <w:uiPriority w:val="0"/>
    <w:pPr>
      <w:ind w:left="4160"/>
      <w:jc w:val="both"/>
    </w:pPr>
    <w:rPr>
      <w:rFonts w:ascii="Times New Roman" w:hAnsi="Times New Roman" w:cs="Times New Roman"/>
      <w:sz w:val="28"/>
      <w:szCs w:val="28"/>
    </w:rPr>
  </w:style>
  <w:style w:type="character" w:customStyle="1" w:styleId="41">
    <w:name w:val="cp_0020corpodespacho__char1"/>
    <w:qFormat/>
    <w:uiPriority w:val="0"/>
    <w:rPr>
      <w:rFonts w:hint="default" w:ascii="Times New Roman" w:hAnsi="Times New Roman" w:cs="Times New Roman"/>
      <w:sz w:val="26"/>
      <w:szCs w:val="26"/>
      <w:u w:val="none"/>
    </w:rPr>
  </w:style>
  <w:style w:type="character" w:customStyle="1" w:styleId="42">
    <w:name w:val="em_0020ementa__char1"/>
    <w:qFormat/>
    <w:uiPriority w:val="0"/>
    <w:rPr>
      <w:rFonts w:hint="default" w:ascii="Times New Roman" w:hAnsi="Times New Roman" w:cs="Times New Roman"/>
      <w:sz w:val="28"/>
      <w:szCs w:val="28"/>
      <w:u w:val="none"/>
    </w:rPr>
  </w:style>
  <w:style w:type="character" w:customStyle="1" w:styleId="43">
    <w:name w:val="Texto de comentário Carácter"/>
    <w:basedOn w:val="9"/>
    <w:link w:val="16"/>
    <w:qFormat/>
    <w:uiPriority w:val="99"/>
    <w:rPr>
      <w:rFonts w:ascii="Ecofont_Spranq_eco_Sans" w:hAnsi="Ecofont_Spranq_eco_Sans" w:cs="Tahoma"/>
    </w:rPr>
  </w:style>
  <w:style w:type="character" w:customStyle="1" w:styleId="44">
    <w:name w:val="Assunto de comentário Carácter"/>
    <w:basedOn w:val="43"/>
    <w:link w:val="22"/>
    <w:semiHidden/>
    <w:qFormat/>
    <w:uiPriority w:val="0"/>
    <w:rPr>
      <w:rFonts w:ascii="Ecofont_Spranq_eco_Sans" w:hAnsi="Ecofont_Spranq_eco_Sans" w:cs="Tahoma"/>
      <w:b/>
      <w:bCs/>
    </w:rPr>
  </w:style>
  <w:style w:type="paragraph" w:customStyle="1" w:styleId="45">
    <w:name w:val="Revisão1"/>
    <w:hidden/>
    <w:semiHidden/>
    <w:qFormat/>
    <w:uiPriority w:val="99"/>
    <w:rPr>
      <w:rFonts w:ascii="Ecofont_Spranq_eco_Sans" w:hAnsi="Ecofont_Spranq_eco_Sans" w:eastAsia="Arial" w:cs="Tahoma"/>
      <w:sz w:val="24"/>
      <w:szCs w:val="24"/>
      <w:lang w:val="pt-BR" w:eastAsia="pt-BR" w:bidi="ar-SA"/>
    </w:rPr>
  </w:style>
  <w:style w:type="paragraph" w:customStyle="1" w:styleId="46">
    <w:name w:val="Nivel 01"/>
    <w:basedOn w:val="2"/>
    <w:next w:val="1"/>
    <w:link w:val="48"/>
    <w:qFormat/>
    <w:uiPriority w:val="0"/>
    <w:pPr>
      <w:numPr>
        <w:ilvl w:val="0"/>
        <w:numId w:val="2"/>
      </w:numPr>
      <w:spacing w:after="120" w:line="276" w:lineRule="auto"/>
      <w:ind w:right="-15"/>
      <w:jc w:val="both"/>
    </w:pPr>
    <w:rPr>
      <w:rFonts w:ascii="Arial" w:hAnsi="Arial" w:cs="Times New Roman"/>
      <w:color w:val="000000"/>
      <w:sz w:val="20"/>
      <w:szCs w:val="20"/>
    </w:rPr>
  </w:style>
  <w:style w:type="character" w:customStyle="1" w:styleId="47">
    <w:name w:val="Cabeçalho 1 Carácter"/>
    <w:basedOn w:val="9"/>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8">
    <w:name w:val="Nivel 01 Char"/>
    <w:basedOn w:val="47"/>
    <w:link w:val="46"/>
    <w:qFormat/>
    <w:uiPriority w:val="0"/>
    <w:rPr>
      <w:rFonts w:ascii="Arial" w:hAnsi="Arial" w:eastAsiaTheme="majorEastAsia" w:cstheme="majorBidi"/>
      <w:color w:val="000000"/>
      <w:sz w:val="28"/>
      <w:szCs w:val="28"/>
    </w:rPr>
  </w:style>
  <w:style w:type="paragraph" w:customStyle="1" w:styleId="49">
    <w:name w:val="Nivel1"/>
    <w:basedOn w:val="2"/>
    <w:link w:val="70"/>
    <w:qFormat/>
    <w:uiPriority w:val="0"/>
    <w:pPr>
      <w:spacing w:line="276" w:lineRule="auto"/>
      <w:ind w:left="357" w:hanging="357"/>
      <w:jc w:val="both"/>
    </w:pPr>
    <w:rPr>
      <w:rFonts w:ascii="Arial" w:hAnsi="Arial" w:cs="Arial"/>
      <w:bCs w:val="0"/>
      <w:color w:val="000000"/>
      <w:sz w:val="20"/>
      <w:szCs w:val="20"/>
    </w:rPr>
  </w:style>
  <w:style w:type="paragraph" w:customStyle="1" w:styleId="5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1">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52">
    <w:name w:val="normaltextrun"/>
    <w:basedOn w:val="9"/>
    <w:qFormat/>
    <w:uiPriority w:val="0"/>
  </w:style>
  <w:style w:type="character" w:customStyle="1" w:styleId="53">
    <w:name w:val="eop"/>
    <w:basedOn w:val="9"/>
    <w:qFormat/>
    <w:uiPriority w:val="0"/>
  </w:style>
  <w:style w:type="character" w:customStyle="1" w:styleId="54">
    <w:name w:val="spellingerror"/>
    <w:basedOn w:val="9"/>
    <w:qFormat/>
    <w:uiPriority w:val="0"/>
  </w:style>
  <w:style w:type="character" w:customStyle="1" w:styleId="55">
    <w:name w:val="Quote Char"/>
    <w:basedOn w:val="9"/>
    <w:link w:val="56"/>
    <w:qFormat/>
    <w:uiPriority w:val="0"/>
    <w:rPr>
      <w:rFonts w:ascii="Ecofont_Spranq_eco_Sans" w:hAnsi="Ecofont_Spranq_eco_Sans" w:eastAsia="Calibri" w:cs="Tahoma"/>
      <w:i/>
      <w:iCs/>
      <w:color w:val="000000"/>
      <w:shd w:val="clear" w:color="auto" w:fill="FFFFCC"/>
      <w:lang w:eastAsia="en-US"/>
    </w:rPr>
  </w:style>
  <w:style w:type="paragraph" w:customStyle="1" w:styleId="56">
    <w:name w:val="Citação1"/>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0"/>
      <w:lang w:eastAsia="en-US"/>
    </w:rPr>
  </w:style>
  <w:style w:type="character" w:customStyle="1" w:styleId="57">
    <w:name w:val="Manoel"/>
    <w:qFormat/>
    <w:uiPriority w:val="0"/>
    <w:rPr>
      <w:rFonts w:ascii="Arial" w:hAnsi="Arial" w:cs="Arial"/>
      <w:color w:val="7030A0"/>
      <w:sz w:val="20"/>
    </w:rPr>
  </w:style>
  <w:style w:type="character" w:customStyle="1" w:styleId="58">
    <w:name w:val="ListLabel 12"/>
    <w:qFormat/>
    <w:uiPriority w:val="0"/>
    <w:rPr>
      <w:b/>
    </w:rPr>
  </w:style>
  <w:style w:type="paragraph" w:customStyle="1" w:styleId="59">
    <w:name w:val="texto1"/>
    <w:basedOn w:val="1"/>
    <w:qFormat/>
    <w:uiPriority w:val="0"/>
    <w:pPr>
      <w:spacing w:before="100" w:beforeAutospacing="1" w:after="100" w:afterAutospacing="1"/>
    </w:pPr>
    <w:rPr>
      <w:rFonts w:ascii="Times New Roman" w:hAnsi="Times New Roman" w:cs="Times New Roman"/>
      <w:sz w:val="24"/>
    </w:rPr>
  </w:style>
  <w:style w:type="paragraph" w:customStyle="1" w:styleId="60">
    <w:name w:val="Grade Colorida - Ênfase 11"/>
    <w:basedOn w:val="1"/>
    <w:next w:val="1"/>
    <w:link w:val="6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character" w:customStyle="1" w:styleId="61">
    <w:name w:val="Grade Colorida - Ênfase 1 Char"/>
    <w:link w:val="60"/>
    <w:qFormat/>
    <w:uiPriority w:val="29"/>
    <w:rPr>
      <w:rFonts w:ascii="Arial" w:hAnsi="Arial" w:eastAsia="Calibri"/>
      <w:i/>
      <w:iCs/>
      <w:color w:val="000000"/>
      <w:szCs w:val="24"/>
      <w:shd w:val="clear" w:color="auto" w:fill="FFFFCC"/>
      <w:lang w:eastAsia="en-US"/>
    </w:rPr>
  </w:style>
  <w:style w:type="paragraph" w:customStyle="1" w:styleId="62">
    <w:name w:val="x_western"/>
    <w:basedOn w:val="1"/>
    <w:qFormat/>
    <w:uiPriority w:val="0"/>
    <w:pPr>
      <w:spacing w:before="100" w:beforeAutospacing="1" w:after="100" w:afterAutospacing="1"/>
    </w:pPr>
    <w:rPr>
      <w:rFonts w:ascii="Times New Roman" w:hAnsi="Times New Roman" w:cs="Times New Roman"/>
      <w:sz w:val="24"/>
    </w:rPr>
  </w:style>
  <w:style w:type="paragraph" w:customStyle="1" w:styleId="63">
    <w:name w:val="TCU - Ac - item 9 - §§_0"/>
    <w:basedOn w:val="1"/>
    <w:qFormat/>
    <w:uiPriority w:val="0"/>
    <w:pPr>
      <w:ind w:firstLine="1134"/>
      <w:jc w:val="both"/>
    </w:pPr>
    <w:rPr>
      <w:rFonts w:ascii="Times New Roman" w:hAnsi="Times New Roman" w:cs="Times New Roman"/>
      <w:sz w:val="24"/>
      <w:szCs w:val="22"/>
      <w:lang w:eastAsia="en-US"/>
    </w:rPr>
  </w:style>
  <w:style w:type="paragraph" w:customStyle="1" w:styleId="64">
    <w:name w:val="Normal_1"/>
    <w:qFormat/>
    <w:uiPriority w:val="0"/>
    <w:rPr>
      <w:rFonts w:ascii="Arial" w:hAnsi="Arial" w:eastAsia="Arial" w:cs="Arial"/>
      <w:sz w:val="24"/>
      <w:szCs w:val="22"/>
      <w:lang w:val="pt-BR" w:eastAsia="en-US" w:bidi="ar-SA"/>
    </w:rPr>
  </w:style>
  <w:style w:type="character" w:customStyle="1" w:styleId="65">
    <w:name w:val="Corpo de texto Carácter"/>
    <w:basedOn w:val="9"/>
    <w:link w:val="15"/>
    <w:qFormat/>
    <w:uiPriority w:val="99"/>
    <w:rPr>
      <w:sz w:val="24"/>
      <w:szCs w:val="24"/>
    </w:rPr>
  </w:style>
  <w:style w:type="paragraph" w:customStyle="1" w:styleId="66">
    <w:name w:val="tcu_-__ac_-_item_9_-_1ª_linha"/>
    <w:basedOn w:val="1"/>
    <w:qFormat/>
    <w:uiPriority w:val="0"/>
    <w:pPr>
      <w:spacing w:before="100" w:beforeAutospacing="1" w:after="100" w:afterAutospacing="1"/>
    </w:pPr>
    <w:rPr>
      <w:rFonts w:ascii="Times New Roman" w:hAnsi="Times New Roman" w:cs="Times New Roman"/>
      <w:sz w:val="24"/>
    </w:rPr>
  </w:style>
  <w:style w:type="paragraph" w:customStyle="1" w:styleId="67">
    <w:name w:val="texto_justificado_recuo_primeira_linha"/>
    <w:basedOn w:val="1"/>
    <w:qFormat/>
    <w:uiPriority w:val="0"/>
    <w:pPr>
      <w:spacing w:before="100" w:beforeAutospacing="1" w:after="100" w:afterAutospacing="1"/>
    </w:pPr>
    <w:rPr>
      <w:rFonts w:ascii="Times New Roman" w:hAnsi="Times New Roman" w:cs="Times New Roman"/>
      <w:sz w:val="24"/>
    </w:rPr>
  </w:style>
  <w:style w:type="character" w:customStyle="1" w:styleId="68">
    <w:name w:val="highlight"/>
    <w:basedOn w:val="9"/>
    <w:qFormat/>
    <w:uiPriority w:val="0"/>
  </w:style>
  <w:style w:type="paragraph" w:customStyle="1" w:styleId="69">
    <w:name w:val="texto_justificado"/>
    <w:basedOn w:val="1"/>
    <w:qFormat/>
    <w:uiPriority w:val="0"/>
    <w:pPr>
      <w:spacing w:before="100" w:beforeAutospacing="1" w:after="100" w:afterAutospacing="1"/>
    </w:pPr>
    <w:rPr>
      <w:rFonts w:ascii="Times New Roman" w:hAnsi="Times New Roman" w:cs="Times New Roman"/>
      <w:sz w:val="24"/>
    </w:rPr>
  </w:style>
  <w:style w:type="character" w:customStyle="1" w:styleId="70">
    <w:name w:val="Nivel1 Char"/>
    <w:basedOn w:val="47"/>
    <w:link w:val="49"/>
    <w:qFormat/>
    <w:uiPriority w:val="0"/>
    <w:rPr>
      <w:rFonts w:ascii="Arial" w:hAnsi="Arial" w:cs="Arial" w:eastAsiaTheme="majorEastAsia"/>
      <w:bCs w:val="0"/>
      <w:color w:val="000000"/>
      <w:sz w:val="28"/>
      <w:szCs w:val="28"/>
    </w:rPr>
  </w:style>
  <w:style w:type="paragraph" w:customStyle="1" w:styleId="71">
    <w:name w:val="Parágrafo da Lista1"/>
    <w:basedOn w:val="1"/>
    <w:qFormat/>
    <w:uiPriority w:val="0"/>
    <w:pPr>
      <w:ind w:left="720"/>
    </w:pPr>
    <w:rPr>
      <w:rFonts w:ascii="Ecofont_Spranq_eco_Sans" w:hAnsi="Ecofont_Spranq_eco_Sans" w:cs="Ecofont_Spranq_eco_Sans"/>
      <w:sz w:val="24"/>
    </w:rPr>
  </w:style>
  <w:style w:type="paragraph" w:customStyle="1" w:styleId="72">
    <w:name w:val="textbody"/>
    <w:basedOn w:val="1"/>
    <w:qFormat/>
    <w:uiPriority w:val="0"/>
    <w:pPr>
      <w:spacing w:before="100" w:beforeAutospacing="1" w:after="100" w:afterAutospacing="1"/>
    </w:pPr>
    <w:rPr>
      <w:rFonts w:ascii="Times New Roman" w:hAnsi="Times New Roman" w:cs="Times New Roman"/>
      <w:sz w:val="24"/>
    </w:rPr>
  </w:style>
  <w:style w:type="character" w:customStyle="1" w:styleId="73">
    <w:name w:val="Cabeçalho 9 Carácter"/>
    <w:basedOn w:val="9"/>
    <w:link w:val="8"/>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74">
    <w:name w:val="Avanço de corpo de texto 2 Carácter"/>
    <w:basedOn w:val="9"/>
    <w:link w:val="17"/>
    <w:qFormat/>
    <w:uiPriority w:val="99"/>
    <w:rPr>
      <w:rFonts w:asciiTheme="minorHAnsi" w:hAnsiTheme="minorHAnsi" w:eastAsiaTheme="minorHAnsi" w:cstheme="minorBidi"/>
      <w:sz w:val="22"/>
      <w:szCs w:val="22"/>
      <w:lang w:eastAsia="en-US"/>
    </w:rPr>
  </w:style>
  <w:style w:type="table" w:customStyle="1" w:styleId="75">
    <w:name w:val="_Style 75"/>
    <w:basedOn w:val="27"/>
    <w:qFormat/>
    <w:uiPriority w:val="0"/>
    <w:tblPr>
      <w:tblCellMar>
        <w:left w:w="115" w:type="dxa"/>
        <w:right w:w="115" w:type="dxa"/>
      </w:tblCellMar>
    </w:tblPr>
  </w:style>
  <w:style w:type="table" w:customStyle="1" w:styleId="76">
    <w:name w:val="_Style 76"/>
    <w:basedOn w:val="27"/>
    <w:qFormat/>
    <w:uiPriority w:val="0"/>
    <w:tblPr>
      <w:tblCellMar>
        <w:left w:w="108" w:type="dxa"/>
        <w:right w:w="108" w:type="dxa"/>
      </w:tblCellMar>
    </w:tblPr>
  </w:style>
  <w:style w:type="table" w:customStyle="1" w:styleId="77">
    <w:name w:val="_Style 77"/>
    <w:basedOn w:val="27"/>
    <w:qFormat/>
    <w:uiPriority w:val="0"/>
    <w:tblPr>
      <w:tblCellMar>
        <w:left w:w="108" w:type="dxa"/>
        <w:right w:w="108" w:type="dxa"/>
      </w:tblCellMar>
    </w:tblPr>
  </w:style>
  <w:style w:type="table" w:customStyle="1" w:styleId="78">
    <w:name w:val="_Style 78"/>
    <w:basedOn w:val="27"/>
    <w:qFormat/>
    <w:uiPriority w:val="0"/>
    <w:tblPr>
      <w:tblCellMar>
        <w:left w:w="108" w:type="dxa"/>
        <w:right w:w="108" w:type="dxa"/>
      </w:tblCellMar>
    </w:tblPr>
  </w:style>
  <w:style w:type="paragraph" w:customStyle="1" w:styleId="79">
    <w:name w:val="LO-normal"/>
    <w:qFormat/>
    <w:uiPriority w:val="0"/>
    <w:rPr>
      <w:rFonts w:ascii="Arial" w:hAnsi="Arial" w:eastAsia="Arial" w:cs="Arial"/>
      <w:lang w:val="pt-BR" w:eastAsia="zh-CN" w:bidi="hi-IN"/>
    </w:rPr>
  </w:style>
  <w:style w:type="table" w:customStyle="1" w:styleId="80">
    <w:name w:val="_Style 80"/>
    <w:basedOn w:val="27"/>
    <w:qFormat/>
    <w:uiPriority w:val="0"/>
    <w:tblPr>
      <w:tblCellMar>
        <w:left w:w="108" w:type="dxa"/>
        <w:right w:w="108" w:type="dxa"/>
      </w:tblCellMar>
    </w:tblPr>
  </w:style>
  <w:style w:type="table" w:customStyle="1" w:styleId="81">
    <w:name w:val="_Style 81"/>
    <w:basedOn w:val="27"/>
    <w:qFormat/>
    <w:uiPriority w:val="0"/>
    <w:tblPr>
      <w:tblCellMar>
        <w:left w:w="108" w:type="dxa"/>
        <w:right w:w="108" w:type="dxa"/>
      </w:tblCellMar>
    </w:tblPr>
  </w:style>
  <w:style w:type="table" w:customStyle="1" w:styleId="82">
    <w:name w:val="_Style 82"/>
    <w:basedOn w:val="27"/>
    <w:qFormat/>
    <w:uiPriority w:val="0"/>
    <w:tblPr>
      <w:tblCellMar>
        <w:left w:w="108" w:type="dxa"/>
        <w:right w:w="108" w:type="dxa"/>
      </w:tblCellMar>
    </w:tblPr>
  </w:style>
  <w:style w:type="table" w:customStyle="1" w:styleId="83">
    <w:name w:val="_Style 83"/>
    <w:basedOn w:val="27"/>
    <w:qFormat/>
    <w:uiPriority w:val="0"/>
    <w:tblPr>
      <w:tblCellMar>
        <w:left w:w="108" w:type="dxa"/>
        <w:right w:w="108" w:type="dxa"/>
      </w:tblCellMar>
    </w:tblPr>
  </w:style>
  <w:style w:type="table" w:customStyle="1" w:styleId="84">
    <w:name w:val="_Style 84"/>
    <w:basedOn w:val="2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11547</Words>
  <Characters>62355</Characters>
  <Lines>519</Lines>
  <Paragraphs>147</Paragraphs>
  <TotalTime>306</TotalTime>
  <ScaleCrop>false</ScaleCrop>
  <LinksUpToDate>false</LinksUpToDate>
  <CharactersWithSpaces>73755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2021-08-17T17:05:00Z</dcterms:created>
  <dc:creator>Manoel Paz e Silva Filho</dc:creator>
  <cp:lastModifiedBy>JULY</cp:lastModifiedBy>
  <dcterms:modified xsi:type="dcterms:W3CDTF">2022-11-08T23:46:01Z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FB5072437A774443B40297DF349716B4</vt:lpwstr>
  </property>
</Properties>
</file>